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A99C" w14:textId="65A00178" w:rsidR="00482EB9" w:rsidRPr="00F80914" w:rsidRDefault="00691E89" w:rsidP="3D20DE2E">
      <w:pPr>
        <w:rPr>
          <w:rFonts w:ascii="Times New Roman" w:eastAsia="Times New Roman" w:hAnsi="Times New Roman" w:cs="Times New Roman"/>
          <w:sz w:val="24"/>
          <w:szCs w:val="24"/>
        </w:rPr>
      </w:pPr>
      <w:r>
        <w:rPr>
          <w:rStyle w:val="FootnoteReference"/>
          <w:rFonts w:ascii="Times New Roman" w:eastAsia="Times New Roman" w:hAnsi="Times New Roman" w:cs="Times New Roman"/>
          <w:sz w:val="24"/>
          <w:szCs w:val="24"/>
        </w:rPr>
        <w:footnoteReference w:id="2"/>
      </w:r>
      <w:r w:rsidR="00482EB9" w:rsidRPr="3D20DE2E">
        <w:rPr>
          <w:rFonts w:ascii="Times New Roman" w:eastAsia="Times New Roman" w:hAnsi="Times New Roman" w:cs="Times New Roman"/>
          <w:sz w:val="24"/>
          <w:szCs w:val="24"/>
        </w:rPr>
        <w:t>ECON 255</w:t>
      </w:r>
      <w:r w:rsidR="00482EB9">
        <w:tab/>
      </w:r>
      <w:r w:rsidR="00482EB9">
        <w:tab/>
      </w:r>
      <w:r w:rsidR="00482EB9">
        <w:tab/>
      </w:r>
      <w:r w:rsidR="00482EB9">
        <w:tab/>
      </w:r>
      <w:r w:rsidR="00482EB9">
        <w:tab/>
      </w:r>
      <w:r w:rsidR="00482EB9">
        <w:tab/>
      </w:r>
      <w:r w:rsidR="00482EB9">
        <w:tab/>
      </w:r>
      <w:r w:rsidR="00482EB9">
        <w:tab/>
      </w:r>
      <w:r w:rsidR="00482EB9">
        <w:tab/>
      </w:r>
      <w:r w:rsidR="007B10AB">
        <w:rPr>
          <w:rFonts w:ascii="Times New Roman" w:eastAsia="Times New Roman" w:hAnsi="Times New Roman" w:cs="Times New Roman"/>
          <w:sz w:val="24"/>
          <w:szCs w:val="24"/>
        </w:rPr>
        <w:t>Spring</w:t>
      </w:r>
      <w:r w:rsidR="00482EB9" w:rsidRPr="3D20DE2E">
        <w:rPr>
          <w:rFonts w:ascii="Times New Roman" w:eastAsia="Times New Roman" w:hAnsi="Times New Roman" w:cs="Times New Roman"/>
          <w:sz w:val="24"/>
          <w:szCs w:val="24"/>
        </w:rPr>
        <w:t xml:space="preserve"> 2022</w:t>
      </w:r>
    </w:p>
    <w:p w14:paraId="29BD228D" w14:textId="7FEC5816" w:rsidR="00482EB9" w:rsidRPr="00F80914" w:rsidRDefault="00482EB9" w:rsidP="3D20DE2E">
      <w:pPr>
        <w:rPr>
          <w:rFonts w:ascii="Times New Roman" w:eastAsia="Times New Roman" w:hAnsi="Times New Roman" w:cs="Times New Roman"/>
          <w:sz w:val="24"/>
          <w:szCs w:val="24"/>
        </w:rPr>
      </w:pPr>
      <w:r w:rsidRPr="3D20DE2E">
        <w:rPr>
          <w:rFonts w:ascii="Times New Roman" w:eastAsia="Times New Roman" w:hAnsi="Times New Roman" w:cs="Times New Roman"/>
          <w:sz w:val="24"/>
          <w:szCs w:val="24"/>
        </w:rPr>
        <w:t xml:space="preserve">Project </w:t>
      </w:r>
      <w:r w:rsidR="05F6E3E7" w:rsidRPr="3D20DE2E">
        <w:rPr>
          <w:rFonts w:ascii="Times New Roman" w:eastAsia="Times New Roman" w:hAnsi="Times New Roman" w:cs="Times New Roman"/>
          <w:sz w:val="24"/>
          <w:szCs w:val="24"/>
        </w:rPr>
        <w:t>8</w:t>
      </w:r>
      <w:r w:rsidRPr="3D20DE2E">
        <w:rPr>
          <w:rFonts w:ascii="Times New Roman" w:eastAsia="Times New Roman" w:hAnsi="Times New Roman" w:cs="Times New Roman"/>
          <w:sz w:val="24"/>
          <w:szCs w:val="24"/>
        </w:rPr>
        <w:t xml:space="preserve">: </w:t>
      </w:r>
      <w:r w:rsidR="3A11EBF5" w:rsidRPr="3D20DE2E">
        <w:rPr>
          <w:rFonts w:ascii="Times New Roman" w:eastAsia="Times New Roman" w:hAnsi="Times New Roman" w:cs="Times New Roman"/>
          <w:i/>
          <w:iCs/>
          <w:sz w:val="24"/>
          <w:szCs w:val="24"/>
        </w:rPr>
        <w:t>Gordon Growth Model</w:t>
      </w:r>
    </w:p>
    <w:p w14:paraId="429FEDE5" w14:textId="77777777" w:rsidR="00482EB9" w:rsidRPr="00F80914" w:rsidRDefault="00482EB9" w:rsidP="3D20DE2E">
      <w:pPr>
        <w:rPr>
          <w:rFonts w:ascii="Times New Roman" w:eastAsia="Times New Roman" w:hAnsi="Times New Roman" w:cs="Times New Roman"/>
          <w:i/>
          <w:iCs/>
          <w:sz w:val="24"/>
          <w:szCs w:val="24"/>
        </w:rPr>
      </w:pPr>
      <w:r w:rsidRPr="3D20DE2E">
        <w:rPr>
          <w:rFonts w:ascii="Times New Roman" w:eastAsia="Times New Roman" w:hAnsi="Times New Roman" w:cs="Times New Roman"/>
          <w:i/>
          <w:iCs/>
          <w:sz w:val="24"/>
          <w:szCs w:val="24"/>
        </w:rPr>
        <w:t xml:space="preserve">See the syllabus for more information about how I grade these assignments. </w:t>
      </w:r>
    </w:p>
    <w:p w14:paraId="6076159A" w14:textId="77777777" w:rsidR="00482EB9" w:rsidRPr="00F80914" w:rsidRDefault="00482EB9" w:rsidP="3D20DE2E">
      <w:pPr>
        <w:pStyle w:val="NormalWeb"/>
        <w:spacing w:before="0" w:beforeAutospacing="0" w:after="0" w:afterAutospacing="0"/>
        <w:jc w:val="center"/>
        <w:rPr>
          <w:b/>
          <w:bCs/>
          <w:color w:val="000000" w:themeColor="dark1"/>
        </w:rPr>
      </w:pPr>
    </w:p>
    <w:p w14:paraId="673B61CF" w14:textId="561E2567" w:rsidR="64C1070F" w:rsidRDefault="64C1070F" w:rsidP="3D20DE2E">
      <w:pPr>
        <w:spacing w:after="0" w:line="240" w:lineRule="auto"/>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b/>
          <w:bCs/>
          <w:color w:val="000000" w:themeColor="text1"/>
          <w:sz w:val="24"/>
          <w:szCs w:val="24"/>
        </w:rPr>
        <w:t>P</w:t>
      </w:r>
      <w:r w:rsidR="7C60018F" w:rsidRPr="3D20DE2E">
        <w:rPr>
          <w:rFonts w:ascii="Times New Roman" w:eastAsia="Times New Roman" w:hAnsi="Times New Roman" w:cs="Times New Roman"/>
          <w:b/>
          <w:bCs/>
          <w:color w:val="000000" w:themeColor="text1"/>
          <w:sz w:val="24"/>
          <w:szCs w:val="24"/>
        </w:rPr>
        <w:t>art I. Stock Price Using GGM</w:t>
      </w:r>
    </w:p>
    <w:p w14:paraId="3E0EAFB1" w14:textId="649CB0E9"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04B2FE81" w14:textId="6FEB8060" w:rsidR="7C60018F" w:rsidRDefault="7C60018F" w:rsidP="3D20DE2E">
      <w:p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 xml:space="preserve">Economic theory teaches that whenever you buy something, it is reasonable to assume that the amount you pay for the good will reflect what you expect to receive in utility from owning and using the good. Likewise, when you buy a share of common stock, it is reasonable to assume that what you pay for it should be reflective of what you expect to receive from it in the future. In finance, </w:t>
      </w:r>
      <w:r w:rsidR="0028075D">
        <w:rPr>
          <w:rFonts w:ascii="Times New Roman" w:eastAsia="Times New Roman" w:hAnsi="Times New Roman" w:cs="Times New Roman"/>
          <w:color w:val="000000" w:themeColor="text1"/>
          <w:sz w:val="24"/>
          <w:szCs w:val="24"/>
        </w:rPr>
        <w:t xml:space="preserve">this </w:t>
      </w:r>
      <w:r w:rsidRPr="3D20DE2E">
        <w:rPr>
          <w:rFonts w:ascii="Times New Roman" w:eastAsia="Times New Roman" w:hAnsi="Times New Roman" w:cs="Times New Roman"/>
          <w:color w:val="000000" w:themeColor="text1"/>
          <w:sz w:val="24"/>
          <w:szCs w:val="24"/>
        </w:rPr>
        <w:t>is referred to as your return on investment, and what you receive from owning common stock are dividend payments in the future. Moreover, since common stock never matures, dividends provide an infinite stream of future cash flows. Therefore, just like in our bond models, these future dividend payments can be discounted and summed to arrive at a fair stock price today.</w:t>
      </w:r>
    </w:p>
    <w:p w14:paraId="25C3FB2B" w14:textId="24929C06" w:rsidR="3D20DE2E" w:rsidRDefault="3D20DE2E" w:rsidP="3D20DE2E">
      <w:pPr>
        <w:spacing w:after="0" w:line="240" w:lineRule="auto"/>
        <w:rPr>
          <w:rFonts w:ascii="Times New Roman" w:eastAsia="Times New Roman" w:hAnsi="Times New Roman" w:cs="Times New Roman"/>
          <w:color w:val="000000" w:themeColor="text1"/>
          <w:sz w:val="24"/>
          <w:szCs w:val="24"/>
        </w:rPr>
      </w:pPr>
    </w:p>
    <w:p w14:paraId="05C5F2C4" w14:textId="48264066" w:rsidR="7C60018F" w:rsidRDefault="7C60018F" w:rsidP="3D20DE2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Research the Gordon Growth Model (GGM) and explain it in common-sense terms. Provide your discussion on the Answer Sheet below (AS1). Make sure you fully cite your sources.</w:t>
      </w:r>
    </w:p>
    <w:p w14:paraId="3EDEEB2D" w14:textId="19381B85" w:rsidR="3D20DE2E" w:rsidRDefault="3D20DE2E" w:rsidP="3D20DE2E">
      <w:pPr>
        <w:spacing w:after="0" w:line="240" w:lineRule="auto"/>
        <w:ind w:left="720"/>
        <w:jc w:val="both"/>
        <w:rPr>
          <w:rFonts w:ascii="Times New Roman" w:eastAsia="Times New Roman" w:hAnsi="Times New Roman" w:cs="Times New Roman"/>
          <w:color w:val="000000" w:themeColor="text1"/>
          <w:sz w:val="24"/>
          <w:szCs w:val="24"/>
        </w:rPr>
      </w:pPr>
    </w:p>
    <w:p w14:paraId="7B0E562C" w14:textId="25F048CF" w:rsidR="7C60018F" w:rsidRDefault="7C60018F" w:rsidP="3D20DE2E">
      <w:pPr>
        <w:spacing w:after="0" w:line="240" w:lineRule="auto"/>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b/>
          <w:bCs/>
          <w:color w:val="000000" w:themeColor="text1"/>
          <w:sz w:val="24"/>
          <w:szCs w:val="24"/>
        </w:rPr>
        <w:t xml:space="preserve">Part II.  </w:t>
      </w:r>
      <w:r w:rsidR="003523AF">
        <w:rPr>
          <w:rFonts w:ascii="Times New Roman" w:eastAsia="Times New Roman" w:hAnsi="Times New Roman" w:cs="Times New Roman"/>
          <w:b/>
          <w:bCs/>
          <w:color w:val="000000" w:themeColor="text1"/>
          <w:sz w:val="24"/>
          <w:szCs w:val="24"/>
        </w:rPr>
        <w:t xml:space="preserve">Background on </w:t>
      </w:r>
      <w:r w:rsidRPr="3D20DE2E">
        <w:rPr>
          <w:rFonts w:ascii="Times New Roman" w:eastAsia="Times New Roman" w:hAnsi="Times New Roman" w:cs="Times New Roman"/>
          <w:b/>
          <w:bCs/>
          <w:color w:val="000000" w:themeColor="text1"/>
          <w:sz w:val="24"/>
          <w:szCs w:val="24"/>
        </w:rPr>
        <w:t>Calculating</w:t>
      </w:r>
      <w:r w:rsidRPr="3D20DE2E">
        <w:rPr>
          <w:rFonts w:ascii="Times New Roman" w:eastAsia="Times New Roman" w:hAnsi="Times New Roman" w:cs="Times New Roman"/>
          <w:b/>
          <w:bCs/>
          <w:i/>
          <w:iCs/>
          <w:color w:val="000000" w:themeColor="text1"/>
          <w:sz w:val="24"/>
          <w:szCs w:val="24"/>
        </w:rPr>
        <w:t xml:space="preserve"> </w:t>
      </w:r>
      <w:proofErr w:type="spellStart"/>
      <w:r w:rsidRPr="3D20DE2E">
        <w:rPr>
          <w:rFonts w:ascii="Times New Roman" w:eastAsia="Times New Roman" w:hAnsi="Times New Roman" w:cs="Times New Roman"/>
          <w:b/>
          <w:bCs/>
          <w:i/>
          <w:iCs/>
          <w:color w:val="000000" w:themeColor="text1"/>
          <w:sz w:val="24"/>
          <w:szCs w:val="24"/>
        </w:rPr>
        <w:t>i</w:t>
      </w:r>
      <w:proofErr w:type="spellEnd"/>
      <w:r w:rsidRPr="3D20DE2E">
        <w:rPr>
          <w:rFonts w:ascii="Times New Roman" w:eastAsia="Times New Roman" w:hAnsi="Times New Roman" w:cs="Times New Roman"/>
          <w:b/>
          <w:bCs/>
          <w:color w:val="000000" w:themeColor="text1"/>
          <w:sz w:val="24"/>
          <w:szCs w:val="24"/>
        </w:rPr>
        <w:t xml:space="preserve"> Using CAPM</w:t>
      </w:r>
    </w:p>
    <w:p w14:paraId="5024B2DA" w14:textId="35D7ECB4" w:rsidR="3D20DE2E" w:rsidRDefault="3D20DE2E" w:rsidP="3D20DE2E">
      <w:pPr>
        <w:spacing w:after="0" w:line="240" w:lineRule="auto"/>
        <w:ind w:left="720" w:hanging="360"/>
        <w:rPr>
          <w:rFonts w:ascii="Times New Roman" w:eastAsia="Times New Roman" w:hAnsi="Times New Roman" w:cs="Times New Roman"/>
          <w:color w:val="000000" w:themeColor="text1"/>
          <w:sz w:val="24"/>
          <w:szCs w:val="24"/>
        </w:rPr>
      </w:pPr>
    </w:p>
    <w:p w14:paraId="322F886F" w14:textId="280D58E4" w:rsidR="7C60018F" w:rsidRDefault="7C60018F" w:rsidP="3D20DE2E">
      <w:pPr>
        <w:spacing w:after="0" w:line="240" w:lineRule="auto"/>
        <w:ind w:left="36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 xml:space="preserve">The Capital Asset Pricing Model (CAPM) is often used in finance to calculate the required rate of return for any risky asset. Your required rate of return is the increase in value you should expect to see based on the inherent risk level of the asset. Here is how it works.  </w:t>
      </w:r>
    </w:p>
    <w:p w14:paraId="58BD3613" w14:textId="380FFDB2" w:rsidR="3D20DE2E" w:rsidRDefault="3D20DE2E" w:rsidP="3D20DE2E">
      <w:pPr>
        <w:spacing w:after="0" w:line="240" w:lineRule="auto"/>
        <w:ind w:left="720"/>
        <w:jc w:val="both"/>
        <w:rPr>
          <w:rFonts w:ascii="Times New Roman" w:eastAsia="Times New Roman" w:hAnsi="Times New Roman" w:cs="Times New Roman"/>
          <w:color w:val="000000" w:themeColor="text1"/>
          <w:sz w:val="24"/>
          <w:szCs w:val="24"/>
        </w:rPr>
      </w:pPr>
    </w:p>
    <w:p w14:paraId="68947708" w14:textId="23421663" w:rsidR="00F22D75" w:rsidRDefault="7C60018F" w:rsidP="3D20DE2E">
      <w:pPr>
        <w:spacing w:after="0" w:line="240" w:lineRule="auto"/>
        <w:ind w:left="72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 xml:space="preserve">The beta coefficient (beta or </w:t>
      </w:r>
      <w:r w:rsidRPr="3D20DE2E">
        <w:rPr>
          <w:rFonts w:ascii="Times New Roman" w:eastAsia="Times New Roman" w:hAnsi="Times New Roman" w:cs="Times New Roman"/>
          <w:b/>
          <w:bCs/>
          <w:i/>
          <w:iCs/>
          <w:color w:val="000000" w:themeColor="text1"/>
          <w:sz w:val="24"/>
          <w:szCs w:val="24"/>
        </w:rPr>
        <w:t>b</w:t>
      </w:r>
      <w:r w:rsidRPr="3D20DE2E">
        <w:rPr>
          <w:rFonts w:ascii="Times New Roman" w:eastAsia="Times New Roman" w:hAnsi="Times New Roman" w:cs="Times New Roman"/>
          <w:color w:val="000000" w:themeColor="text1"/>
          <w:sz w:val="24"/>
          <w:szCs w:val="24"/>
        </w:rPr>
        <w:t xml:space="preserve">) is a measure of market risk. As a result, we can use beta to determine the required return for the GGM. </w:t>
      </w:r>
    </w:p>
    <w:p w14:paraId="0B914159" w14:textId="77777777" w:rsidR="00F22D75" w:rsidRDefault="00F22D75" w:rsidP="3D20DE2E">
      <w:pPr>
        <w:spacing w:after="0" w:line="240" w:lineRule="auto"/>
        <w:ind w:left="720"/>
        <w:jc w:val="both"/>
        <w:rPr>
          <w:rFonts w:ascii="Times New Roman" w:eastAsia="Times New Roman" w:hAnsi="Times New Roman" w:cs="Times New Roman"/>
          <w:color w:val="000000" w:themeColor="text1"/>
          <w:sz w:val="24"/>
          <w:szCs w:val="24"/>
        </w:rPr>
      </w:pPr>
    </w:p>
    <w:p w14:paraId="3C376713" w14:textId="5E84AF33" w:rsidR="7C60018F" w:rsidRDefault="7C60018F" w:rsidP="3D20DE2E">
      <w:pPr>
        <w:spacing w:after="0" w:line="240" w:lineRule="auto"/>
        <w:ind w:left="72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Assume the required return (</w:t>
      </w:r>
      <w:proofErr w:type="spellStart"/>
      <w:r w:rsidRPr="3D20DE2E">
        <w:rPr>
          <w:rFonts w:ascii="Times New Roman" w:eastAsia="Times New Roman" w:hAnsi="Times New Roman" w:cs="Times New Roman"/>
          <w:b/>
          <w:bCs/>
          <w:i/>
          <w:iCs/>
          <w:color w:val="000000" w:themeColor="text1"/>
          <w:sz w:val="24"/>
          <w:szCs w:val="24"/>
        </w:rPr>
        <w:t>i</w:t>
      </w:r>
      <w:proofErr w:type="spellEnd"/>
      <w:r w:rsidRPr="3D20DE2E">
        <w:rPr>
          <w:rFonts w:ascii="Times New Roman" w:eastAsia="Times New Roman" w:hAnsi="Times New Roman" w:cs="Times New Roman"/>
          <w:color w:val="000000" w:themeColor="text1"/>
          <w:sz w:val="24"/>
          <w:szCs w:val="24"/>
        </w:rPr>
        <w:t xml:space="preserve">) has two components: </w:t>
      </w:r>
    </w:p>
    <w:p w14:paraId="73676BB6" w14:textId="7D153F7C"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4FDE6AEF" w14:textId="3523E8CC" w:rsidR="7C60018F" w:rsidRDefault="7C60018F" w:rsidP="009D60D5">
      <w:pPr>
        <w:pStyle w:val="ListParagraph"/>
        <w:spacing w:after="0" w:line="240" w:lineRule="auto"/>
        <w:ind w:left="108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1) The nominal risk-free rate (</w:t>
      </w:r>
      <w:proofErr w:type="spellStart"/>
      <w:r w:rsidRPr="3D20DE2E">
        <w:rPr>
          <w:rFonts w:ascii="Times New Roman" w:eastAsia="Times New Roman" w:hAnsi="Times New Roman" w:cs="Times New Roman"/>
          <w:b/>
          <w:bCs/>
          <w:i/>
          <w:iCs/>
          <w:color w:val="000000" w:themeColor="text1"/>
          <w:sz w:val="24"/>
          <w:szCs w:val="24"/>
        </w:rPr>
        <w:t>r</w:t>
      </w:r>
      <w:r w:rsidRPr="3D20DE2E">
        <w:rPr>
          <w:rFonts w:ascii="Times New Roman" w:eastAsia="Times New Roman" w:hAnsi="Times New Roman" w:cs="Times New Roman"/>
          <w:b/>
          <w:bCs/>
          <w:i/>
          <w:iCs/>
          <w:color w:val="000000" w:themeColor="text1"/>
          <w:sz w:val="24"/>
          <w:szCs w:val="24"/>
          <w:vertAlign w:val="subscript"/>
        </w:rPr>
        <w:t>nrf</w:t>
      </w:r>
      <w:proofErr w:type="spellEnd"/>
      <w:r w:rsidRPr="3D20DE2E">
        <w:rPr>
          <w:rFonts w:ascii="Times New Roman" w:eastAsia="Times New Roman" w:hAnsi="Times New Roman" w:cs="Times New Roman"/>
          <w:color w:val="000000" w:themeColor="text1"/>
          <w:sz w:val="24"/>
          <w:szCs w:val="24"/>
        </w:rPr>
        <w:t xml:space="preserve">) that an investor can earn on a risk-free security. In the United States a U.S. Treasury bill is often used as the </w:t>
      </w:r>
      <w:proofErr w:type="spellStart"/>
      <w:r w:rsidRPr="3D20DE2E">
        <w:rPr>
          <w:rFonts w:ascii="Times New Roman" w:eastAsia="Times New Roman" w:hAnsi="Times New Roman" w:cs="Times New Roman"/>
          <w:b/>
          <w:bCs/>
          <w:i/>
          <w:iCs/>
          <w:color w:val="000000" w:themeColor="text1"/>
          <w:sz w:val="24"/>
          <w:szCs w:val="24"/>
        </w:rPr>
        <w:t>r</w:t>
      </w:r>
      <w:r w:rsidRPr="3D20DE2E">
        <w:rPr>
          <w:rFonts w:ascii="Times New Roman" w:eastAsia="Times New Roman" w:hAnsi="Times New Roman" w:cs="Times New Roman"/>
          <w:b/>
          <w:bCs/>
          <w:i/>
          <w:iCs/>
          <w:color w:val="000000" w:themeColor="text1"/>
          <w:sz w:val="24"/>
          <w:szCs w:val="24"/>
          <w:vertAlign w:val="subscript"/>
        </w:rPr>
        <w:t>nrf</w:t>
      </w:r>
      <w:proofErr w:type="spellEnd"/>
      <w:r w:rsidRPr="3D20DE2E">
        <w:rPr>
          <w:rFonts w:ascii="Times New Roman" w:eastAsia="Times New Roman" w:hAnsi="Times New Roman" w:cs="Times New Roman"/>
          <w:color w:val="000000" w:themeColor="text1"/>
          <w:sz w:val="24"/>
          <w:szCs w:val="24"/>
        </w:rPr>
        <w:t xml:space="preserve"> for short-term investments, while a U.S. Treasury note or bond is often used as the </w:t>
      </w:r>
      <w:proofErr w:type="spellStart"/>
      <w:r w:rsidRPr="3D20DE2E">
        <w:rPr>
          <w:rFonts w:ascii="Times New Roman" w:eastAsia="Times New Roman" w:hAnsi="Times New Roman" w:cs="Times New Roman"/>
          <w:b/>
          <w:bCs/>
          <w:i/>
          <w:iCs/>
          <w:color w:val="000000" w:themeColor="text1"/>
          <w:sz w:val="24"/>
          <w:szCs w:val="24"/>
        </w:rPr>
        <w:t>r</w:t>
      </w:r>
      <w:r w:rsidRPr="3D20DE2E">
        <w:rPr>
          <w:rFonts w:ascii="Times New Roman" w:eastAsia="Times New Roman" w:hAnsi="Times New Roman" w:cs="Times New Roman"/>
          <w:b/>
          <w:bCs/>
          <w:i/>
          <w:iCs/>
          <w:color w:val="000000" w:themeColor="text1"/>
          <w:sz w:val="24"/>
          <w:szCs w:val="24"/>
          <w:vertAlign w:val="subscript"/>
        </w:rPr>
        <w:t>nrf</w:t>
      </w:r>
      <w:proofErr w:type="spellEnd"/>
      <w:r w:rsidRPr="3D20DE2E">
        <w:rPr>
          <w:rFonts w:ascii="Times New Roman" w:eastAsia="Times New Roman" w:hAnsi="Times New Roman" w:cs="Times New Roman"/>
          <w:color w:val="000000" w:themeColor="text1"/>
          <w:sz w:val="24"/>
          <w:szCs w:val="24"/>
        </w:rPr>
        <w:t xml:space="preserve"> for long-term investments. </w:t>
      </w:r>
    </w:p>
    <w:p w14:paraId="25B0B010" w14:textId="1362A9A6"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258DA82B" w14:textId="50A44097" w:rsidR="7C60018F" w:rsidRDefault="7C60018F" w:rsidP="00F74C4F">
      <w:pPr>
        <w:spacing w:after="0" w:line="240" w:lineRule="auto"/>
        <w:ind w:left="108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2) The risk premium. The risk premium is also composed of two parts:</w:t>
      </w:r>
    </w:p>
    <w:p w14:paraId="1540A7CA" w14:textId="20FE9528"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122D6656" w14:textId="45888174" w:rsidR="7C60018F" w:rsidRDefault="7C60018F" w:rsidP="00F74C4F">
      <w:pPr>
        <w:spacing w:after="0" w:line="240" w:lineRule="auto"/>
        <w:ind w:left="144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1) The additional return that investing in securities offers above the risk-free rate. The additional return is the extent to which the return in the market (</w:t>
      </w:r>
      <w:r w:rsidRPr="3D20DE2E">
        <w:rPr>
          <w:rFonts w:ascii="Times New Roman" w:eastAsia="Times New Roman" w:hAnsi="Times New Roman" w:cs="Times New Roman"/>
          <w:b/>
          <w:bCs/>
          <w:i/>
          <w:iCs/>
          <w:color w:val="000000" w:themeColor="text1"/>
          <w:sz w:val="24"/>
          <w:szCs w:val="24"/>
        </w:rPr>
        <w:t>r</w:t>
      </w:r>
      <w:r w:rsidRPr="3D20DE2E">
        <w:rPr>
          <w:rFonts w:ascii="Times New Roman" w:eastAsia="Times New Roman" w:hAnsi="Times New Roman" w:cs="Times New Roman"/>
          <w:b/>
          <w:bCs/>
          <w:i/>
          <w:iCs/>
          <w:color w:val="000000" w:themeColor="text1"/>
          <w:sz w:val="24"/>
          <w:szCs w:val="24"/>
          <w:vertAlign w:val="subscript"/>
        </w:rPr>
        <w:t>m</w:t>
      </w:r>
      <w:r w:rsidRPr="3D20DE2E">
        <w:rPr>
          <w:rFonts w:ascii="Times New Roman" w:eastAsia="Times New Roman" w:hAnsi="Times New Roman" w:cs="Times New Roman"/>
          <w:color w:val="000000" w:themeColor="text1"/>
          <w:sz w:val="24"/>
          <w:szCs w:val="24"/>
        </w:rPr>
        <w:t>) exceeds the nominal risk-free rate (</w:t>
      </w:r>
      <w:r w:rsidRPr="3D20DE2E">
        <w:rPr>
          <w:rFonts w:ascii="Times New Roman" w:eastAsia="Times New Roman" w:hAnsi="Times New Roman" w:cs="Times New Roman"/>
          <w:b/>
          <w:bCs/>
          <w:i/>
          <w:iCs/>
          <w:color w:val="000000" w:themeColor="text1"/>
          <w:sz w:val="24"/>
          <w:szCs w:val="24"/>
        </w:rPr>
        <w:t>r</w:t>
      </w:r>
      <w:r w:rsidRPr="3D20DE2E">
        <w:rPr>
          <w:rFonts w:ascii="Times New Roman" w:eastAsia="Times New Roman" w:hAnsi="Times New Roman" w:cs="Times New Roman"/>
          <w:b/>
          <w:bCs/>
          <w:i/>
          <w:iCs/>
          <w:color w:val="000000" w:themeColor="text1"/>
          <w:sz w:val="24"/>
          <w:szCs w:val="24"/>
          <w:vertAlign w:val="subscript"/>
        </w:rPr>
        <w:t>m</w:t>
      </w:r>
      <w:r w:rsidRPr="3D20DE2E">
        <w:rPr>
          <w:rFonts w:ascii="Times New Roman" w:eastAsia="Times New Roman" w:hAnsi="Times New Roman" w:cs="Times New Roman"/>
          <w:b/>
          <w:bCs/>
          <w:i/>
          <w:iCs/>
          <w:color w:val="000000" w:themeColor="text1"/>
          <w:sz w:val="24"/>
          <w:szCs w:val="24"/>
        </w:rPr>
        <w:t xml:space="preserve"> – </w:t>
      </w:r>
      <w:proofErr w:type="spellStart"/>
      <w:r w:rsidRPr="3D20DE2E">
        <w:rPr>
          <w:rFonts w:ascii="Times New Roman" w:eastAsia="Times New Roman" w:hAnsi="Times New Roman" w:cs="Times New Roman"/>
          <w:b/>
          <w:bCs/>
          <w:i/>
          <w:iCs/>
          <w:color w:val="000000" w:themeColor="text1"/>
          <w:sz w:val="24"/>
          <w:szCs w:val="24"/>
        </w:rPr>
        <w:t>r</w:t>
      </w:r>
      <w:r w:rsidRPr="3D20DE2E">
        <w:rPr>
          <w:rFonts w:ascii="Times New Roman" w:eastAsia="Times New Roman" w:hAnsi="Times New Roman" w:cs="Times New Roman"/>
          <w:b/>
          <w:bCs/>
          <w:i/>
          <w:iCs/>
          <w:color w:val="000000" w:themeColor="text1"/>
          <w:sz w:val="24"/>
          <w:szCs w:val="24"/>
          <w:vertAlign w:val="subscript"/>
        </w:rPr>
        <w:t>nrf</w:t>
      </w:r>
      <w:proofErr w:type="spellEnd"/>
      <w:r w:rsidRPr="3D20DE2E">
        <w:rPr>
          <w:rFonts w:ascii="Times New Roman" w:eastAsia="Times New Roman" w:hAnsi="Times New Roman" w:cs="Times New Roman"/>
          <w:color w:val="000000" w:themeColor="text1"/>
          <w:sz w:val="24"/>
          <w:szCs w:val="24"/>
        </w:rPr>
        <w:t>).</w:t>
      </w:r>
    </w:p>
    <w:p w14:paraId="4D47EE0D" w14:textId="308834C6" w:rsidR="3D20DE2E" w:rsidRDefault="3D20DE2E" w:rsidP="00F74C4F">
      <w:pPr>
        <w:spacing w:after="0" w:line="240" w:lineRule="auto"/>
        <w:ind w:left="1080"/>
        <w:jc w:val="both"/>
        <w:rPr>
          <w:rFonts w:ascii="Times New Roman" w:eastAsia="Times New Roman" w:hAnsi="Times New Roman" w:cs="Times New Roman"/>
          <w:color w:val="000000" w:themeColor="text1"/>
          <w:sz w:val="24"/>
          <w:szCs w:val="24"/>
        </w:rPr>
      </w:pPr>
    </w:p>
    <w:p w14:paraId="5A7D9359" w14:textId="1D89C8F9" w:rsidR="7C60018F" w:rsidRDefault="7C60018F" w:rsidP="00F74C4F">
      <w:pPr>
        <w:spacing w:after="0" w:line="240" w:lineRule="auto"/>
        <w:ind w:left="144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2) The volatility of the particular security relative to the market as a whole (i.e., the beta).</w:t>
      </w:r>
      <w:r w:rsidR="007804B2">
        <w:rPr>
          <w:rFonts w:ascii="Times New Roman" w:eastAsia="Times New Roman" w:hAnsi="Times New Roman" w:cs="Times New Roman"/>
          <w:color w:val="000000" w:themeColor="text1"/>
          <w:sz w:val="24"/>
          <w:szCs w:val="24"/>
        </w:rPr>
        <w:t xml:space="preserve"> </w:t>
      </w:r>
      <w:r w:rsidR="007804B2" w:rsidRPr="3D20DE2E">
        <w:rPr>
          <w:rFonts w:ascii="Times New Roman" w:eastAsia="Times New Roman" w:hAnsi="Times New Roman" w:cs="Times New Roman"/>
          <w:color w:val="000000" w:themeColor="text1"/>
          <w:sz w:val="24"/>
          <w:szCs w:val="24"/>
        </w:rPr>
        <w:t xml:space="preserve">Use the beta data to compute the </w:t>
      </w:r>
      <w:r w:rsidR="00534ADE">
        <w:rPr>
          <w:rFonts w:ascii="Times New Roman" w:eastAsia="Times New Roman" w:hAnsi="Times New Roman" w:cs="Times New Roman"/>
          <w:color w:val="000000" w:themeColor="text1"/>
          <w:sz w:val="24"/>
          <w:szCs w:val="24"/>
        </w:rPr>
        <w:t xml:space="preserve">required return </w:t>
      </w:r>
      <w:r w:rsidR="007804B2" w:rsidRPr="3D20DE2E">
        <w:rPr>
          <w:rFonts w:ascii="Times New Roman" w:eastAsia="Times New Roman" w:hAnsi="Times New Roman" w:cs="Times New Roman"/>
          <w:color w:val="000000" w:themeColor="text1"/>
          <w:sz w:val="24"/>
          <w:szCs w:val="24"/>
        </w:rPr>
        <w:t xml:space="preserve">for each company and then </w:t>
      </w:r>
      <w:r w:rsidR="007804B2" w:rsidRPr="3D20DE2E">
        <w:rPr>
          <w:rFonts w:ascii="Times New Roman" w:eastAsia="Times New Roman" w:hAnsi="Times New Roman" w:cs="Times New Roman"/>
          <w:color w:val="000000" w:themeColor="text1"/>
          <w:sz w:val="24"/>
          <w:szCs w:val="24"/>
        </w:rPr>
        <w:lastRenderedPageBreak/>
        <w:t xml:space="preserve">compare it to the current stock price of that company. </w:t>
      </w:r>
      <w:r w:rsidR="007804B2" w:rsidRPr="3D20DE2E">
        <w:rPr>
          <w:rFonts w:ascii="Times New Roman" w:eastAsia="Times New Roman" w:hAnsi="Times New Roman" w:cs="Times New Roman"/>
          <w:i/>
          <w:iCs/>
          <w:color w:val="000000" w:themeColor="text1"/>
          <w:sz w:val="24"/>
          <w:szCs w:val="24"/>
        </w:rPr>
        <w:t>Note that we will be learning more about beta in Chapter 10 of the text.</w:t>
      </w:r>
    </w:p>
    <w:p w14:paraId="0DB47507" w14:textId="73253272"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3EFA6863" w14:textId="121BEFFF" w:rsidR="7C60018F" w:rsidRPr="007B248D" w:rsidRDefault="7C60018F" w:rsidP="3D20DE2E">
      <w:pPr>
        <w:spacing w:after="0" w:line="240" w:lineRule="auto"/>
        <w:ind w:left="36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 xml:space="preserve">Thus, </w:t>
      </w:r>
      <w:r w:rsidRPr="007B248D">
        <w:rPr>
          <w:rFonts w:ascii="Times New Roman" w:eastAsia="Times New Roman" w:hAnsi="Times New Roman" w:cs="Times New Roman"/>
          <w:color w:val="000000" w:themeColor="text1"/>
          <w:sz w:val="24"/>
          <w:szCs w:val="24"/>
        </w:rPr>
        <w:t xml:space="preserve">the required return </w:t>
      </w:r>
      <w:r w:rsidRPr="007B248D">
        <w:rPr>
          <w:rFonts w:ascii="Times New Roman" w:eastAsia="Times New Roman" w:hAnsi="Times New Roman" w:cs="Times New Roman"/>
          <w:b/>
          <w:bCs/>
          <w:i/>
          <w:iCs/>
          <w:color w:val="000000" w:themeColor="text1"/>
          <w:sz w:val="24"/>
          <w:szCs w:val="24"/>
        </w:rPr>
        <w:t>(</w:t>
      </w:r>
      <w:proofErr w:type="spellStart"/>
      <w:r w:rsidRPr="007B248D">
        <w:rPr>
          <w:rFonts w:ascii="Times New Roman" w:eastAsia="Times New Roman" w:hAnsi="Times New Roman" w:cs="Times New Roman"/>
          <w:b/>
          <w:bCs/>
          <w:i/>
          <w:iCs/>
          <w:color w:val="000000" w:themeColor="text1"/>
          <w:sz w:val="24"/>
          <w:szCs w:val="24"/>
        </w:rPr>
        <w:t>i</w:t>
      </w:r>
      <w:proofErr w:type="spellEnd"/>
      <w:r w:rsidRPr="007B248D">
        <w:rPr>
          <w:rFonts w:ascii="Times New Roman" w:eastAsia="Times New Roman" w:hAnsi="Times New Roman" w:cs="Times New Roman"/>
          <w:b/>
          <w:bCs/>
          <w:i/>
          <w:iCs/>
          <w:color w:val="000000" w:themeColor="text1"/>
          <w:sz w:val="24"/>
          <w:szCs w:val="24"/>
        </w:rPr>
        <w:t>)</w:t>
      </w:r>
      <w:r w:rsidRPr="007B248D">
        <w:rPr>
          <w:rFonts w:ascii="Times New Roman" w:eastAsia="Times New Roman" w:hAnsi="Times New Roman" w:cs="Times New Roman"/>
          <w:color w:val="000000" w:themeColor="text1"/>
          <w:sz w:val="24"/>
          <w:szCs w:val="24"/>
        </w:rPr>
        <w:t xml:space="preserve"> is </w:t>
      </w:r>
    </w:p>
    <w:p w14:paraId="54D2C2BB" w14:textId="45D2EE92" w:rsidR="00C52E8A" w:rsidRPr="007B248D" w:rsidRDefault="00C52E8A" w:rsidP="007B10AB">
      <w:pPr>
        <w:tabs>
          <w:tab w:val="left" w:pos="7920"/>
        </w:tabs>
        <w:spacing w:after="0" w:line="240" w:lineRule="auto"/>
        <w:ind w:left="3690"/>
        <w:jc w:val="center"/>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i=</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nrf</m:t>
            </m:r>
          </m:sub>
        </m:sSub>
        <m:r>
          <w:rPr>
            <w:rFonts w:ascii="Cambria Math" w:eastAsia="Times New Roman" w:hAnsi="Cambria Math" w:cs="Times New Roman"/>
            <w:color w:val="000000" w:themeColor="text1"/>
            <w:sz w:val="24"/>
            <w:szCs w:val="24"/>
          </w:rPr>
          <m:t>+β</m:t>
        </m:r>
        <m:d>
          <m:dPr>
            <m:ctrlPr>
              <w:rPr>
                <w:rFonts w:ascii="Cambria Math" w:eastAsia="Times New Roman" w:hAnsi="Cambria Math" w:cs="Times New Roman"/>
                <w:i/>
                <w:color w:val="000000" w:themeColor="text1"/>
                <w:sz w:val="24"/>
                <w:szCs w:val="24"/>
              </w:rPr>
            </m:ctrlPr>
          </m:d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m</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nrf</m:t>
                </m:r>
              </m:sub>
            </m:sSub>
          </m:e>
        </m:d>
      </m:oMath>
      <w:r w:rsidR="007B248D">
        <w:rPr>
          <w:rFonts w:ascii="Times New Roman" w:eastAsia="Times New Roman" w:hAnsi="Times New Roman" w:cs="Times New Roman"/>
          <w:color w:val="000000" w:themeColor="text1"/>
          <w:sz w:val="24"/>
          <w:szCs w:val="24"/>
        </w:rPr>
        <w:t xml:space="preserve"> </w:t>
      </w:r>
      <w:r w:rsidR="003560A0">
        <w:rPr>
          <w:rFonts w:ascii="Times New Roman" w:eastAsia="Times New Roman" w:hAnsi="Times New Roman" w:cs="Times New Roman"/>
          <w:color w:val="000000" w:themeColor="text1"/>
          <w:sz w:val="24"/>
          <w:szCs w:val="24"/>
        </w:rPr>
        <w:t xml:space="preserve"> </w:t>
      </w:r>
      <w:r w:rsidR="007B10AB">
        <w:rPr>
          <w:rFonts w:ascii="Times New Roman" w:eastAsia="Times New Roman" w:hAnsi="Times New Roman" w:cs="Times New Roman"/>
          <w:color w:val="000000" w:themeColor="text1"/>
          <w:sz w:val="24"/>
          <w:szCs w:val="24"/>
        </w:rPr>
        <w:tab/>
      </w:r>
      <w:r w:rsidR="007B248D" w:rsidRPr="007B10AB">
        <w:rPr>
          <w:rFonts w:ascii="Times New Roman" w:eastAsia="Times New Roman" w:hAnsi="Times New Roman" w:cs="Times New Roman"/>
          <w:b/>
          <w:bCs/>
          <w:color w:val="000000" w:themeColor="text1"/>
          <w:sz w:val="24"/>
          <w:szCs w:val="24"/>
        </w:rPr>
        <w:t xml:space="preserve">Equation </w:t>
      </w:r>
      <w:r w:rsidR="003C01F6" w:rsidRPr="007B10AB">
        <w:rPr>
          <w:rFonts w:ascii="Times New Roman" w:eastAsia="Times New Roman" w:hAnsi="Times New Roman" w:cs="Times New Roman"/>
          <w:b/>
          <w:bCs/>
          <w:color w:val="000000" w:themeColor="text1"/>
          <w:sz w:val="24"/>
          <w:szCs w:val="24"/>
        </w:rPr>
        <w:t>1</w:t>
      </w:r>
    </w:p>
    <w:p w14:paraId="5E44A3FC" w14:textId="112D058B" w:rsidR="7C60018F" w:rsidRDefault="7C60018F" w:rsidP="3D20DE2E">
      <w:pPr>
        <w:spacing w:after="0" w:line="240" w:lineRule="auto"/>
        <w:rPr>
          <w:rFonts w:ascii="Times New Roman" w:eastAsia="Times New Roman" w:hAnsi="Times New Roman" w:cs="Times New Roman"/>
          <w:color w:val="000000" w:themeColor="text1"/>
          <w:sz w:val="24"/>
          <w:szCs w:val="24"/>
          <w:highlight w:val="yellow"/>
        </w:rPr>
      </w:pPr>
    </w:p>
    <w:p w14:paraId="69ED1581" w14:textId="3DB0C0DD" w:rsidR="3D20DE2E" w:rsidRDefault="3D20DE2E" w:rsidP="3D20DE2E">
      <w:pPr>
        <w:spacing w:after="0" w:line="240" w:lineRule="auto"/>
        <w:rPr>
          <w:rFonts w:ascii="Times New Roman" w:eastAsia="Times New Roman" w:hAnsi="Times New Roman" w:cs="Times New Roman"/>
          <w:color w:val="000000" w:themeColor="text1"/>
          <w:sz w:val="24"/>
          <w:szCs w:val="24"/>
        </w:rPr>
      </w:pPr>
    </w:p>
    <w:p w14:paraId="44BC07CD" w14:textId="4EDC5DD7"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3E50AC9E" w14:textId="33545A94" w:rsidR="7C60018F" w:rsidRDefault="7C60018F" w:rsidP="3D20DE2E">
      <w:pPr>
        <w:spacing w:after="0" w:line="240" w:lineRule="auto"/>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b/>
          <w:bCs/>
          <w:color w:val="000000" w:themeColor="text1"/>
          <w:sz w:val="24"/>
          <w:szCs w:val="24"/>
        </w:rPr>
        <w:t>Part III. Analysis</w:t>
      </w:r>
    </w:p>
    <w:p w14:paraId="12DAF389" w14:textId="16DE2B4F" w:rsidR="3D20DE2E" w:rsidRDefault="3D20DE2E" w:rsidP="3D20DE2E">
      <w:pPr>
        <w:spacing w:after="0" w:line="240" w:lineRule="auto"/>
        <w:rPr>
          <w:rFonts w:ascii="Times New Roman" w:eastAsia="Times New Roman" w:hAnsi="Times New Roman" w:cs="Times New Roman"/>
          <w:color w:val="000000" w:themeColor="text1"/>
          <w:sz w:val="24"/>
          <w:szCs w:val="24"/>
        </w:rPr>
      </w:pPr>
    </w:p>
    <w:p w14:paraId="5201FD9D" w14:textId="4F2C8DB2" w:rsidR="00A16FF7" w:rsidRDefault="009D60D5" w:rsidP="00BC042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Find</w:t>
      </w:r>
      <w:r w:rsidRPr="3D20DE2E">
        <w:rPr>
          <w:rFonts w:ascii="Times New Roman" w:eastAsia="Times New Roman" w:hAnsi="Times New Roman" w:cs="Times New Roman"/>
          <w:color w:val="000000" w:themeColor="text1"/>
          <w:sz w:val="24"/>
          <w:szCs w:val="24"/>
        </w:rPr>
        <w:t xml:space="preserve"> bond yield data from the U.S. Treasury.</w:t>
      </w:r>
      <w:r>
        <w:rPr>
          <w:rFonts w:ascii="Times New Roman" w:eastAsia="Times New Roman" w:hAnsi="Times New Roman" w:cs="Times New Roman"/>
          <w:color w:val="000000" w:themeColor="text1"/>
          <w:sz w:val="24"/>
          <w:szCs w:val="24"/>
        </w:rPr>
        <w:t xml:space="preserve"> </w:t>
      </w:r>
      <w:r w:rsidRPr="3D20DE2E">
        <w:rPr>
          <w:rFonts w:ascii="Times New Roman" w:eastAsia="Times New Roman" w:hAnsi="Times New Roman" w:cs="Times New Roman"/>
          <w:color w:val="000000" w:themeColor="text1"/>
          <w:sz w:val="24"/>
          <w:szCs w:val="24"/>
        </w:rPr>
        <w:t>Since we are investing for the long-term, we will us</w:t>
      </w:r>
      <w:r w:rsidR="00D41954">
        <w:rPr>
          <w:rFonts w:ascii="Times New Roman" w:eastAsia="Times New Roman" w:hAnsi="Times New Roman" w:cs="Times New Roman"/>
          <w:color w:val="000000" w:themeColor="text1"/>
          <w:sz w:val="24"/>
          <w:szCs w:val="24"/>
        </w:rPr>
        <w:t>e</w:t>
      </w:r>
      <w:r w:rsidRPr="3D20DE2E">
        <w:rPr>
          <w:rFonts w:ascii="Times New Roman" w:eastAsia="Times New Roman" w:hAnsi="Times New Roman" w:cs="Times New Roman"/>
          <w:color w:val="000000" w:themeColor="text1"/>
          <w:sz w:val="24"/>
          <w:szCs w:val="24"/>
        </w:rPr>
        <w:t xml:space="preserve"> the 10-year Treasury Note rate for this project</w:t>
      </w:r>
      <w:r>
        <w:rPr>
          <w:rFonts w:ascii="Times New Roman" w:eastAsia="Times New Roman" w:hAnsi="Times New Roman" w:cs="Times New Roman"/>
          <w:color w:val="000000" w:themeColor="text1"/>
          <w:sz w:val="24"/>
          <w:szCs w:val="24"/>
        </w:rPr>
        <w:t xml:space="preserve">. This will be your value for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r</m:t>
            </m:r>
          </m:e>
          <m:sub>
            <m:r>
              <w:rPr>
                <w:rFonts w:ascii="Cambria Math" w:eastAsia="Times New Roman" w:hAnsi="Cambria Math" w:cs="Times New Roman"/>
                <w:color w:val="000000" w:themeColor="text1"/>
                <w:sz w:val="24"/>
                <w:szCs w:val="24"/>
              </w:rPr>
              <m:t>nrf</m:t>
            </m:r>
          </m:sub>
        </m:sSub>
      </m:oMath>
      <w:r w:rsidR="00D41954">
        <w:rPr>
          <w:rFonts w:ascii="Times New Roman" w:eastAsia="Times New Roman" w:hAnsi="Times New Roman" w:cs="Times New Roman"/>
          <w:color w:val="000000" w:themeColor="text1"/>
          <w:sz w:val="24"/>
          <w:szCs w:val="24"/>
        </w:rPr>
        <w:t xml:space="preserve"> (AS2). </w:t>
      </w:r>
      <w:r w:rsidRPr="009D60D5">
        <w:rPr>
          <w:rFonts w:ascii="Times New Roman" w:eastAsia="Times New Roman" w:hAnsi="Times New Roman" w:cs="Times New Roman"/>
          <w:color w:val="000000" w:themeColor="text1"/>
          <w:sz w:val="24"/>
          <w:szCs w:val="24"/>
        </w:rPr>
        <w:t xml:space="preserve">The current daily yield curve rates can be obtained on the U.S. Department of Treasury’s </w:t>
      </w:r>
      <w:r w:rsidR="00D41954">
        <w:rPr>
          <w:rFonts w:ascii="Times New Roman" w:eastAsia="Times New Roman" w:hAnsi="Times New Roman" w:cs="Times New Roman"/>
          <w:color w:val="000000" w:themeColor="text1"/>
          <w:sz w:val="24"/>
          <w:szCs w:val="24"/>
        </w:rPr>
        <w:t xml:space="preserve"> </w:t>
      </w:r>
      <w:r w:rsidRPr="009D60D5">
        <w:rPr>
          <w:rFonts w:ascii="Times New Roman" w:eastAsia="Times New Roman" w:hAnsi="Times New Roman" w:cs="Times New Roman"/>
          <w:color w:val="000000" w:themeColor="text1"/>
          <w:sz w:val="24"/>
          <w:szCs w:val="24"/>
        </w:rPr>
        <w:t>website (</w:t>
      </w:r>
      <w:hyperlink r:id="rId8">
        <w:r w:rsidRPr="009D60D5">
          <w:rPr>
            <w:rStyle w:val="Hyperlink"/>
            <w:rFonts w:ascii="Times New Roman" w:eastAsia="Times New Roman" w:hAnsi="Times New Roman" w:cs="Times New Roman"/>
            <w:sz w:val="24"/>
            <w:szCs w:val="24"/>
          </w:rPr>
          <w:t>https://home.treasury.gov/</w:t>
        </w:r>
      </w:hyperlink>
      <w:r w:rsidRPr="009D60D5">
        <w:rPr>
          <w:rFonts w:ascii="Times New Roman" w:eastAsia="Times New Roman" w:hAnsi="Times New Roman" w:cs="Times New Roman"/>
          <w:color w:val="000000" w:themeColor="text1"/>
          <w:sz w:val="24"/>
          <w:szCs w:val="24"/>
        </w:rPr>
        <w:t>). Make sure that you use the nominal rate, not the real rate, in your calculation.</w:t>
      </w:r>
    </w:p>
    <w:p w14:paraId="51ECD293" w14:textId="77777777" w:rsidR="00BC042E" w:rsidRDefault="00BC042E" w:rsidP="00BC042E">
      <w:pPr>
        <w:pStyle w:val="ListParagraph"/>
        <w:spacing w:after="0" w:line="240" w:lineRule="auto"/>
        <w:jc w:val="both"/>
        <w:rPr>
          <w:rFonts w:ascii="Times New Roman" w:eastAsia="Times New Roman" w:hAnsi="Times New Roman" w:cs="Times New Roman"/>
          <w:color w:val="000000" w:themeColor="text1"/>
          <w:sz w:val="24"/>
          <w:szCs w:val="24"/>
        </w:rPr>
      </w:pPr>
    </w:p>
    <w:p w14:paraId="00998B80" w14:textId="53E2E138" w:rsidR="005D7665" w:rsidRDefault="005D7665" w:rsidP="005D7665">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5F354E">
        <w:rPr>
          <w:rFonts w:ascii="Times New Roman" w:eastAsia="Times New Roman" w:hAnsi="Times New Roman" w:cs="Times New Roman"/>
          <w:color w:val="000000" w:themeColor="text1"/>
          <w:sz w:val="24"/>
          <w:szCs w:val="24"/>
        </w:rPr>
        <w:t xml:space="preserve">Use Bloomberg to obtain the ten-year (weekly) </w:t>
      </w:r>
      <w:r w:rsidR="00841A50">
        <w:rPr>
          <w:rFonts w:ascii="Times New Roman" w:eastAsia="Times New Roman" w:hAnsi="Times New Roman" w:cs="Times New Roman"/>
          <w:color w:val="000000" w:themeColor="text1"/>
          <w:sz w:val="24"/>
          <w:szCs w:val="24"/>
        </w:rPr>
        <w:t xml:space="preserve">raw </w:t>
      </w:r>
      <w:r w:rsidRPr="005F354E">
        <w:rPr>
          <w:rFonts w:ascii="Times New Roman" w:eastAsia="Times New Roman" w:hAnsi="Times New Roman" w:cs="Times New Roman"/>
          <w:color w:val="000000" w:themeColor="text1"/>
          <w:sz w:val="24"/>
          <w:szCs w:val="24"/>
        </w:rPr>
        <w:t>beta coefficients (AS3)</w:t>
      </w:r>
      <w:r>
        <w:rPr>
          <w:rFonts w:ascii="Times New Roman" w:eastAsia="Times New Roman" w:hAnsi="Times New Roman" w:cs="Times New Roman"/>
          <w:color w:val="000000" w:themeColor="text1"/>
          <w:sz w:val="24"/>
          <w:szCs w:val="24"/>
        </w:rPr>
        <w:t xml:space="preserve"> for the following 10 companies:</w:t>
      </w:r>
    </w:p>
    <w:p w14:paraId="1D8960FA" w14:textId="77777777" w:rsidR="005D7665" w:rsidRDefault="005D7665" w:rsidP="005D7665">
      <w:pPr>
        <w:pStyle w:val="ListParagraph"/>
        <w:rPr>
          <w:rFonts w:ascii="Times New Roman" w:eastAsia="Times New Roman" w:hAnsi="Times New Roman" w:cs="Times New Roman"/>
          <w:color w:val="000000" w:themeColor="text1"/>
          <w:sz w:val="24"/>
          <w:szCs w:val="24"/>
        </w:rPr>
      </w:pPr>
    </w:p>
    <w:tbl>
      <w:tblPr>
        <w:tblStyle w:val="TableGrid"/>
        <w:tblW w:w="0" w:type="auto"/>
        <w:tblInd w:w="1686" w:type="dxa"/>
        <w:tblLook w:val="04A0" w:firstRow="1" w:lastRow="0" w:firstColumn="1" w:lastColumn="0" w:noHBand="0" w:noVBand="1"/>
      </w:tblPr>
      <w:tblGrid>
        <w:gridCol w:w="3024"/>
        <w:gridCol w:w="3136"/>
      </w:tblGrid>
      <w:tr w:rsidR="005D7665" w:rsidRPr="002E3E81" w14:paraId="6566ACAB" w14:textId="77777777" w:rsidTr="00C20203">
        <w:tc>
          <w:tcPr>
            <w:tcW w:w="3024" w:type="dxa"/>
          </w:tcPr>
          <w:p w14:paraId="3A5A287E" w14:textId="520E9A9C" w:rsidR="005D7665" w:rsidRPr="002E3E81" w:rsidRDefault="007B10AB" w:rsidP="00C20203">
            <w:pPr>
              <w:jc w:val="center"/>
              <w:rPr>
                <w:rFonts w:ascii="Times New Roman" w:hAnsi="Times New Roman" w:cs="Times New Roman"/>
                <w:bCs/>
                <w:sz w:val="24"/>
                <w:szCs w:val="24"/>
              </w:rPr>
            </w:pPr>
            <w:r>
              <w:rPr>
                <w:rFonts w:ascii="Times New Roman" w:hAnsi="Times New Roman" w:cs="Times New Roman"/>
                <w:bCs/>
                <w:sz w:val="24"/>
                <w:szCs w:val="24"/>
              </w:rPr>
              <w:t>Colgate-Palmolive</w:t>
            </w:r>
          </w:p>
        </w:tc>
        <w:tc>
          <w:tcPr>
            <w:tcW w:w="3136" w:type="dxa"/>
          </w:tcPr>
          <w:p w14:paraId="2FD04EAA" w14:textId="1D9405E9" w:rsidR="005D7665" w:rsidRPr="002E3E81" w:rsidRDefault="005515CC" w:rsidP="00C20203">
            <w:pPr>
              <w:jc w:val="center"/>
              <w:rPr>
                <w:rFonts w:ascii="Times New Roman" w:hAnsi="Times New Roman" w:cs="Times New Roman"/>
                <w:bCs/>
                <w:sz w:val="24"/>
                <w:szCs w:val="24"/>
              </w:rPr>
            </w:pPr>
            <w:r>
              <w:rPr>
                <w:rFonts w:ascii="Times New Roman" w:hAnsi="Times New Roman" w:cs="Times New Roman"/>
                <w:bCs/>
                <w:sz w:val="24"/>
                <w:szCs w:val="24"/>
              </w:rPr>
              <w:t>IBM</w:t>
            </w:r>
          </w:p>
        </w:tc>
      </w:tr>
      <w:tr w:rsidR="005D7665" w:rsidRPr="002E3E81" w14:paraId="0201EBE8" w14:textId="77777777" w:rsidTr="00C20203">
        <w:tc>
          <w:tcPr>
            <w:tcW w:w="3024" w:type="dxa"/>
          </w:tcPr>
          <w:p w14:paraId="2EFAFEF4" w14:textId="57635EFC" w:rsidR="005D7665" w:rsidRPr="002E3E81" w:rsidRDefault="007B10AB" w:rsidP="00C20203">
            <w:pPr>
              <w:jc w:val="center"/>
              <w:rPr>
                <w:rFonts w:ascii="Times New Roman" w:hAnsi="Times New Roman" w:cs="Times New Roman"/>
                <w:bCs/>
                <w:sz w:val="24"/>
                <w:szCs w:val="24"/>
              </w:rPr>
            </w:pPr>
            <w:r>
              <w:rPr>
                <w:rFonts w:ascii="Times New Roman" w:hAnsi="Times New Roman" w:cs="Times New Roman"/>
                <w:bCs/>
                <w:sz w:val="24"/>
                <w:szCs w:val="24"/>
              </w:rPr>
              <w:t>Consolidated Edison</w:t>
            </w:r>
          </w:p>
        </w:tc>
        <w:tc>
          <w:tcPr>
            <w:tcW w:w="3136" w:type="dxa"/>
          </w:tcPr>
          <w:p w14:paraId="6E13A084" w14:textId="1B5A4077" w:rsidR="005D7665" w:rsidRPr="002E3E81" w:rsidRDefault="005515CC" w:rsidP="00C20203">
            <w:pPr>
              <w:jc w:val="center"/>
              <w:rPr>
                <w:rFonts w:ascii="Times New Roman" w:hAnsi="Times New Roman" w:cs="Times New Roman"/>
                <w:bCs/>
                <w:sz w:val="24"/>
                <w:szCs w:val="24"/>
              </w:rPr>
            </w:pPr>
            <w:r>
              <w:rPr>
                <w:rFonts w:ascii="Times New Roman" w:hAnsi="Times New Roman" w:cs="Times New Roman"/>
                <w:bCs/>
                <w:sz w:val="24"/>
                <w:szCs w:val="24"/>
              </w:rPr>
              <w:t>Cigna</w:t>
            </w:r>
          </w:p>
        </w:tc>
      </w:tr>
      <w:tr w:rsidR="005D7665" w:rsidRPr="002E3E81" w14:paraId="29BC2F6A" w14:textId="77777777" w:rsidTr="00C20203">
        <w:tc>
          <w:tcPr>
            <w:tcW w:w="3024" w:type="dxa"/>
          </w:tcPr>
          <w:p w14:paraId="1EC3D1D0" w14:textId="77777777" w:rsidR="005D7665" w:rsidRPr="002E3E81" w:rsidRDefault="005D7665" w:rsidP="00C20203">
            <w:pPr>
              <w:jc w:val="center"/>
              <w:rPr>
                <w:rFonts w:ascii="Times New Roman" w:hAnsi="Times New Roman" w:cs="Times New Roman"/>
                <w:bCs/>
                <w:sz w:val="24"/>
                <w:szCs w:val="24"/>
              </w:rPr>
            </w:pPr>
            <w:r w:rsidRPr="002E3E81">
              <w:rPr>
                <w:rFonts w:ascii="Times New Roman" w:hAnsi="Times New Roman" w:cs="Times New Roman"/>
                <w:bCs/>
                <w:sz w:val="24"/>
                <w:szCs w:val="24"/>
              </w:rPr>
              <w:t>Coca-Cola</w:t>
            </w:r>
          </w:p>
        </w:tc>
        <w:tc>
          <w:tcPr>
            <w:tcW w:w="3136" w:type="dxa"/>
          </w:tcPr>
          <w:p w14:paraId="5954EAAF" w14:textId="16A9DCCD" w:rsidR="005D7665" w:rsidRPr="002E3E81" w:rsidRDefault="005515CC" w:rsidP="00C20203">
            <w:pPr>
              <w:jc w:val="center"/>
              <w:rPr>
                <w:rFonts w:ascii="Times New Roman" w:hAnsi="Times New Roman" w:cs="Times New Roman"/>
                <w:bCs/>
                <w:sz w:val="24"/>
                <w:szCs w:val="24"/>
              </w:rPr>
            </w:pPr>
            <w:r>
              <w:rPr>
                <w:rFonts w:ascii="Times New Roman" w:hAnsi="Times New Roman" w:cs="Times New Roman"/>
                <w:bCs/>
                <w:sz w:val="24"/>
                <w:szCs w:val="24"/>
              </w:rPr>
              <w:t>Procter and Gamble</w:t>
            </w:r>
          </w:p>
        </w:tc>
      </w:tr>
      <w:tr w:rsidR="005D7665" w:rsidRPr="002E3E81" w14:paraId="2E632D08" w14:textId="77777777" w:rsidTr="00C20203">
        <w:tc>
          <w:tcPr>
            <w:tcW w:w="3024" w:type="dxa"/>
          </w:tcPr>
          <w:p w14:paraId="3373C84E" w14:textId="759210DD" w:rsidR="005D7665" w:rsidRPr="002E3E81" w:rsidRDefault="00D155D2" w:rsidP="00C20203">
            <w:pPr>
              <w:jc w:val="center"/>
              <w:rPr>
                <w:rFonts w:ascii="Times New Roman" w:hAnsi="Times New Roman" w:cs="Times New Roman"/>
                <w:bCs/>
                <w:sz w:val="24"/>
                <w:szCs w:val="24"/>
              </w:rPr>
            </w:pPr>
            <w:r>
              <w:rPr>
                <w:rFonts w:ascii="Times New Roman" w:hAnsi="Times New Roman" w:cs="Times New Roman"/>
                <w:bCs/>
                <w:sz w:val="24"/>
                <w:szCs w:val="24"/>
              </w:rPr>
              <w:t>DuPont</w:t>
            </w:r>
          </w:p>
        </w:tc>
        <w:tc>
          <w:tcPr>
            <w:tcW w:w="3136" w:type="dxa"/>
          </w:tcPr>
          <w:p w14:paraId="7BD82728" w14:textId="77777777" w:rsidR="005D7665" w:rsidRPr="002E3E81" w:rsidRDefault="005D7665" w:rsidP="00C20203">
            <w:pPr>
              <w:jc w:val="center"/>
              <w:rPr>
                <w:rFonts w:ascii="Times New Roman" w:hAnsi="Times New Roman" w:cs="Times New Roman"/>
                <w:bCs/>
                <w:sz w:val="24"/>
                <w:szCs w:val="24"/>
              </w:rPr>
            </w:pPr>
            <w:r w:rsidRPr="002E3E81">
              <w:rPr>
                <w:rFonts w:ascii="Times New Roman" w:hAnsi="Times New Roman" w:cs="Times New Roman"/>
                <w:bCs/>
                <w:sz w:val="24"/>
                <w:szCs w:val="24"/>
              </w:rPr>
              <w:t>Merck</w:t>
            </w:r>
          </w:p>
        </w:tc>
      </w:tr>
      <w:tr w:rsidR="005D7665" w:rsidRPr="002E3E81" w14:paraId="6C101F15" w14:textId="77777777" w:rsidTr="00C20203">
        <w:tc>
          <w:tcPr>
            <w:tcW w:w="3024" w:type="dxa"/>
          </w:tcPr>
          <w:p w14:paraId="2DC35D5B" w14:textId="77777777" w:rsidR="005D7665" w:rsidRPr="002E3E81" w:rsidRDefault="005D7665" w:rsidP="00C20203">
            <w:pPr>
              <w:jc w:val="center"/>
              <w:rPr>
                <w:rFonts w:ascii="Times New Roman" w:hAnsi="Times New Roman" w:cs="Times New Roman"/>
                <w:bCs/>
                <w:sz w:val="24"/>
                <w:szCs w:val="24"/>
              </w:rPr>
            </w:pPr>
            <w:r w:rsidRPr="002E3E81">
              <w:rPr>
                <w:rFonts w:ascii="Times New Roman" w:hAnsi="Times New Roman" w:cs="Times New Roman"/>
                <w:bCs/>
                <w:sz w:val="24"/>
                <w:szCs w:val="24"/>
              </w:rPr>
              <w:t>Johnson &amp; Johnson</w:t>
            </w:r>
          </w:p>
        </w:tc>
        <w:tc>
          <w:tcPr>
            <w:tcW w:w="3136" w:type="dxa"/>
          </w:tcPr>
          <w:p w14:paraId="3AE1308B" w14:textId="77777777" w:rsidR="005D7665" w:rsidRPr="002E3E81" w:rsidRDefault="005D7665" w:rsidP="00C20203">
            <w:pPr>
              <w:jc w:val="center"/>
              <w:rPr>
                <w:rFonts w:ascii="Times New Roman" w:hAnsi="Times New Roman" w:cs="Times New Roman"/>
                <w:bCs/>
                <w:sz w:val="24"/>
                <w:szCs w:val="24"/>
              </w:rPr>
            </w:pPr>
            <w:r w:rsidRPr="002E3E81">
              <w:rPr>
                <w:rFonts w:ascii="Times New Roman" w:hAnsi="Times New Roman" w:cs="Times New Roman"/>
                <w:bCs/>
                <w:sz w:val="24"/>
                <w:szCs w:val="24"/>
              </w:rPr>
              <w:t>Intel</w:t>
            </w:r>
          </w:p>
        </w:tc>
      </w:tr>
    </w:tbl>
    <w:p w14:paraId="4185599F" w14:textId="77777777" w:rsidR="005D7665" w:rsidRDefault="005D7665" w:rsidP="005D7665">
      <w:pPr>
        <w:pStyle w:val="ListParagraph"/>
        <w:spacing w:after="0" w:line="240" w:lineRule="auto"/>
        <w:jc w:val="both"/>
        <w:rPr>
          <w:rFonts w:ascii="Times New Roman" w:eastAsia="Times New Roman" w:hAnsi="Times New Roman" w:cs="Times New Roman"/>
          <w:color w:val="000000" w:themeColor="text1"/>
          <w:sz w:val="24"/>
          <w:szCs w:val="24"/>
        </w:rPr>
      </w:pPr>
    </w:p>
    <w:p w14:paraId="02FCE22D" w14:textId="78274940" w:rsidR="005D7665" w:rsidRDefault="007B6518" w:rsidP="00C940D3">
      <w:pPr>
        <w:pStyle w:val="ListParagraph"/>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After typing the ticker name for any of the given 10 companies</w:t>
      </w:r>
      <w:r w:rsidR="002A088E">
        <w:rPr>
          <w:rFonts w:ascii="Times New Roman" w:eastAsia="Times New Roman" w:hAnsi="Times New Roman" w:cs="Times New Roman"/>
          <w:color w:val="000000" w:themeColor="text1"/>
          <w:sz w:val="24"/>
          <w:szCs w:val="24"/>
        </w:rPr>
        <w:t xml:space="preserve"> in the command line</w:t>
      </w:r>
      <w:r>
        <w:rPr>
          <w:rFonts w:ascii="Times New Roman" w:eastAsia="Times New Roman" w:hAnsi="Times New Roman" w:cs="Times New Roman"/>
          <w:color w:val="000000" w:themeColor="text1"/>
          <w:sz w:val="24"/>
          <w:szCs w:val="24"/>
        </w:rPr>
        <w:t>, click</w:t>
      </w:r>
      <w:r w:rsidR="00AA1F9C">
        <w:rPr>
          <w:rFonts w:ascii="Times New Roman" w:eastAsia="Times New Roman" w:hAnsi="Times New Roman" w:cs="Times New Roman"/>
          <w:color w:val="000000" w:themeColor="text1"/>
          <w:sz w:val="24"/>
          <w:szCs w:val="24"/>
        </w:rPr>
        <w:t xml:space="preserve"> the green</w:t>
      </w:r>
      <w:r>
        <w:rPr>
          <w:rFonts w:ascii="Times New Roman" w:eastAsia="Times New Roman" w:hAnsi="Times New Roman" w:cs="Times New Roman"/>
          <w:color w:val="000000" w:themeColor="text1"/>
          <w:sz w:val="24"/>
          <w:szCs w:val="24"/>
        </w:rPr>
        <w:t xml:space="preserve"> “Search”</w:t>
      </w:r>
      <w:r w:rsidR="00AA1F9C">
        <w:rPr>
          <w:rFonts w:ascii="Times New Roman" w:eastAsia="Times New Roman" w:hAnsi="Times New Roman" w:cs="Times New Roman"/>
          <w:color w:val="000000" w:themeColor="text1"/>
          <w:sz w:val="24"/>
          <w:szCs w:val="24"/>
        </w:rPr>
        <w:t xml:space="preserve"> button</w:t>
      </w:r>
      <w:r>
        <w:rPr>
          <w:rFonts w:ascii="Times New Roman" w:eastAsia="Times New Roman" w:hAnsi="Times New Roman" w:cs="Times New Roman"/>
          <w:color w:val="000000" w:themeColor="text1"/>
          <w:sz w:val="24"/>
          <w:szCs w:val="24"/>
        </w:rPr>
        <w:t>. Type “beta” and select “</w:t>
      </w:r>
      <w:r w:rsidR="00072948">
        <w:rPr>
          <w:rFonts w:ascii="Times New Roman" w:eastAsia="Times New Roman" w:hAnsi="Times New Roman" w:cs="Times New Roman"/>
          <w:color w:val="000000" w:themeColor="text1"/>
          <w:sz w:val="24"/>
          <w:szCs w:val="24"/>
        </w:rPr>
        <w:t xml:space="preserve">Historical Beta”. </w:t>
      </w:r>
      <w:r w:rsidR="005D7665" w:rsidRPr="005F354E">
        <w:rPr>
          <w:rFonts w:ascii="Times New Roman" w:eastAsia="Times New Roman" w:hAnsi="Times New Roman" w:cs="Times New Roman"/>
          <w:color w:val="000000" w:themeColor="text1"/>
          <w:sz w:val="24"/>
          <w:szCs w:val="24"/>
        </w:rPr>
        <w:t>Be sure and use the DJIA as the “Relative Index”</w:t>
      </w:r>
      <w:r w:rsidR="002A088E">
        <w:rPr>
          <w:rFonts w:ascii="Times New Roman" w:eastAsia="Times New Roman" w:hAnsi="Times New Roman" w:cs="Times New Roman"/>
          <w:color w:val="000000" w:themeColor="text1"/>
          <w:sz w:val="24"/>
          <w:szCs w:val="24"/>
        </w:rPr>
        <w:t xml:space="preserve"> in Bloomberg.</w:t>
      </w:r>
    </w:p>
    <w:p w14:paraId="3A7D9617" w14:textId="77777777" w:rsidR="005D7665" w:rsidRPr="005D7665" w:rsidRDefault="005D7665" w:rsidP="005D7665">
      <w:pPr>
        <w:pStyle w:val="ListParagraph"/>
        <w:rPr>
          <w:rFonts w:ascii="Times New Roman" w:eastAsia="Times New Roman" w:hAnsi="Times New Roman" w:cs="Times New Roman"/>
          <w:color w:val="000000" w:themeColor="text1"/>
          <w:sz w:val="24"/>
          <w:szCs w:val="24"/>
        </w:rPr>
      </w:pPr>
    </w:p>
    <w:p w14:paraId="3A2B5250" w14:textId="390C38C2" w:rsidR="006E093B" w:rsidRDefault="006E093B" w:rsidP="006E093B">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6E093B">
        <w:rPr>
          <w:rFonts w:ascii="Times New Roman" w:eastAsia="Times New Roman" w:hAnsi="Times New Roman" w:cs="Times New Roman"/>
          <w:color w:val="000000" w:themeColor="text1"/>
          <w:sz w:val="24"/>
          <w:szCs w:val="24"/>
        </w:rPr>
        <w:t>Use the “</w:t>
      </w:r>
      <w:r w:rsidR="00391B4E">
        <w:rPr>
          <w:rFonts w:ascii="Times New Roman" w:eastAsia="Times New Roman" w:hAnsi="Times New Roman" w:cs="Times New Roman"/>
          <w:color w:val="000000" w:themeColor="text1"/>
          <w:sz w:val="24"/>
          <w:szCs w:val="24"/>
        </w:rPr>
        <w:t>FA</w:t>
      </w:r>
      <w:r w:rsidRPr="006E093B">
        <w:rPr>
          <w:rFonts w:ascii="Times New Roman" w:eastAsia="Times New Roman" w:hAnsi="Times New Roman" w:cs="Times New Roman"/>
          <w:color w:val="000000" w:themeColor="text1"/>
          <w:sz w:val="24"/>
          <w:szCs w:val="24"/>
        </w:rPr>
        <w:t>”</w:t>
      </w:r>
      <w:r w:rsidR="00391B4E">
        <w:rPr>
          <w:rFonts w:ascii="Times New Roman" w:eastAsia="Times New Roman" w:hAnsi="Times New Roman" w:cs="Times New Roman"/>
          <w:color w:val="000000" w:themeColor="text1"/>
          <w:sz w:val="24"/>
          <w:szCs w:val="24"/>
        </w:rPr>
        <w:t xml:space="preserve"> function</w:t>
      </w:r>
      <w:r w:rsidRPr="006E093B">
        <w:rPr>
          <w:rFonts w:ascii="Times New Roman" w:eastAsia="Times New Roman" w:hAnsi="Times New Roman" w:cs="Times New Roman"/>
          <w:color w:val="000000" w:themeColor="text1"/>
          <w:sz w:val="24"/>
          <w:szCs w:val="24"/>
        </w:rPr>
        <w:t xml:space="preserve"> in Bloomberg to obtain the 10-year average return in the DJIA</w:t>
      </w:r>
      <w:r w:rsidR="00391B4E">
        <w:rPr>
          <w:rFonts w:ascii="Times New Roman" w:eastAsia="Times New Roman" w:hAnsi="Times New Roman" w:cs="Times New Roman"/>
          <w:color w:val="000000" w:themeColor="text1"/>
          <w:sz w:val="24"/>
          <w:szCs w:val="24"/>
        </w:rPr>
        <w:t xml:space="preserve"> (INDU)</w:t>
      </w:r>
      <w:r w:rsidRPr="006E093B">
        <w:rPr>
          <w:rFonts w:ascii="Times New Roman" w:eastAsia="Times New Roman" w:hAnsi="Times New Roman" w:cs="Times New Roman"/>
          <w:color w:val="000000" w:themeColor="text1"/>
          <w:sz w:val="24"/>
          <w:szCs w:val="24"/>
        </w:rPr>
        <w:t xml:space="preserve">. </w:t>
      </w:r>
      <w:r w:rsidR="00BA66CB">
        <w:rPr>
          <w:rFonts w:ascii="Times New Roman" w:eastAsia="Times New Roman" w:hAnsi="Times New Roman" w:cs="Times New Roman"/>
          <w:color w:val="000000" w:themeColor="text1"/>
          <w:sz w:val="24"/>
          <w:szCs w:val="24"/>
        </w:rPr>
        <w:t xml:space="preserve">Use the “Return on Equity” ratio and set periodicity to “Annuals” for 2012-2021. </w:t>
      </w:r>
      <w:r w:rsidRPr="006E093B">
        <w:rPr>
          <w:rFonts w:ascii="Times New Roman" w:eastAsia="Times New Roman" w:hAnsi="Times New Roman" w:cs="Times New Roman"/>
          <w:color w:val="000000" w:themeColor="text1"/>
          <w:sz w:val="24"/>
          <w:szCs w:val="24"/>
        </w:rPr>
        <w:t xml:space="preserve">Use this as your </w:t>
      </w:r>
      <w:r w:rsidRPr="00BA66CB">
        <w:rPr>
          <w:rFonts w:ascii="Times New Roman" w:eastAsia="Times New Roman" w:hAnsi="Times New Roman" w:cs="Times New Roman"/>
          <w:b/>
          <w:bCs/>
          <w:i/>
          <w:iCs/>
          <w:color w:val="000000" w:themeColor="text1"/>
          <w:sz w:val="24"/>
          <w:szCs w:val="24"/>
        </w:rPr>
        <w:t>r</w:t>
      </w:r>
      <w:r w:rsidRPr="00BA66CB">
        <w:rPr>
          <w:rFonts w:ascii="Times New Roman" w:eastAsia="Times New Roman" w:hAnsi="Times New Roman" w:cs="Times New Roman"/>
          <w:b/>
          <w:bCs/>
          <w:i/>
          <w:iCs/>
          <w:color w:val="000000" w:themeColor="text1"/>
          <w:sz w:val="24"/>
          <w:szCs w:val="24"/>
          <w:vertAlign w:val="subscript"/>
        </w:rPr>
        <w:t>m</w:t>
      </w:r>
      <w:r w:rsidRPr="006E093B">
        <w:rPr>
          <w:rFonts w:ascii="Times New Roman" w:eastAsia="Times New Roman" w:hAnsi="Times New Roman" w:cs="Times New Roman"/>
          <w:color w:val="000000" w:themeColor="text1"/>
          <w:sz w:val="24"/>
          <w:szCs w:val="24"/>
        </w:rPr>
        <w:t xml:space="preserve"> (AS4).</w:t>
      </w:r>
      <w:r w:rsidR="00391B4E">
        <w:rPr>
          <w:rFonts w:ascii="Times New Roman" w:eastAsia="Times New Roman" w:hAnsi="Times New Roman" w:cs="Times New Roman"/>
          <w:color w:val="000000" w:themeColor="text1"/>
          <w:sz w:val="24"/>
          <w:szCs w:val="24"/>
        </w:rPr>
        <w:t xml:space="preserve"> </w:t>
      </w:r>
    </w:p>
    <w:p w14:paraId="322D0F34" w14:textId="56726390" w:rsidR="00BC042E" w:rsidRPr="002E3E81" w:rsidRDefault="00BC042E" w:rsidP="002E3E81">
      <w:pPr>
        <w:spacing w:after="0" w:line="240" w:lineRule="auto"/>
        <w:jc w:val="both"/>
        <w:rPr>
          <w:rFonts w:ascii="Times New Roman" w:eastAsia="Times New Roman" w:hAnsi="Times New Roman" w:cs="Times New Roman"/>
          <w:color w:val="000000" w:themeColor="text1"/>
          <w:sz w:val="24"/>
          <w:szCs w:val="24"/>
        </w:rPr>
      </w:pPr>
    </w:p>
    <w:p w14:paraId="3D161086" w14:textId="34C4F801" w:rsidR="00726D72" w:rsidRDefault="00E20760" w:rsidP="00726D72">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Apply Equation 1 and u</w:t>
      </w:r>
      <w:r w:rsidR="00726D72">
        <w:rPr>
          <w:rFonts w:ascii="Times New Roman" w:eastAsia="Times New Roman" w:hAnsi="Times New Roman" w:cs="Times New Roman"/>
          <w:color w:val="000000" w:themeColor="text1"/>
          <w:sz w:val="24"/>
          <w:szCs w:val="24"/>
        </w:rPr>
        <w:t xml:space="preserve">se the bond data from the US Treasury, </w:t>
      </w:r>
      <w:r w:rsidR="008573E3">
        <w:rPr>
          <w:rFonts w:ascii="Times New Roman" w:eastAsia="Times New Roman" w:hAnsi="Times New Roman" w:cs="Times New Roman"/>
          <w:color w:val="000000" w:themeColor="text1"/>
          <w:sz w:val="24"/>
          <w:szCs w:val="24"/>
        </w:rPr>
        <w:t xml:space="preserve">and </w:t>
      </w:r>
      <w:r w:rsidR="00726D72">
        <w:rPr>
          <w:rFonts w:ascii="Times New Roman" w:eastAsia="Times New Roman" w:hAnsi="Times New Roman" w:cs="Times New Roman"/>
          <w:color w:val="000000" w:themeColor="text1"/>
          <w:sz w:val="24"/>
          <w:szCs w:val="24"/>
        </w:rPr>
        <w:t>the beta data and DJIA market return data from Bloomberg</w:t>
      </w:r>
      <w:r w:rsidR="00BE0A03">
        <w:rPr>
          <w:rFonts w:ascii="Times New Roman" w:eastAsia="Times New Roman" w:hAnsi="Times New Roman" w:cs="Times New Roman"/>
          <w:color w:val="000000" w:themeColor="text1"/>
          <w:sz w:val="24"/>
          <w:szCs w:val="24"/>
        </w:rPr>
        <w:t>,</w:t>
      </w:r>
      <w:r w:rsidR="00726D72">
        <w:rPr>
          <w:rFonts w:ascii="Times New Roman" w:eastAsia="Times New Roman" w:hAnsi="Times New Roman" w:cs="Times New Roman"/>
          <w:color w:val="000000" w:themeColor="text1"/>
          <w:sz w:val="24"/>
          <w:szCs w:val="24"/>
        </w:rPr>
        <w:t xml:space="preserve"> to calculate </w:t>
      </w:r>
      <w:proofErr w:type="spellStart"/>
      <w:r w:rsidR="005D7665" w:rsidRPr="005D7665">
        <w:rPr>
          <w:rFonts w:ascii="Times New Roman" w:eastAsia="Times New Roman" w:hAnsi="Times New Roman" w:cs="Times New Roman"/>
          <w:b/>
          <w:bCs/>
          <w:i/>
          <w:iCs/>
          <w:color w:val="000000" w:themeColor="text1"/>
          <w:sz w:val="24"/>
          <w:szCs w:val="24"/>
        </w:rPr>
        <w:t>i</w:t>
      </w:r>
      <w:proofErr w:type="spellEnd"/>
      <w:r w:rsidR="0084561B">
        <w:rPr>
          <w:rFonts w:ascii="Times New Roman" w:eastAsia="Times New Roman" w:hAnsi="Times New Roman" w:cs="Times New Roman"/>
          <w:color w:val="000000" w:themeColor="text1"/>
          <w:sz w:val="24"/>
          <w:szCs w:val="24"/>
        </w:rPr>
        <w:t xml:space="preserve"> for each of the ten companies</w:t>
      </w:r>
      <w:r w:rsidR="0070694B">
        <w:rPr>
          <w:rFonts w:ascii="Times New Roman" w:eastAsia="Times New Roman" w:hAnsi="Times New Roman" w:cs="Times New Roman"/>
          <w:color w:val="000000" w:themeColor="text1"/>
          <w:sz w:val="24"/>
          <w:szCs w:val="24"/>
        </w:rPr>
        <w:t xml:space="preserve"> (AS5)</w:t>
      </w:r>
      <w:r w:rsidR="00726D72">
        <w:rPr>
          <w:rFonts w:ascii="Times New Roman" w:eastAsia="Times New Roman" w:hAnsi="Times New Roman" w:cs="Times New Roman"/>
          <w:color w:val="000000" w:themeColor="text1"/>
          <w:sz w:val="24"/>
          <w:szCs w:val="24"/>
        </w:rPr>
        <w:t>.</w:t>
      </w:r>
    </w:p>
    <w:p w14:paraId="52F77548" w14:textId="77777777" w:rsidR="00726D72" w:rsidRPr="00BC042E" w:rsidRDefault="00726D72" w:rsidP="00BC042E">
      <w:pPr>
        <w:pStyle w:val="ListParagraph"/>
        <w:rPr>
          <w:rFonts w:ascii="Times New Roman" w:eastAsia="Times New Roman" w:hAnsi="Times New Roman" w:cs="Times New Roman"/>
          <w:color w:val="000000" w:themeColor="text1"/>
          <w:sz w:val="24"/>
          <w:szCs w:val="24"/>
        </w:rPr>
      </w:pPr>
    </w:p>
    <w:p w14:paraId="65D878A3" w14:textId="36DF3A21" w:rsidR="008A234F" w:rsidRDefault="008A234F" w:rsidP="00BC042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 xml:space="preserve">For the ten DJIA companies </w:t>
      </w:r>
      <w:r w:rsidR="0084561B">
        <w:rPr>
          <w:rFonts w:ascii="Times New Roman" w:eastAsia="Times New Roman" w:hAnsi="Times New Roman" w:cs="Times New Roman"/>
          <w:color w:val="000000" w:themeColor="text1"/>
          <w:sz w:val="24"/>
          <w:szCs w:val="24"/>
        </w:rPr>
        <w:t>above</w:t>
      </w:r>
      <w:r w:rsidRPr="3D20DE2E">
        <w:rPr>
          <w:rFonts w:ascii="Times New Roman" w:eastAsia="Times New Roman" w:hAnsi="Times New Roman" w:cs="Times New Roman"/>
          <w:color w:val="000000" w:themeColor="text1"/>
          <w:sz w:val="24"/>
          <w:szCs w:val="24"/>
        </w:rPr>
        <w:t xml:space="preserve">, find </w:t>
      </w:r>
      <w:r w:rsidR="0084561B">
        <w:rPr>
          <w:rFonts w:ascii="Times New Roman" w:eastAsia="Times New Roman" w:hAnsi="Times New Roman" w:cs="Times New Roman"/>
          <w:color w:val="000000" w:themeColor="text1"/>
          <w:sz w:val="24"/>
          <w:szCs w:val="24"/>
        </w:rPr>
        <w:t xml:space="preserve">ten years </w:t>
      </w:r>
      <w:r w:rsidR="00472660">
        <w:rPr>
          <w:rFonts w:ascii="Times New Roman" w:eastAsia="Times New Roman" w:hAnsi="Times New Roman" w:cs="Times New Roman"/>
          <w:color w:val="000000" w:themeColor="text1"/>
          <w:sz w:val="24"/>
          <w:szCs w:val="24"/>
        </w:rPr>
        <w:t xml:space="preserve">of </w:t>
      </w:r>
      <w:r w:rsidRPr="3D20DE2E">
        <w:rPr>
          <w:rFonts w:ascii="Times New Roman" w:eastAsia="Times New Roman" w:hAnsi="Times New Roman" w:cs="Times New Roman"/>
          <w:color w:val="000000" w:themeColor="text1"/>
          <w:sz w:val="24"/>
          <w:szCs w:val="24"/>
        </w:rPr>
        <w:t xml:space="preserve">dividend data from Bloomberg. </w:t>
      </w:r>
      <w:r w:rsidR="005B3E37">
        <w:rPr>
          <w:rFonts w:ascii="Times New Roman" w:eastAsia="Times New Roman" w:hAnsi="Times New Roman" w:cs="Times New Roman"/>
          <w:color w:val="000000" w:themeColor="text1"/>
          <w:sz w:val="24"/>
          <w:szCs w:val="24"/>
        </w:rPr>
        <w:t>Use the DVD command for any of the 10 companies above.</w:t>
      </w:r>
    </w:p>
    <w:p w14:paraId="3C98E161" w14:textId="77777777" w:rsidR="008A234F" w:rsidRPr="00C534AE" w:rsidRDefault="008A234F" w:rsidP="008A234F">
      <w:pPr>
        <w:pStyle w:val="ListParagraph"/>
        <w:rPr>
          <w:rFonts w:ascii="Times New Roman" w:eastAsia="Times New Roman" w:hAnsi="Times New Roman" w:cs="Times New Roman"/>
          <w:color w:val="000000" w:themeColor="text1"/>
          <w:sz w:val="24"/>
          <w:szCs w:val="24"/>
        </w:rPr>
      </w:pPr>
    </w:p>
    <w:p w14:paraId="500B09BF" w14:textId="4D9454E5" w:rsidR="008A234F" w:rsidRPr="00D41954" w:rsidRDefault="00D41954" w:rsidP="00D41954">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D41954">
        <w:rPr>
          <w:rFonts w:ascii="Times New Roman" w:eastAsia="Times New Roman" w:hAnsi="Times New Roman" w:cs="Times New Roman"/>
          <w:color w:val="000000" w:themeColor="text1"/>
          <w:sz w:val="24"/>
          <w:szCs w:val="24"/>
        </w:rPr>
        <w:t xml:space="preserve">Use Bloomberg and the methodology demonstrated in class to calculate the 10-year dividend growth rate </w:t>
      </w:r>
      <w:r w:rsidRPr="00D41954">
        <w:rPr>
          <w:rFonts w:ascii="Times New Roman" w:eastAsia="Times New Roman" w:hAnsi="Times New Roman" w:cs="Times New Roman"/>
          <w:b/>
          <w:bCs/>
          <w:i/>
          <w:iCs/>
          <w:color w:val="000000" w:themeColor="text1"/>
          <w:sz w:val="24"/>
          <w:szCs w:val="24"/>
        </w:rPr>
        <w:t>g</w:t>
      </w:r>
      <w:r w:rsidRPr="00D41954">
        <w:rPr>
          <w:rFonts w:ascii="Times New Roman" w:eastAsia="Times New Roman" w:hAnsi="Times New Roman" w:cs="Times New Roman"/>
          <w:color w:val="000000" w:themeColor="text1"/>
          <w:sz w:val="24"/>
          <w:szCs w:val="24"/>
        </w:rPr>
        <w:t xml:space="preserve"> (AS</w:t>
      </w:r>
      <w:r w:rsidR="0070694B">
        <w:rPr>
          <w:rFonts w:ascii="Times New Roman" w:eastAsia="Times New Roman" w:hAnsi="Times New Roman" w:cs="Times New Roman"/>
          <w:color w:val="000000" w:themeColor="text1"/>
          <w:sz w:val="24"/>
          <w:szCs w:val="24"/>
        </w:rPr>
        <w:t>6</w:t>
      </w:r>
      <w:r w:rsidRPr="00D41954">
        <w:rPr>
          <w:rFonts w:ascii="Times New Roman" w:eastAsia="Times New Roman" w:hAnsi="Times New Roman" w:cs="Times New Roman"/>
          <w:color w:val="000000" w:themeColor="text1"/>
          <w:sz w:val="24"/>
          <w:szCs w:val="24"/>
        </w:rPr>
        <w:t>).</w:t>
      </w:r>
    </w:p>
    <w:p w14:paraId="5281D77A" w14:textId="77777777" w:rsidR="008A234F" w:rsidRPr="00880710" w:rsidRDefault="008A234F" w:rsidP="008A234F">
      <w:pPr>
        <w:pStyle w:val="ListParagraph"/>
        <w:rPr>
          <w:rFonts w:ascii="Times New Roman" w:eastAsia="Times New Roman" w:hAnsi="Times New Roman" w:cs="Times New Roman"/>
          <w:color w:val="000000" w:themeColor="text1"/>
          <w:sz w:val="24"/>
          <w:szCs w:val="24"/>
        </w:rPr>
      </w:pPr>
    </w:p>
    <w:p w14:paraId="5A343D28" w14:textId="17ADE4E9" w:rsidR="008A234F" w:rsidRDefault="008A234F" w:rsidP="00BC042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 xml:space="preserve">Use </w:t>
      </w:r>
      <w:r w:rsidR="00582667">
        <w:rPr>
          <w:rFonts w:ascii="Times New Roman" w:eastAsia="Times New Roman" w:hAnsi="Times New Roman" w:cs="Times New Roman"/>
          <w:color w:val="000000" w:themeColor="text1"/>
          <w:sz w:val="24"/>
          <w:szCs w:val="24"/>
        </w:rPr>
        <w:t xml:space="preserve">your 10-year dividend growth rate, </w:t>
      </w:r>
      <w:r w:rsidR="00582667" w:rsidRPr="00582667">
        <w:rPr>
          <w:rFonts w:ascii="Times New Roman" w:eastAsia="Times New Roman" w:hAnsi="Times New Roman" w:cs="Times New Roman"/>
          <w:b/>
          <w:bCs/>
          <w:i/>
          <w:iCs/>
          <w:color w:val="000000" w:themeColor="text1"/>
          <w:sz w:val="24"/>
          <w:szCs w:val="24"/>
        </w:rPr>
        <w:t>g</w:t>
      </w:r>
      <w:r w:rsidR="00582667">
        <w:rPr>
          <w:rFonts w:ascii="Times New Roman" w:eastAsia="Times New Roman" w:hAnsi="Times New Roman" w:cs="Times New Roman"/>
          <w:color w:val="000000" w:themeColor="text1"/>
          <w:sz w:val="24"/>
          <w:szCs w:val="24"/>
        </w:rPr>
        <w:t xml:space="preserve">, </w:t>
      </w:r>
      <w:r w:rsidR="0070694B">
        <w:rPr>
          <w:rFonts w:ascii="Times New Roman" w:eastAsia="Times New Roman" w:hAnsi="Times New Roman" w:cs="Times New Roman"/>
          <w:color w:val="000000" w:themeColor="text1"/>
          <w:sz w:val="24"/>
          <w:szCs w:val="24"/>
        </w:rPr>
        <w:t xml:space="preserve">and your calculation of </w:t>
      </w:r>
      <w:proofErr w:type="spellStart"/>
      <w:r w:rsidR="0070694B" w:rsidRPr="0070694B">
        <w:rPr>
          <w:rFonts w:ascii="Times New Roman" w:eastAsia="Times New Roman" w:hAnsi="Times New Roman" w:cs="Times New Roman"/>
          <w:b/>
          <w:bCs/>
          <w:i/>
          <w:iCs/>
          <w:color w:val="000000" w:themeColor="text1"/>
          <w:sz w:val="24"/>
          <w:szCs w:val="24"/>
        </w:rPr>
        <w:t>i</w:t>
      </w:r>
      <w:proofErr w:type="spellEnd"/>
      <w:r w:rsidR="0070694B">
        <w:rPr>
          <w:rFonts w:ascii="Times New Roman" w:eastAsia="Times New Roman" w:hAnsi="Times New Roman" w:cs="Times New Roman"/>
          <w:color w:val="000000" w:themeColor="text1"/>
          <w:sz w:val="24"/>
          <w:szCs w:val="24"/>
        </w:rPr>
        <w:t xml:space="preserve"> </w:t>
      </w:r>
      <w:r w:rsidRPr="3D20DE2E">
        <w:rPr>
          <w:rFonts w:ascii="Times New Roman" w:eastAsia="Times New Roman" w:hAnsi="Times New Roman" w:cs="Times New Roman"/>
          <w:color w:val="000000" w:themeColor="text1"/>
          <w:sz w:val="24"/>
          <w:szCs w:val="24"/>
        </w:rPr>
        <w:t>to compute the GGM stock price</w:t>
      </w:r>
      <w:r w:rsidR="00582667">
        <w:rPr>
          <w:rFonts w:ascii="Times New Roman" w:eastAsia="Times New Roman" w:hAnsi="Times New Roman" w:cs="Times New Roman"/>
          <w:color w:val="000000" w:themeColor="text1"/>
          <w:sz w:val="24"/>
          <w:szCs w:val="24"/>
        </w:rPr>
        <w:t xml:space="preserve"> (AS7)</w:t>
      </w:r>
      <w:r w:rsidRPr="3D20DE2E">
        <w:rPr>
          <w:rFonts w:ascii="Times New Roman" w:eastAsia="Times New Roman" w:hAnsi="Times New Roman" w:cs="Times New Roman"/>
          <w:color w:val="000000" w:themeColor="text1"/>
          <w:sz w:val="24"/>
          <w:szCs w:val="24"/>
        </w:rPr>
        <w:t xml:space="preserve"> for each company and then compare it to the current stock price of that company. </w:t>
      </w:r>
    </w:p>
    <w:p w14:paraId="211B1F92" w14:textId="77777777" w:rsidR="008A234F" w:rsidRDefault="008A234F" w:rsidP="008A234F">
      <w:pPr>
        <w:spacing w:after="0" w:line="240" w:lineRule="auto"/>
        <w:ind w:left="720"/>
        <w:jc w:val="both"/>
        <w:rPr>
          <w:rFonts w:ascii="Times New Roman" w:eastAsia="Times New Roman" w:hAnsi="Times New Roman" w:cs="Times New Roman"/>
          <w:color w:val="000000" w:themeColor="text1"/>
          <w:sz w:val="24"/>
          <w:szCs w:val="24"/>
        </w:rPr>
      </w:pPr>
    </w:p>
    <w:p w14:paraId="2896D711" w14:textId="77777777" w:rsidR="008A234F" w:rsidRPr="00C52E8A" w:rsidRDefault="008A234F" w:rsidP="008A234F">
      <w:pPr>
        <w:spacing w:after="0" w:line="240" w:lineRule="auto"/>
        <w:ind w:left="720"/>
        <w:jc w:val="both"/>
        <w:rPr>
          <w:rFonts w:ascii="Times New Roman" w:eastAsia="Times New Roman" w:hAnsi="Times New Roman" w:cs="Times New Roman"/>
          <w:color w:val="000000" w:themeColor="text1"/>
          <w:sz w:val="24"/>
          <w:szCs w:val="24"/>
        </w:rPr>
      </w:pPr>
      <w:r w:rsidRPr="00C52E8A">
        <w:rPr>
          <w:rFonts w:ascii="Times New Roman" w:eastAsia="Times New Roman" w:hAnsi="Times New Roman" w:cs="Times New Roman"/>
          <w:color w:val="000000" w:themeColor="text1"/>
          <w:sz w:val="24"/>
          <w:szCs w:val="24"/>
        </w:rPr>
        <w:t>Use the following formula for your calculations:</w:t>
      </w:r>
    </w:p>
    <w:p w14:paraId="3DC57567" w14:textId="23A85D0C" w:rsidR="008A234F" w:rsidRDefault="00295DB9" w:rsidP="00DF66DE">
      <w:pPr>
        <w:spacing w:after="0" w:line="240" w:lineRule="auto"/>
        <w:ind w:left="720"/>
        <w:jc w:val="center"/>
        <w:rPr>
          <w:rFonts w:ascii="Times New Roman" w:eastAsia="Times New Roman" w:hAnsi="Times New Roman" w:cs="Times New Roman"/>
          <w:color w:val="000000" w:themeColor="text1"/>
          <w:sz w:val="24"/>
          <w:szCs w:val="24"/>
          <w:highlight w:val="yellow"/>
        </w:rPr>
      </w:pPr>
      <m:oMath>
        <m:sSub>
          <m:sSubPr>
            <m:ctrlPr>
              <w:rPr>
                <w:rFonts w:ascii="Cambria Math" w:eastAsia="Times New Roman" w:hAnsi="Cambria Math" w:cs="Times New Roman"/>
                <w:i/>
                <w:color w:val="000000" w:themeColor="text1"/>
                <w:sz w:val="32"/>
                <w:szCs w:val="32"/>
              </w:rPr>
            </m:ctrlPr>
          </m:sSubPr>
          <m:e>
            <m:r>
              <w:rPr>
                <w:rFonts w:ascii="Cambria Math" w:eastAsia="Times New Roman" w:hAnsi="Cambria Math" w:cs="Times New Roman"/>
                <w:color w:val="000000" w:themeColor="text1"/>
                <w:sz w:val="32"/>
                <w:szCs w:val="32"/>
              </w:rPr>
              <m:t>P</m:t>
            </m:r>
          </m:e>
          <m:sub>
            <m:r>
              <w:rPr>
                <w:rFonts w:ascii="Cambria Math" w:eastAsia="Times New Roman" w:hAnsi="Cambria Math" w:cs="Times New Roman"/>
                <w:color w:val="000000" w:themeColor="text1"/>
                <w:sz w:val="32"/>
                <w:szCs w:val="32"/>
              </w:rPr>
              <m:t>0</m:t>
            </m:r>
          </m:sub>
        </m:sSub>
        <m:r>
          <w:rPr>
            <w:rFonts w:ascii="Cambria Math" w:eastAsia="Times New Roman" w:hAnsi="Cambria Math" w:cs="Times New Roman"/>
            <w:color w:val="000000" w:themeColor="text1"/>
            <w:sz w:val="32"/>
            <w:szCs w:val="32"/>
          </w:rPr>
          <m:t>=</m:t>
        </m:r>
        <m:f>
          <m:fPr>
            <m:ctrlPr>
              <w:rPr>
                <w:rFonts w:ascii="Cambria Math" w:eastAsia="Times New Roman" w:hAnsi="Cambria Math" w:cs="Times New Roman"/>
                <w:i/>
                <w:color w:val="000000" w:themeColor="text1"/>
                <w:sz w:val="32"/>
                <w:szCs w:val="32"/>
              </w:rPr>
            </m:ctrlPr>
          </m:fPr>
          <m:num>
            <m:sSub>
              <m:sSubPr>
                <m:ctrlPr>
                  <w:rPr>
                    <w:rFonts w:ascii="Cambria Math" w:eastAsia="Times New Roman" w:hAnsi="Cambria Math" w:cs="Times New Roman"/>
                    <w:i/>
                    <w:color w:val="000000" w:themeColor="text1"/>
                    <w:sz w:val="32"/>
                    <w:szCs w:val="32"/>
                  </w:rPr>
                </m:ctrlPr>
              </m:sSubPr>
              <m:e>
                <m:r>
                  <w:rPr>
                    <w:rFonts w:ascii="Cambria Math" w:eastAsia="Times New Roman" w:hAnsi="Cambria Math" w:cs="Times New Roman"/>
                    <w:color w:val="000000" w:themeColor="text1"/>
                    <w:sz w:val="32"/>
                    <w:szCs w:val="32"/>
                  </w:rPr>
                  <m:t>D</m:t>
                </m:r>
              </m:e>
              <m:sub>
                <m:r>
                  <w:rPr>
                    <w:rFonts w:ascii="Cambria Math" w:eastAsia="Times New Roman" w:hAnsi="Cambria Math" w:cs="Times New Roman"/>
                    <w:color w:val="000000" w:themeColor="text1"/>
                    <w:sz w:val="32"/>
                    <w:szCs w:val="32"/>
                  </w:rPr>
                  <m:t>1</m:t>
                </m:r>
              </m:sub>
            </m:sSub>
          </m:num>
          <m:den>
            <m:r>
              <w:rPr>
                <w:rFonts w:ascii="Cambria Math" w:eastAsia="Times New Roman" w:hAnsi="Cambria Math" w:cs="Times New Roman"/>
                <w:color w:val="000000" w:themeColor="text1"/>
                <w:sz w:val="32"/>
                <w:szCs w:val="32"/>
              </w:rPr>
              <m:t>i-g</m:t>
            </m:r>
          </m:den>
        </m:f>
      </m:oMath>
      <w:r w:rsidR="008A234F">
        <w:rPr>
          <w:rFonts w:ascii="Times New Roman" w:eastAsia="Times New Roman" w:hAnsi="Times New Roman" w:cs="Times New Roman"/>
          <w:color w:val="000000" w:themeColor="text1"/>
          <w:sz w:val="24"/>
          <w:szCs w:val="24"/>
        </w:rPr>
        <w:tab/>
      </w:r>
      <w:r w:rsidR="00DF66DE">
        <w:rPr>
          <w:rFonts w:ascii="Times New Roman" w:eastAsia="Times New Roman" w:hAnsi="Times New Roman" w:cs="Times New Roman"/>
          <w:color w:val="000000" w:themeColor="text1"/>
          <w:sz w:val="24"/>
          <w:szCs w:val="24"/>
        </w:rPr>
        <w:tab/>
      </w:r>
      <w:r w:rsidR="00DF66DE">
        <w:rPr>
          <w:rFonts w:ascii="Times New Roman" w:eastAsia="Times New Roman" w:hAnsi="Times New Roman" w:cs="Times New Roman"/>
          <w:color w:val="000000" w:themeColor="text1"/>
          <w:sz w:val="24"/>
          <w:szCs w:val="24"/>
        </w:rPr>
        <w:tab/>
      </w:r>
      <w:r w:rsidR="00DF66DE">
        <w:rPr>
          <w:rFonts w:ascii="Times New Roman" w:eastAsia="Times New Roman" w:hAnsi="Times New Roman" w:cs="Times New Roman"/>
          <w:color w:val="000000" w:themeColor="text1"/>
          <w:sz w:val="24"/>
          <w:szCs w:val="24"/>
        </w:rPr>
        <w:tab/>
      </w:r>
      <w:r w:rsidR="00DF66DE">
        <w:rPr>
          <w:rFonts w:ascii="Times New Roman" w:eastAsia="Times New Roman" w:hAnsi="Times New Roman" w:cs="Times New Roman"/>
          <w:color w:val="000000" w:themeColor="text1"/>
          <w:sz w:val="24"/>
          <w:szCs w:val="24"/>
        </w:rPr>
        <w:tab/>
      </w:r>
      <w:r w:rsidR="00DF66DE">
        <w:rPr>
          <w:rFonts w:ascii="Times New Roman" w:eastAsia="Times New Roman" w:hAnsi="Times New Roman" w:cs="Times New Roman"/>
          <w:color w:val="000000" w:themeColor="text1"/>
          <w:sz w:val="24"/>
          <w:szCs w:val="24"/>
        </w:rPr>
        <w:tab/>
      </w:r>
      <w:r w:rsidR="008A234F" w:rsidRPr="00DF66DE">
        <w:rPr>
          <w:rFonts w:ascii="Times New Roman" w:eastAsia="Times New Roman" w:hAnsi="Times New Roman" w:cs="Times New Roman"/>
          <w:b/>
          <w:bCs/>
          <w:color w:val="000000" w:themeColor="text1"/>
          <w:sz w:val="24"/>
          <w:szCs w:val="24"/>
        </w:rPr>
        <w:t xml:space="preserve">Equation </w:t>
      </w:r>
      <w:r w:rsidR="003C01F6" w:rsidRPr="00DF66DE">
        <w:rPr>
          <w:rFonts w:ascii="Times New Roman" w:eastAsia="Times New Roman" w:hAnsi="Times New Roman" w:cs="Times New Roman"/>
          <w:b/>
          <w:bCs/>
          <w:color w:val="000000" w:themeColor="text1"/>
          <w:sz w:val="24"/>
          <w:szCs w:val="24"/>
        </w:rPr>
        <w:t>2</w:t>
      </w:r>
    </w:p>
    <w:p w14:paraId="5B35BC2B" w14:textId="77777777" w:rsidR="008A234F" w:rsidRDefault="008A234F" w:rsidP="008A234F">
      <w:pPr>
        <w:spacing w:after="0" w:line="240" w:lineRule="auto"/>
        <w:jc w:val="both"/>
        <w:rPr>
          <w:rFonts w:ascii="Times New Roman" w:eastAsia="Times New Roman" w:hAnsi="Times New Roman" w:cs="Times New Roman"/>
          <w:color w:val="000000" w:themeColor="text1"/>
          <w:sz w:val="24"/>
          <w:szCs w:val="24"/>
        </w:rPr>
      </w:pPr>
    </w:p>
    <w:p w14:paraId="3780AFF6" w14:textId="094F47B5" w:rsidR="008A234F" w:rsidRDefault="008A234F" w:rsidP="008A234F">
      <w:pPr>
        <w:spacing w:after="0" w:line="240" w:lineRule="auto"/>
        <w:ind w:left="720"/>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 xml:space="preserve">where </w:t>
      </w:r>
      <w:r w:rsidRPr="3D20DE2E">
        <w:rPr>
          <w:rFonts w:ascii="Times New Roman" w:eastAsia="Times New Roman" w:hAnsi="Times New Roman" w:cs="Times New Roman"/>
          <w:b/>
          <w:bCs/>
          <w:i/>
          <w:iCs/>
          <w:color w:val="000000" w:themeColor="text1"/>
          <w:sz w:val="24"/>
          <w:szCs w:val="24"/>
        </w:rPr>
        <w:t>P</w:t>
      </w:r>
      <w:r w:rsidRPr="3D20DE2E">
        <w:rPr>
          <w:rFonts w:ascii="Times New Roman" w:eastAsia="Times New Roman" w:hAnsi="Times New Roman" w:cs="Times New Roman"/>
          <w:b/>
          <w:bCs/>
          <w:color w:val="000000" w:themeColor="text1"/>
          <w:sz w:val="24"/>
          <w:szCs w:val="24"/>
          <w:vertAlign w:val="subscript"/>
        </w:rPr>
        <w:t>0</w:t>
      </w:r>
      <w:r w:rsidRPr="3D20DE2E">
        <w:rPr>
          <w:rFonts w:ascii="Times New Roman" w:eastAsia="Times New Roman" w:hAnsi="Times New Roman" w:cs="Times New Roman"/>
          <w:b/>
          <w:bCs/>
          <w:i/>
          <w:iCs/>
          <w:color w:val="000000" w:themeColor="text1"/>
          <w:sz w:val="24"/>
          <w:szCs w:val="24"/>
        </w:rPr>
        <w:t xml:space="preserve"> </w:t>
      </w:r>
      <w:r w:rsidRPr="3D20DE2E">
        <w:rPr>
          <w:rFonts w:ascii="Times New Roman" w:eastAsia="Times New Roman" w:hAnsi="Times New Roman" w:cs="Times New Roman"/>
          <w:color w:val="000000" w:themeColor="text1"/>
          <w:sz w:val="24"/>
          <w:szCs w:val="24"/>
        </w:rPr>
        <w:t xml:space="preserve">is the theoretical stock price, </w:t>
      </w:r>
      <w:r w:rsidRPr="3D20DE2E">
        <w:rPr>
          <w:rFonts w:ascii="Times New Roman" w:eastAsia="Times New Roman" w:hAnsi="Times New Roman" w:cs="Times New Roman"/>
          <w:b/>
          <w:bCs/>
          <w:i/>
          <w:iCs/>
          <w:color w:val="000000" w:themeColor="text1"/>
          <w:sz w:val="24"/>
          <w:szCs w:val="24"/>
        </w:rPr>
        <w:t>D</w:t>
      </w:r>
      <w:r w:rsidRPr="3D20DE2E">
        <w:rPr>
          <w:rFonts w:ascii="Times New Roman" w:eastAsia="Times New Roman" w:hAnsi="Times New Roman" w:cs="Times New Roman"/>
          <w:b/>
          <w:bCs/>
          <w:color w:val="000000" w:themeColor="text1"/>
          <w:sz w:val="24"/>
          <w:szCs w:val="24"/>
          <w:vertAlign w:val="subscript"/>
        </w:rPr>
        <w:t>1</w:t>
      </w:r>
      <w:r w:rsidRPr="3D20DE2E">
        <w:rPr>
          <w:rFonts w:ascii="Times New Roman" w:eastAsia="Times New Roman" w:hAnsi="Times New Roman" w:cs="Times New Roman"/>
          <w:color w:val="000000" w:themeColor="text1"/>
          <w:sz w:val="24"/>
          <w:szCs w:val="24"/>
          <w:vertAlign w:val="subscript"/>
        </w:rPr>
        <w:t xml:space="preserve"> </w:t>
      </w:r>
      <w:r w:rsidRPr="3D20DE2E">
        <w:rPr>
          <w:rFonts w:ascii="Times New Roman" w:eastAsia="Times New Roman" w:hAnsi="Times New Roman" w:cs="Times New Roman"/>
          <w:color w:val="000000" w:themeColor="text1"/>
          <w:sz w:val="24"/>
          <w:szCs w:val="24"/>
        </w:rPr>
        <w:t>is the next period dividend (annualized) based on the 10-year historical dividend growth rate,</w:t>
      </w:r>
      <w:r w:rsidRPr="3D20DE2E">
        <w:rPr>
          <w:rFonts w:ascii="Times New Roman" w:eastAsia="Times New Roman" w:hAnsi="Times New Roman" w:cs="Times New Roman"/>
          <w:b/>
          <w:bCs/>
          <w:i/>
          <w:iCs/>
          <w:color w:val="000000" w:themeColor="text1"/>
          <w:sz w:val="24"/>
          <w:szCs w:val="24"/>
        </w:rPr>
        <w:t xml:space="preserve"> </w:t>
      </w:r>
      <w:proofErr w:type="spellStart"/>
      <w:r w:rsidRPr="3D20DE2E">
        <w:rPr>
          <w:rFonts w:ascii="Times New Roman" w:eastAsia="Times New Roman" w:hAnsi="Times New Roman" w:cs="Times New Roman"/>
          <w:b/>
          <w:bCs/>
          <w:i/>
          <w:iCs/>
          <w:color w:val="000000" w:themeColor="text1"/>
          <w:sz w:val="24"/>
          <w:szCs w:val="24"/>
        </w:rPr>
        <w:t>i</w:t>
      </w:r>
      <w:proofErr w:type="spellEnd"/>
      <w:r w:rsidRPr="3D20DE2E">
        <w:rPr>
          <w:rFonts w:ascii="Times New Roman" w:eastAsia="Times New Roman" w:hAnsi="Times New Roman" w:cs="Times New Roman"/>
          <w:b/>
          <w:bCs/>
          <w:i/>
          <w:iCs/>
          <w:color w:val="000000" w:themeColor="text1"/>
          <w:sz w:val="24"/>
          <w:szCs w:val="24"/>
        </w:rPr>
        <w:t xml:space="preserve"> </w:t>
      </w:r>
      <w:r w:rsidRPr="3D20DE2E">
        <w:rPr>
          <w:rFonts w:ascii="Times New Roman" w:eastAsia="Times New Roman" w:hAnsi="Times New Roman" w:cs="Times New Roman"/>
          <w:color w:val="000000" w:themeColor="text1"/>
          <w:sz w:val="24"/>
          <w:szCs w:val="24"/>
        </w:rPr>
        <w:t xml:space="preserve">is your required rate of return based on the CAPM method described </w:t>
      </w:r>
      <w:r w:rsidR="00432E06">
        <w:rPr>
          <w:rFonts w:ascii="Times New Roman" w:eastAsia="Times New Roman" w:hAnsi="Times New Roman" w:cs="Times New Roman"/>
          <w:color w:val="000000" w:themeColor="text1"/>
          <w:sz w:val="24"/>
          <w:szCs w:val="24"/>
        </w:rPr>
        <w:t>above</w:t>
      </w:r>
      <w:r w:rsidRPr="3D20DE2E">
        <w:rPr>
          <w:rFonts w:ascii="Times New Roman" w:eastAsia="Times New Roman" w:hAnsi="Times New Roman" w:cs="Times New Roman"/>
          <w:color w:val="000000" w:themeColor="text1"/>
          <w:sz w:val="24"/>
          <w:szCs w:val="24"/>
        </w:rPr>
        <w:t xml:space="preserve">, and </w:t>
      </w:r>
      <w:r w:rsidRPr="3D20DE2E">
        <w:rPr>
          <w:rFonts w:ascii="Times New Roman" w:eastAsia="Times New Roman" w:hAnsi="Times New Roman" w:cs="Times New Roman"/>
          <w:b/>
          <w:bCs/>
          <w:i/>
          <w:iCs/>
          <w:color w:val="000000" w:themeColor="text1"/>
          <w:sz w:val="24"/>
          <w:szCs w:val="24"/>
        </w:rPr>
        <w:t>g</w:t>
      </w:r>
      <w:r w:rsidRPr="3D20DE2E">
        <w:rPr>
          <w:rFonts w:ascii="Times New Roman" w:eastAsia="Times New Roman" w:hAnsi="Times New Roman" w:cs="Times New Roman"/>
          <w:color w:val="000000" w:themeColor="text1"/>
          <w:sz w:val="24"/>
          <w:szCs w:val="24"/>
        </w:rPr>
        <w:t xml:space="preserve"> is the growth rate of the dividend, computed as shown in class</w:t>
      </w:r>
      <w:r w:rsidR="00432E06">
        <w:rPr>
          <w:rFonts w:ascii="Times New Roman" w:eastAsia="Times New Roman" w:hAnsi="Times New Roman" w:cs="Times New Roman"/>
          <w:color w:val="000000" w:themeColor="text1"/>
          <w:sz w:val="24"/>
          <w:szCs w:val="24"/>
        </w:rPr>
        <w:t xml:space="preserve"> (Step 7)</w:t>
      </w:r>
      <w:r w:rsidRPr="3D20DE2E">
        <w:rPr>
          <w:rFonts w:ascii="Times New Roman" w:eastAsia="Times New Roman" w:hAnsi="Times New Roman" w:cs="Times New Roman"/>
          <w:color w:val="000000" w:themeColor="text1"/>
          <w:sz w:val="24"/>
          <w:szCs w:val="24"/>
        </w:rPr>
        <w:t xml:space="preserve">. </w:t>
      </w:r>
      <w:r w:rsidRPr="3D20DE2E">
        <w:rPr>
          <w:rFonts w:ascii="Times New Roman" w:eastAsia="Times New Roman" w:hAnsi="Times New Roman" w:cs="Times New Roman"/>
          <w:i/>
          <w:iCs/>
          <w:color w:val="000000" w:themeColor="text1"/>
          <w:sz w:val="24"/>
          <w:szCs w:val="24"/>
        </w:rPr>
        <w:t xml:space="preserve">Recall that for GGM to work, </w:t>
      </w:r>
      <w:proofErr w:type="spellStart"/>
      <w:r w:rsidRPr="3D20DE2E">
        <w:rPr>
          <w:rFonts w:ascii="Times New Roman" w:eastAsia="Times New Roman" w:hAnsi="Times New Roman" w:cs="Times New Roman"/>
          <w:b/>
          <w:bCs/>
          <w:i/>
          <w:iCs/>
          <w:color w:val="000000" w:themeColor="text1"/>
          <w:sz w:val="24"/>
          <w:szCs w:val="24"/>
        </w:rPr>
        <w:t>i</w:t>
      </w:r>
      <w:proofErr w:type="spellEnd"/>
      <w:r w:rsidRPr="3D20DE2E">
        <w:rPr>
          <w:rFonts w:ascii="Times New Roman" w:eastAsia="Times New Roman" w:hAnsi="Times New Roman" w:cs="Times New Roman"/>
          <w:i/>
          <w:iCs/>
          <w:color w:val="000000" w:themeColor="text1"/>
          <w:sz w:val="24"/>
          <w:szCs w:val="24"/>
        </w:rPr>
        <w:t xml:space="preserve"> must be greater than </w:t>
      </w:r>
      <w:r w:rsidRPr="3D20DE2E">
        <w:rPr>
          <w:rFonts w:ascii="Times New Roman" w:eastAsia="Times New Roman" w:hAnsi="Times New Roman" w:cs="Times New Roman"/>
          <w:b/>
          <w:bCs/>
          <w:i/>
          <w:iCs/>
          <w:color w:val="000000" w:themeColor="text1"/>
          <w:sz w:val="24"/>
          <w:szCs w:val="24"/>
        </w:rPr>
        <w:t>g</w:t>
      </w:r>
      <w:r w:rsidRPr="3D20DE2E">
        <w:rPr>
          <w:rFonts w:ascii="Times New Roman" w:eastAsia="Times New Roman" w:hAnsi="Times New Roman" w:cs="Times New Roman"/>
          <w:i/>
          <w:iCs/>
          <w:color w:val="000000" w:themeColor="text1"/>
          <w:sz w:val="24"/>
          <w:szCs w:val="24"/>
        </w:rPr>
        <w:t xml:space="preserve">. </w:t>
      </w:r>
      <w:r w:rsidRPr="3D20DE2E">
        <w:rPr>
          <w:rFonts w:ascii="Times New Roman" w:eastAsia="Times New Roman" w:hAnsi="Times New Roman" w:cs="Times New Roman"/>
          <w:color w:val="000000" w:themeColor="text1"/>
          <w:sz w:val="24"/>
          <w:szCs w:val="24"/>
        </w:rPr>
        <w:t>Show all data and calculations in Table 1 of the Answer Sheet below.</w:t>
      </w:r>
    </w:p>
    <w:p w14:paraId="5EEB513F" w14:textId="77777777" w:rsidR="008A234F" w:rsidRDefault="008A234F" w:rsidP="008A234F">
      <w:pPr>
        <w:spacing w:after="0" w:line="240" w:lineRule="auto"/>
        <w:ind w:left="720"/>
        <w:rPr>
          <w:rFonts w:ascii="Times New Roman" w:eastAsia="Times New Roman" w:hAnsi="Times New Roman" w:cs="Times New Roman"/>
          <w:color w:val="000000" w:themeColor="text1"/>
          <w:sz w:val="24"/>
          <w:szCs w:val="24"/>
        </w:rPr>
      </w:pPr>
    </w:p>
    <w:p w14:paraId="0498D8C6" w14:textId="77777777" w:rsidR="008A234F" w:rsidRDefault="008A234F" w:rsidP="008A234F">
      <w:pPr>
        <w:spacing w:after="0" w:line="240" w:lineRule="auto"/>
        <w:ind w:left="720"/>
        <w:rPr>
          <w:rFonts w:ascii="Times New Roman" w:eastAsia="Times New Roman" w:hAnsi="Times New Roman" w:cs="Times New Roman"/>
          <w:color w:val="000000" w:themeColor="text1"/>
          <w:sz w:val="24"/>
          <w:szCs w:val="24"/>
        </w:rPr>
      </w:pPr>
    </w:p>
    <w:p w14:paraId="21CE3F45" w14:textId="6912E364" w:rsidR="7C60018F" w:rsidRDefault="7C60018F" w:rsidP="001E516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Use Bloomberg to find the most recent closing price</w:t>
      </w:r>
      <w:r w:rsidR="00582667">
        <w:rPr>
          <w:rFonts w:ascii="Times New Roman" w:eastAsia="Times New Roman" w:hAnsi="Times New Roman" w:cs="Times New Roman"/>
          <w:color w:val="000000" w:themeColor="text1"/>
          <w:sz w:val="24"/>
          <w:szCs w:val="24"/>
        </w:rPr>
        <w:t xml:space="preserve"> for each of the 10 companies above</w:t>
      </w:r>
      <w:r w:rsidRPr="3D20DE2E">
        <w:rPr>
          <w:rFonts w:ascii="Times New Roman" w:eastAsia="Times New Roman" w:hAnsi="Times New Roman" w:cs="Times New Roman"/>
          <w:color w:val="000000" w:themeColor="text1"/>
          <w:sz w:val="24"/>
          <w:szCs w:val="24"/>
        </w:rPr>
        <w:t xml:space="preserve"> (AS8).</w:t>
      </w:r>
    </w:p>
    <w:p w14:paraId="21ABE6B3" w14:textId="0C34057B" w:rsidR="3D20DE2E" w:rsidRDefault="3D20DE2E" w:rsidP="3D20DE2E">
      <w:pPr>
        <w:spacing w:after="0" w:line="240" w:lineRule="auto"/>
        <w:ind w:left="720"/>
        <w:jc w:val="both"/>
        <w:rPr>
          <w:rFonts w:ascii="Times New Roman" w:eastAsia="Times New Roman" w:hAnsi="Times New Roman" w:cs="Times New Roman"/>
          <w:color w:val="000000" w:themeColor="text1"/>
          <w:sz w:val="24"/>
          <w:szCs w:val="24"/>
        </w:rPr>
      </w:pPr>
    </w:p>
    <w:p w14:paraId="48B7D759" w14:textId="1C8B4949" w:rsidR="7C60018F" w:rsidRDefault="7C60018F" w:rsidP="3D20DE2E">
      <w:p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b/>
          <w:bCs/>
          <w:color w:val="000000" w:themeColor="text1"/>
          <w:sz w:val="24"/>
          <w:szCs w:val="24"/>
        </w:rPr>
        <w:t>Part IV. Explanation</w:t>
      </w:r>
    </w:p>
    <w:p w14:paraId="5F3F42EF" w14:textId="19239D73"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4B631507" w14:textId="42E0D7DA" w:rsidR="7C60018F" w:rsidRDefault="7C60018F" w:rsidP="3D20DE2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Discuss why differences between the theoretical stock prices and the actual stock prices exist. (AS10)</w:t>
      </w:r>
    </w:p>
    <w:p w14:paraId="744DA6CD" w14:textId="1B3A4794"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216E3298" w14:textId="44EADFCF" w:rsidR="7C60018F" w:rsidRDefault="7C60018F" w:rsidP="3D20DE2E">
      <w:p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b/>
          <w:bCs/>
          <w:color w:val="000000" w:themeColor="text1"/>
          <w:sz w:val="24"/>
          <w:szCs w:val="24"/>
        </w:rPr>
        <w:t>Part V. Submission</w:t>
      </w:r>
    </w:p>
    <w:p w14:paraId="5C51DCEE" w14:textId="184B5561" w:rsidR="3D20DE2E" w:rsidRDefault="3D20DE2E" w:rsidP="3D20DE2E">
      <w:pPr>
        <w:spacing w:after="0" w:line="240" w:lineRule="auto"/>
        <w:jc w:val="both"/>
        <w:rPr>
          <w:rFonts w:ascii="Times New Roman" w:eastAsia="Times New Roman" w:hAnsi="Times New Roman" w:cs="Times New Roman"/>
          <w:color w:val="000000" w:themeColor="text1"/>
          <w:sz w:val="24"/>
          <w:szCs w:val="24"/>
        </w:rPr>
      </w:pPr>
    </w:p>
    <w:p w14:paraId="373BA81F" w14:textId="650224A6" w:rsidR="7C60018F" w:rsidRDefault="7C60018F" w:rsidP="3D20DE2E">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3D20DE2E">
        <w:rPr>
          <w:rFonts w:ascii="Times New Roman" w:eastAsia="Times New Roman" w:hAnsi="Times New Roman" w:cs="Times New Roman"/>
          <w:color w:val="000000" w:themeColor="text1"/>
          <w:sz w:val="24"/>
          <w:szCs w:val="24"/>
        </w:rPr>
        <w:t xml:space="preserve">When you have completed the assignment, save it as GGMInsertYourLastNameHere.docx (i.e., GGMSmith.docx) and submit it on I-Learn by the day and time noted on the course schedule. All grading will be based on the Project Grading Rubric posted on I-Learn and using the format given above and demonstrated in class--no other format is acceptable for grading purposes. You will be graded on the correctness and completeness of your work, exactness in following all instructions, and the professional appearance of your work (including typos, grammatical errors, and lack of citing references). </w:t>
      </w:r>
      <w:r w:rsidRPr="3D20DE2E">
        <w:rPr>
          <w:rFonts w:ascii="Times New Roman" w:eastAsia="Times New Roman" w:hAnsi="Times New Roman" w:cs="Times New Roman"/>
          <w:b/>
          <w:bCs/>
          <w:color w:val="000000" w:themeColor="text1"/>
          <w:sz w:val="24"/>
          <w:szCs w:val="24"/>
        </w:rPr>
        <w:t>I do not accept late work.</w:t>
      </w:r>
      <w:r w:rsidRPr="3D20DE2E">
        <w:rPr>
          <w:rFonts w:ascii="Times New Roman" w:eastAsia="Times New Roman" w:hAnsi="Times New Roman" w:cs="Times New Roman"/>
          <w:b/>
          <w:bCs/>
          <w:color w:val="000000" w:themeColor="text1"/>
          <w:sz w:val="24"/>
          <w:szCs w:val="24"/>
        </w:rPr>
        <w:br w:type="page"/>
      </w:r>
    </w:p>
    <w:p w14:paraId="40D5D5AA" w14:textId="1DB0987C" w:rsidR="7C60018F" w:rsidRDefault="7C60018F" w:rsidP="3D20DE2E">
      <w:pPr>
        <w:spacing w:after="0" w:line="240" w:lineRule="auto"/>
        <w:rPr>
          <w:rFonts w:ascii="Times New Roman" w:eastAsia="Times New Roman" w:hAnsi="Times New Roman" w:cs="Times New Roman"/>
          <w:color w:val="000000" w:themeColor="text1"/>
          <w:sz w:val="20"/>
          <w:szCs w:val="20"/>
        </w:rPr>
      </w:pPr>
      <w:r w:rsidRPr="3D20DE2E">
        <w:rPr>
          <w:rFonts w:ascii="Times New Roman" w:eastAsia="Times New Roman" w:hAnsi="Times New Roman" w:cs="Times New Roman"/>
          <w:b/>
          <w:bCs/>
          <w:color w:val="000000" w:themeColor="text1"/>
          <w:sz w:val="20"/>
          <w:szCs w:val="20"/>
        </w:rPr>
        <w:lastRenderedPageBreak/>
        <w:t>Project 8 – Gordon Growth Model</w:t>
      </w:r>
      <w:r>
        <w:tab/>
      </w:r>
      <w:r>
        <w:tab/>
      </w:r>
      <w:r>
        <w:tab/>
      </w:r>
      <w:r>
        <w:tab/>
      </w:r>
      <w:r w:rsidRPr="3D20DE2E">
        <w:rPr>
          <w:rFonts w:ascii="Times New Roman" w:eastAsia="Times New Roman" w:hAnsi="Times New Roman" w:cs="Times New Roman"/>
          <w:b/>
          <w:bCs/>
          <w:color w:val="000000" w:themeColor="text1"/>
          <w:sz w:val="20"/>
          <w:szCs w:val="20"/>
        </w:rPr>
        <w:t>Name ______________________________</w:t>
      </w:r>
    </w:p>
    <w:p w14:paraId="2C091BD9" w14:textId="51D1BDBD" w:rsidR="7C60018F" w:rsidRDefault="7C60018F" w:rsidP="3D20DE2E">
      <w:pPr>
        <w:spacing w:after="0" w:line="240" w:lineRule="auto"/>
        <w:rPr>
          <w:rFonts w:ascii="Times New Roman" w:eastAsia="Times New Roman" w:hAnsi="Times New Roman" w:cs="Times New Roman"/>
          <w:color w:val="000000" w:themeColor="text1"/>
          <w:sz w:val="20"/>
          <w:szCs w:val="20"/>
        </w:rPr>
      </w:pPr>
      <w:r w:rsidRPr="3D20DE2E">
        <w:rPr>
          <w:rFonts w:ascii="Times New Roman" w:eastAsia="Times New Roman" w:hAnsi="Times New Roman" w:cs="Times New Roman"/>
          <w:b/>
          <w:bCs/>
          <w:color w:val="000000" w:themeColor="text1"/>
          <w:sz w:val="20"/>
          <w:szCs w:val="20"/>
        </w:rPr>
        <w:t>Answer Sheet</w:t>
      </w:r>
    </w:p>
    <w:p w14:paraId="49664B2D" w14:textId="61186D32" w:rsidR="3D20DE2E" w:rsidRDefault="3D20DE2E" w:rsidP="3D20DE2E">
      <w:pPr>
        <w:spacing w:after="0" w:line="240" w:lineRule="auto"/>
        <w:rPr>
          <w:rFonts w:ascii="Times New Roman" w:eastAsia="Times New Roman" w:hAnsi="Times New Roman" w:cs="Times New Roman"/>
          <w:color w:val="000000" w:themeColor="text1"/>
          <w:sz w:val="20"/>
          <w:szCs w:val="20"/>
        </w:rPr>
      </w:pPr>
    </w:p>
    <w:p w14:paraId="716A6769" w14:textId="7240C58D" w:rsidR="7C60018F" w:rsidRDefault="7C60018F" w:rsidP="3D20DE2E">
      <w:pPr>
        <w:spacing w:after="0" w:line="240" w:lineRule="auto"/>
        <w:rPr>
          <w:rFonts w:ascii="Times New Roman" w:eastAsia="Times New Roman" w:hAnsi="Times New Roman" w:cs="Times New Roman"/>
          <w:color w:val="000000" w:themeColor="text1"/>
          <w:sz w:val="20"/>
          <w:szCs w:val="20"/>
        </w:rPr>
      </w:pPr>
      <w:r w:rsidRPr="3D20DE2E">
        <w:rPr>
          <w:rFonts w:ascii="Times New Roman" w:eastAsia="Times New Roman" w:hAnsi="Times New Roman" w:cs="Times New Roman"/>
          <w:color w:val="000000" w:themeColor="text1"/>
          <w:sz w:val="20"/>
          <w:szCs w:val="20"/>
        </w:rPr>
        <w:t xml:space="preserve">AS1. What is the Gordon Growth Model? </w:t>
      </w:r>
    </w:p>
    <w:p w14:paraId="107F82E7" w14:textId="227D2E8B" w:rsidR="3D20DE2E" w:rsidRDefault="00A4365F" w:rsidP="3D20DE2E">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Gordon Growth Model is used to determine the relationship between growth rates discount rates and valuation. </w:t>
      </w:r>
      <w:r w:rsidR="00790924">
        <w:rPr>
          <w:rFonts w:ascii="Times New Roman" w:eastAsia="Times New Roman" w:hAnsi="Times New Roman" w:cs="Times New Roman"/>
          <w:color w:val="000000" w:themeColor="text1"/>
          <w:sz w:val="20"/>
          <w:szCs w:val="20"/>
        </w:rPr>
        <w:t>It v</w:t>
      </w:r>
      <w:r w:rsidR="00E60488">
        <w:rPr>
          <w:rFonts w:ascii="Times New Roman" w:eastAsia="Times New Roman" w:hAnsi="Times New Roman" w:cs="Times New Roman"/>
          <w:color w:val="000000" w:themeColor="text1"/>
          <w:sz w:val="20"/>
          <w:szCs w:val="20"/>
        </w:rPr>
        <w:t>alues a price of a share with constant growth in dividend payments.</w:t>
      </w:r>
      <w:r w:rsidR="00A64FF9">
        <w:rPr>
          <w:rFonts w:ascii="Times New Roman" w:eastAsia="Times New Roman" w:hAnsi="Times New Roman" w:cs="Times New Roman"/>
          <w:color w:val="000000" w:themeColor="text1"/>
          <w:sz w:val="20"/>
          <w:szCs w:val="20"/>
        </w:rPr>
        <w:t xml:space="preserve"> </w:t>
      </w:r>
      <w:r w:rsidR="009410AC">
        <w:rPr>
          <w:rFonts w:ascii="Times New Roman" w:eastAsia="Times New Roman" w:hAnsi="Times New Roman" w:cs="Times New Roman"/>
          <w:color w:val="000000" w:themeColor="text1"/>
          <w:sz w:val="20"/>
          <w:szCs w:val="20"/>
        </w:rPr>
        <w:t xml:space="preserve">From </w:t>
      </w:r>
      <w:proofErr w:type="spellStart"/>
      <w:r w:rsidR="009410AC">
        <w:rPr>
          <w:rFonts w:ascii="Times New Roman" w:eastAsia="Times New Roman" w:hAnsi="Times New Roman" w:cs="Times New Roman"/>
          <w:color w:val="000000" w:themeColor="text1"/>
          <w:sz w:val="20"/>
          <w:szCs w:val="20"/>
        </w:rPr>
        <w:t>Walkstreet</w:t>
      </w:r>
      <w:proofErr w:type="spellEnd"/>
      <w:r w:rsidR="009410AC">
        <w:rPr>
          <w:rFonts w:ascii="Times New Roman" w:eastAsia="Times New Roman" w:hAnsi="Times New Roman" w:cs="Times New Roman"/>
          <w:color w:val="000000" w:themeColor="text1"/>
          <w:sz w:val="20"/>
          <w:szCs w:val="20"/>
        </w:rPr>
        <w:t xml:space="preserve"> Mojo </w:t>
      </w:r>
      <w:r w:rsidR="00DD62D8">
        <w:rPr>
          <w:rFonts w:ascii="Times New Roman" w:eastAsia="Times New Roman" w:hAnsi="Times New Roman" w:cs="Times New Roman"/>
          <w:color w:val="000000" w:themeColor="text1"/>
          <w:sz w:val="20"/>
          <w:szCs w:val="20"/>
        </w:rPr>
        <w:t xml:space="preserve">with an article titled “What is the Gordon </w:t>
      </w:r>
      <w:proofErr w:type="spellStart"/>
      <w:r w:rsidR="00DD62D8">
        <w:rPr>
          <w:rFonts w:ascii="Times New Roman" w:eastAsia="Times New Roman" w:hAnsi="Times New Roman" w:cs="Times New Roman"/>
          <w:color w:val="000000" w:themeColor="text1"/>
          <w:sz w:val="20"/>
          <w:szCs w:val="20"/>
        </w:rPr>
        <w:t>Groeth</w:t>
      </w:r>
      <w:proofErr w:type="spellEnd"/>
      <w:r w:rsidR="00DD62D8">
        <w:rPr>
          <w:rFonts w:ascii="Times New Roman" w:eastAsia="Times New Roman" w:hAnsi="Times New Roman" w:cs="Times New Roman"/>
          <w:color w:val="000000" w:themeColor="text1"/>
          <w:sz w:val="20"/>
          <w:szCs w:val="20"/>
        </w:rPr>
        <w:t xml:space="preserve"> Model” it says “Gordon Growth Model is a type of dividend discount model in which the dividends are factored in and discounted.” </w:t>
      </w:r>
      <w:r w:rsidR="006D1C43">
        <w:rPr>
          <w:rFonts w:ascii="Times New Roman" w:eastAsia="Times New Roman" w:hAnsi="Times New Roman" w:cs="Times New Roman"/>
          <w:color w:val="000000" w:themeColor="text1"/>
          <w:sz w:val="20"/>
          <w:szCs w:val="20"/>
        </w:rPr>
        <w:t xml:space="preserve">It is good for </w:t>
      </w:r>
      <w:proofErr w:type="spellStart"/>
      <w:r w:rsidR="006D1C43">
        <w:rPr>
          <w:rFonts w:ascii="Times New Roman" w:eastAsia="Times New Roman" w:hAnsi="Times New Roman" w:cs="Times New Roman"/>
          <w:color w:val="000000" w:themeColor="text1"/>
          <w:sz w:val="20"/>
          <w:szCs w:val="20"/>
        </w:rPr>
        <w:t>company’s</w:t>
      </w:r>
      <w:proofErr w:type="spellEnd"/>
      <w:r w:rsidR="006D1C43">
        <w:rPr>
          <w:rFonts w:ascii="Times New Roman" w:eastAsia="Times New Roman" w:hAnsi="Times New Roman" w:cs="Times New Roman"/>
          <w:color w:val="000000" w:themeColor="text1"/>
          <w:sz w:val="20"/>
          <w:szCs w:val="20"/>
        </w:rPr>
        <w:t xml:space="preserve"> that are stable </w:t>
      </w:r>
      <w:r w:rsidR="000D54E5">
        <w:rPr>
          <w:rFonts w:ascii="Times New Roman" w:eastAsia="Times New Roman" w:hAnsi="Times New Roman" w:cs="Times New Roman"/>
          <w:color w:val="000000" w:themeColor="text1"/>
          <w:sz w:val="20"/>
          <w:szCs w:val="20"/>
        </w:rPr>
        <w:t xml:space="preserve">and is generally easy to understand. </w:t>
      </w:r>
    </w:p>
    <w:p w14:paraId="6356DE68" w14:textId="19CAB6C8" w:rsidR="3D20DE2E" w:rsidRDefault="3D20DE2E" w:rsidP="3D20DE2E">
      <w:pPr>
        <w:spacing w:after="0" w:line="240" w:lineRule="auto"/>
        <w:rPr>
          <w:rFonts w:ascii="Times New Roman" w:eastAsia="Times New Roman" w:hAnsi="Times New Roman" w:cs="Times New Roman"/>
          <w:color w:val="000000" w:themeColor="text1"/>
          <w:sz w:val="20"/>
          <w:szCs w:val="20"/>
        </w:rPr>
      </w:pPr>
    </w:p>
    <w:p w14:paraId="06670E44" w14:textId="509C2940" w:rsidR="7C60018F" w:rsidRDefault="7C60018F" w:rsidP="3D20DE2E">
      <w:pPr>
        <w:spacing w:after="120" w:line="240" w:lineRule="auto"/>
        <w:rPr>
          <w:rFonts w:ascii="Times New Roman" w:eastAsia="Times New Roman" w:hAnsi="Times New Roman" w:cs="Times New Roman"/>
          <w:color w:val="000000" w:themeColor="text1"/>
          <w:sz w:val="20"/>
          <w:szCs w:val="20"/>
        </w:rPr>
      </w:pPr>
      <w:r w:rsidRPr="3D20DE2E">
        <w:rPr>
          <w:rFonts w:ascii="Times New Roman" w:eastAsia="Times New Roman" w:hAnsi="Times New Roman" w:cs="Times New Roman"/>
          <w:color w:val="000000" w:themeColor="text1"/>
          <w:sz w:val="20"/>
          <w:szCs w:val="20"/>
        </w:rPr>
        <w:t>Table 1. (AS2-AS8)</w:t>
      </w:r>
    </w:p>
    <w:tbl>
      <w:tblPr>
        <w:tblStyle w:val="TableGrid"/>
        <w:tblW w:w="9361" w:type="dxa"/>
        <w:tblLayout w:type="fixed"/>
        <w:tblLook w:val="04A0" w:firstRow="1" w:lastRow="0" w:firstColumn="1" w:lastColumn="0" w:noHBand="0" w:noVBand="1"/>
      </w:tblPr>
      <w:tblGrid>
        <w:gridCol w:w="747"/>
        <w:gridCol w:w="868"/>
        <w:gridCol w:w="630"/>
        <w:gridCol w:w="630"/>
        <w:gridCol w:w="990"/>
        <w:gridCol w:w="1890"/>
        <w:gridCol w:w="2084"/>
        <w:gridCol w:w="1522"/>
      </w:tblGrid>
      <w:tr w:rsidR="3D20DE2E" w14:paraId="5F1500D4" w14:textId="77777777" w:rsidTr="00663D08">
        <w:tc>
          <w:tcPr>
            <w:tcW w:w="747" w:type="dxa"/>
            <w:vAlign w:val="center"/>
          </w:tcPr>
          <w:p w14:paraId="5FC0CAD2" w14:textId="60C57724" w:rsidR="3D20DE2E" w:rsidRDefault="3D20DE2E" w:rsidP="3D20DE2E">
            <w:pPr>
              <w:jc w:val="center"/>
              <w:rPr>
                <w:rFonts w:ascii="Times New Roman" w:eastAsia="Times New Roman" w:hAnsi="Times New Roman" w:cs="Times New Roman"/>
                <w:sz w:val="20"/>
                <w:szCs w:val="20"/>
              </w:rPr>
            </w:pPr>
          </w:p>
        </w:tc>
        <w:tc>
          <w:tcPr>
            <w:tcW w:w="868" w:type="dxa"/>
          </w:tcPr>
          <w:p w14:paraId="57431B28" w14:textId="27626E92"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(AS2)</w:t>
            </w:r>
            <w:proofErr w:type="spellStart"/>
            <w:r w:rsidRPr="3D20DE2E">
              <w:rPr>
                <w:rFonts w:ascii="Times New Roman" w:eastAsia="Times New Roman" w:hAnsi="Times New Roman" w:cs="Times New Roman"/>
                <w:b/>
                <w:bCs/>
                <w:i/>
                <w:iCs/>
                <w:sz w:val="16"/>
                <w:szCs w:val="16"/>
              </w:rPr>
              <w:t>r</w:t>
            </w:r>
            <w:r w:rsidRPr="3D20DE2E">
              <w:rPr>
                <w:rFonts w:ascii="Times New Roman" w:eastAsia="Times New Roman" w:hAnsi="Times New Roman" w:cs="Times New Roman"/>
                <w:b/>
                <w:bCs/>
                <w:i/>
                <w:iCs/>
                <w:sz w:val="16"/>
                <w:szCs w:val="16"/>
                <w:vertAlign w:val="subscript"/>
              </w:rPr>
              <w:t>nrf</w:t>
            </w:r>
            <w:proofErr w:type="spellEnd"/>
          </w:p>
          <w:p w14:paraId="2CAB4726" w14:textId="0CC55BB3"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w:t>
            </w:r>
          </w:p>
        </w:tc>
        <w:tc>
          <w:tcPr>
            <w:tcW w:w="630" w:type="dxa"/>
          </w:tcPr>
          <w:p w14:paraId="3CEFE884" w14:textId="357D84E0"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(AS3)</w:t>
            </w:r>
          </w:p>
          <w:p w14:paraId="26B97415" w14:textId="506D5D0E"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i/>
                <w:iCs/>
                <w:sz w:val="16"/>
                <w:szCs w:val="16"/>
              </w:rPr>
              <w:t>b</w:t>
            </w:r>
            <w:r w:rsidR="00663D08">
              <w:rPr>
                <w:rFonts w:ascii="Times New Roman" w:eastAsia="Times New Roman" w:hAnsi="Times New Roman" w:cs="Times New Roman"/>
                <w:b/>
                <w:bCs/>
                <w:i/>
                <w:iCs/>
                <w:sz w:val="16"/>
                <w:szCs w:val="16"/>
              </w:rPr>
              <w:t>eta</w:t>
            </w:r>
          </w:p>
        </w:tc>
        <w:tc>
          <w:tcPr>
            <w:tcW w:w="630" w:type="dxa"/>
          </w:tcPr>
          <w:p w14:paraId="155DD2AF" w14:textId="7D3834B0"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(AS4)</w:t>
            </w:r>
          </w:p>
          <w:p w14:paraId="298E67A6" w14:textId="0CEFC6B8"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i/>
                <w:iCs/>
                <w:sz w:val="16"/>
                <w:szCs w:val="16"/>
              </w:rPr>
              <w:t>r</w:t>
            </w:r>
            <w:r w:rsidRPr="3D20DE2E">
              <w:rPr>
                <w:rFonts w:ascii="Times New Roman" w:eastAsia="Times New Roman" w:hAnsi="Times New Roman" w:cs="Times New Roman"/>
                <w:b/>
                <w:bCs/>
                <w:i/>
                <w:iCs/>
                <w:sz w:val="16"/>
                <w:szCs w:val="16"/>
                <w:vertAlign w:val="subscript"/>
              </w:rPr>
              <w:t>m</w:t>
            </w:r>
          </w:p>
          <w:p w14:paraId="6DF03F23" w14:textId="4A3FA2B9"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w:t>
            </w:r>
          </w:p>
        </w:tc>
        <w:tc>
          <w:tcPr>
            <w:tcW w:w="990" w:type="dxa"/>
          </w:tcPr>
          <w:p w14:paraId="44623714" w14:textId="77777777" w:rsidR="001E516E" w:rsidRDefault="001E516E" w:rsidP="001E516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(AS</w:t>
            </w:r>
            <w:r>
              <w:rPr>
                <w:rFonts w:ascii="Times New Roman" w:eastAsia="Times New Roman" w:hAnsi="Times New Roman" w:cs="Times New Roman"/>
                <w:b/>
                <w:bCs/>
                <w:sz w:val="16"/>
                <w:szCs w:val="16"/>
              </w:rPr>
              <w:t>5</w:t>
            </w:r>
            <w:r w:rsidRPr="3D20DE2E">
              <w:rPr>
                <w:rFonts w:ascii="Times New Roman" w:eastAsia="Times New Roman" w:hAnsi="Times New Roman" w:cs="Times New Roman"/>
                <w:b/>
                <w:bCs/>
                <w:sz w:val="16"/>
                <w:szCs w:val="16"/>
              </w:rPr>
              <w:t>)</w:t>
            </w:r>
          </w:p>
          <w:p w14:paraId="141B2341" w14:textId="25924C78" w:rsidR="3D20DE2E" w:rsidRDefault="001E516E" w:rsidP="001E516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 xml:space="preserve">Calculated </w:t>
            </w:r>
            <w:proofErr w:type="spellStart"/>
            <w:r w:rsidRPr="3D20DE2E">
              <w:rPr>
                <w:rFonts w:ascii="Times New Roman" w:eastAsia="Times New Roman" w:hAnsi="Times New Roman" w:cs="Times New Roman"/>
                <w:b/>
                <w:bCs/>
                <w:i/>
                <w:iCs/>
                <w:sz w:val="16"/>
                <w:szCs w:val="16"/>
              </w:rPr>
              <w:t>i</w:t>
            </w:r>
            <w:proofErr w:type="spellEnd"/>
            <w:r w:rsidRPr="3D20DE2E">
              <w:rPr>
                <w:rFonts w:ascii="Times New Roman" w:eastAsia="Times New Roman" w:hAnsi="Times New Roman" w:cs="Times New Roman"/>
                <w:b/>
                <w:bCs/>
                <w:i/>
                <w:iCs/>
                <w:sz w:val="16"/>
                <w:szCs w:val="16"/>
              </w:rPr>
              <w:t xml:space="preserve"> </w:t>
            </w:r>
            <w:r w:rsidRPr="3D20DE2E">
              <w:rPr>
                <w:rFonts w:ascii="Times New Roman" w:eastAsia="Times New Roman" w:hAnsi="Times New Roman" w:cs="Times New Roman"/>
                <w:b/>
                <w:bCs/>
                <w:sz w:val="16"/>
                <w:szCs w:val="16"/>
              </w:rPr>
              <w:t>(%)</w:t>
            </w:r>
          </w:p>
        </w:tc>
        <w:tc>
          <w:tcPr>
            <w:tcW w:w="1890" w:type="dxa"/>
          </w:tcPr>
          <w:p w14:paraId="788C4B37" w14:textId="77777777" w:rsidR="001E516E" w:rsidRDefault="001E516E" w:rsidP="001E516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(AS</w:t>
            </w:r>
            <w:r>
              <w:rPr>
                <w:rFonts w:ascii="Times New Roman" w:eastAsia="Times New Roman" w:hAnsi="Times New Roman" w:cs="Times New Roman"/>
                <w:b/>
                <w:bCs/>
                <w:sz w:val="16"/>
                <w:szCs w:val="16"/>
              </w:rPr>
              <w:t>6</w:t>
            </w:r>
            <w:r w:rsidRPr="3D20DE2E">
              <w:rPr>
                <w:rFonts w:ascii="Times New Roman" w:eastAsia="Times New Roman" w:hAnsi="Times New Roman" w:cs="Times New Roman"/>
                <w:b/>
                <w:bCs/>
                <w:sz w:val="16"/>
                <w:szCs w:val="16"/>
              </w:rPr>
              <w:t>)</w:t>
            </w:r>
          </w:p>
          <w:p w14:paraId="392E82F4" w14:textId="77777777" w:rsidR="001E516E" w:rsidRDefault="001E516E" w:rsidP="001E516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 xml:space="preserve">10-Year Dividend Growth Rate </w:t>
            </w:r>
            <w:r w:rsidRPr="3D20DE2E">
              <w:rPr>
                <w:rFonts w:ascii="Times New Roman" w:eastAsia="Times New Roman" w:hAnsi="Times New Roman" w:cs="Times New Roman"/>
                <w:b/>
                <w:bCs/>
                <w:i/>
                <w:iCs/>
                <w:sz w:val="16"/>
                <w:szCs w:val="16"/>
              </w:rPr>
              <w:t>g</w:t>
            </w:r>
          </w:p>
          <w:p w14:paraId="5C1F1FFE" w14:textId="48629BCA" w:rsidR="3D20DE2E" w:rsidRDefault="001E516E" w:rsidP="001E516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w:t>
            </w:r>
          </w:p>
        </w:tc>
        <w:tc>
          <w:tcPr>
            <w:tcW w:w="2084" w:type="dxa"/>
          </w:tcPr>
          <w:p w14:paraId="27A7E8B1" w14:textId="6F04787B"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(AS7)</w:t>
            </w:r>
          </w:p>
          <w:p w14:paraId="59840063" w14:textId="791D4254"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 xml:space="preserve"> GGM</w:t>
            </w:r>
          </w:p>
          <w:p w14:paraId="0C7C734C" w14:textId="47282B08"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w:t>
            </w:r>
          </w:p>
        </w:tc>
        <w:tc>
          <w:tcPr>
            <w:tcW w:w="1522" w:type="dxa"/>
          </w:tcPr>
          <w:p w14:paraId="036D5D3A" w14:textId="4834A940"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(AS8)</w:t>
            </w:r>
          </w:p>
          <w:p w14:paraId="5364782D" w14:textId="45E65633"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Most Recent Closing Price</w:t>
            </w:r>
          </w:p>
          <w:p w14:paraId="7A371928" w14:textId="0BC60737" w:rsidR="3D20DE2E" w:rsidRDefault="3D20DE2E" w:rsidP="3D20DE2E">
            <w:pPr>
              <w:jc w:val="center"/>
              <w:rPr>
                <w:rFonts w:ascii="Times New Roman" w:eastAsia="Times New Roman" w:hAnsi="Times New Roman" w:cs="Times New Roman"/>
                <w:sz w:val="16"/>
                <w:szCs w:val="16"/>
              </w:rPr>
            </w:pPr>
            <w:r w:rsidRPr="3D20DE2E">
              <w:rPr>
                <w:rFonts w:ascii="Times New Roman" w:eastAsia="Times New Roman" w:hAnsi="Times New Roman" w:cs="Times New Roman"/>
                <w:b/>
                <w:bCs/>
                <w:sz w:val="16"/>
                <w:szCs w:val="16"/>
              </w:rPr>
              <w:t>($)</w:t>
            </w:r>
          </w:p>
        </w:tc>
      </w:tr>
      <w:tr w:rsidR="3D20DE2E" w14:paraId="0601B314" w14:textId="77777777" w:rsidTr="00663D08">
        <w:tc>
          <w:tcPr>
            <w:tcW w:w="747" w:type="dxa"/>
            <w:vAlign w:val="center"/>
          </w:tcPr>
          <w:p w14:paraId="4C22B2A0" w14:textId="1AFF8B1C" w:rsidR="3D20DE2E" w:rsidRDefault="00AC7582" w:rsidP="3D20DE2E">
            <w:pPr>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CL</w:t>
            </w:r>
          </w:p>
        </w:tc>
        <w:tc>
          <w:tcPr>
            <w:tcW w:w="868" w:type="dxa"/>
          </w:tcPr>
          <w:p w14:paraId="07237A92" w14:textId="33A30F02" w:rsidR="3D20DE2E" w:rsidRDefault="00272366" w:rsidP="3D20DE2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5185C499" w14:textId="7E6BAAF0" w:rsidR="3D20DE2E" w:rsidRPr="00600306" w:rsidRDefault="00FA501C" w:rsidP="3D20DE2E">
            <w:pPr>
              <w:jc w:val="center"/>
              <w:rPr>
                <w:rFonts w:ascii="Times New Roman" w:eastAsia="Times New Roman" w:hAnsi="Times New Roman" w:cs="Times New Roman"/>
                <w:sz w:val="20"/>
                <w:szCs w:val="20"/>
              </w:rPr>
            </w:pPr>
            <w:r>
              <w:rPr>
                <w:rFonts w:ascii="Times New Roman" w:hAnsi="Times New Roman" w:cs="Times New Roman"/>
                <w:color w:val="1A1A1A"/>
                <w:sz w:val="20"/>
                <w:szCs w:val="20"/>
                <w:shd w:val="clear" w:color="auto" w:fill="FFFFFF"/>
              </w:rPr>
              <w:t>.55</w:t>
            </w:r>
          </w:p>
        </w:tc>
        <w:tc>
          <w:tcPr>
            <w:tcW w:w="630" w:type="dxa"/>
          </w:tcPr>
          <w:p w14:paraId="4BEBBA5E" w14:textId="17A16434" w:rsidR="3D20DE2E" w:rsidRDefault="005364BC" w:rsidP="3D20DE2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2.34</w:t>
            </w:r>
          </w:p>
        </w:tc>
        <w:tc>
          <w:tcPr>
            <w:tcW w:w="990" w:type="dxa"/>
          </w:tcPr>
          <w:p w14:paraId="2049AE90" w14:textId="184B2DF8" w:rsidR="3D20DE2E" w:rsidRDefault="00EC7F2D" w:rsidP="3D20DE2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1.4355</w:t>
            </w:r>
          </w:p>
        </w:tc>
        <w:tc>
          <w:tcPr>
            <w:tcW w:w="1890" w:type="dxa"/>
          </w:tcPr>
          <w:p w14:paraId="583BAF59" w14:textId="6EE1CF89" w:rsidR="3D20DE2E" w:rsidRDefault="00487F17" w:rsidP="3D20DE2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4.43</w:t>
            </w:r>
          </w:p>
        </w:tc>
        <w:tc>
          <w:tcPr>
            <w:tcW w:w="2084" w:type="dxa"/>
          </w:tcPr>
          <w:p w14:paraId="084DF469" w14:textId="36A06CE5" w:rsidR="3D20DE2E" w:rsidRDefault="3D20DE2E" w:rsidP="3D20DE2E">
            <w:pPr>
              <w:jc w:val="center"/>
              <w:rPr>
                <w:rFonts w:ascii="Times New Roman" w:eastAsia="Times New Roman" w:hAnsi="Times New Roman" w:cs="Times New Roman"/>
                <w:sz w:val="20"/>
                <w:szCs w:val="20"/>
              </w:rPr>
            </w:pPr>
          </w:p>
        </w:tc>
        <w:tc>
          <w:tcPr>
            <w:tcW w:w="1522" w:type="dxa"/>
          </w:tcPr>
          <w:p w14:paraId="2CD19E82" w14:textId="34EFD7EA" w:rsidR="3D20DE2E" w:rsidRDefault="00E149D9" w:rsidP="3D20DE2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74.16</w:t>
            </w:r>
          </w:p>
        </w:tc>
      </w:tr>
      <w:tr w:rsidR="00272366" w14:paraId="63443474" w14:textId="77777777" w:rsidTr="00663D08">
        <w:tc>
          <w:tcPr>
            <w:tcW w:w="747" w:type="dxa"/>
            <w:vAlign w:val="center"/>
          </w:tcPr>
          <w:p w14:paraId="1134BC23" w14:textId="4615C457"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ED</w:t>
            </w:r>
          </w:p>
        </w:tc>
        <w:tc>
          <w:tcPr>
            <w:tcW w:w="868" w:type="dxa"/>
          </w:tcPr>
          <w:p w14:paraId="42D24D5B" w14:textId="40EF17AC"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54572458" w14:textId="383F8331" w:rsidR="00272366" w:rsidRDefault="00832AF7"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630" w:type="dxa"/>
          </w:tcPr>
          <w:p w14:paraId="404EFF19" w14:textId="23C5B67B" w:rsidR="00272366" w:rsidRDefault="002C3991"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3.67</w:t>
            </w:r>
          </w:p>
        </w:tc>
        <w:tc>
          <w:tcPr>
            <w:tcW w:w="990" w:type="dxa"/>
          </w:tcPr>
          <w:p w14:paraId="3DCE1B15" w14:textId="31C52CE4" w:rsidR="00272366" w:rsidRDefault="00972114"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1.0648</w:t>
            </w:r>
          </w:p>
        </w:tc>
        <w:tc>
          <w:tcPr>
            <w:tcW w:w="1890" w:type="dxa"/>
          </w:tcPr>
          <w:p w14:paraId="7A4D0A9C" w14:textId="1A863A3C" w:rsidR="00272366" w:rsidRDefault="00996874"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2.65</w:t>
            </w:r>
          </w:p>
        </w:tc>
        <w:tc>
          <w:tcPr>
            <w:tcW w:w="2084" w:type="dxa"/>
          </w:tcPr>
          <w:p w14:paraId="652C50E8" w14:textId="52009E19" w:rsidR="00272366" w:rsidRDefault="00272366" w:rsidP="00272366">
            <w:pPr>
              <w:jc w:val="center"/>
              <w:rPr>
                <w:rFonts w:ascii="Times New Roman" w:eastAsia="Times New Roman" w:hAnsi="Times New Roman" w:cs="Times New Roman"/>
                <w:sz w:val="20"/>
                <w:szCs w:val="20"/>
              </w:rPr>
            </w:pPr>
          </w:p>
        </w:tc>
        <w:tc>
          <w:tcPr>
            <w:tcW w:w="1522" w:type="dxa"/>
          </w:tcPr>
          <w:p w14:paraId="241D9F7E" w14:textId="3024A777" w:rsidR="00272366" w:rsidRDefault="000A6C9D"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88.25</w:t>
            </w:r>
          </w:p>
        </w:tc>
      </w:tr>
      <w:tr w:rsidR="00272366" w14:paraId="4DAF1252" w14:textId="77777777" w:rsidTr="00663D08">
        <w:tc>
          <w:tcPr>
            <w:tcW w:w="747" w:type="dxa"/>
            <w:vAlign w:val="center"/>
          </w:tcPr>
          <w:p w14:paraId="4AE6E9B8" w14:textId="070DBD80" w:rsidR="00272366" w:rsidRDefault="00272366" w:rsidP="00272366">
            <w:pPr>
              <w:jc w:val="center"/>
              <w:rPr>
                <w:rFonts w:ascii="Times New Roman" w:eastAsia="Times New Roman" w:hAnsi="Times New Roman" w:cs="Times New Roman"/>
                <w:sz w:val="20"/>
                <w:szCs w:val="20"/>
              </w:rPr>
            </w:pPr>
            <w:r w:rsidRPr="3D20DE2E">
              <w:rPr>
                <w:rFonts w:ascii="Times New Roman" w:eastAsia="Times New Roman" w:hAnsi="Times New Roman" w:cs="Times New Roman"/>
                <w:b/>
                <w:bCs/>
                <w:sz w:val="20"/>
                <w:szCs w:val="20"/>
              </w:rPr>
              <w:t>K</w:t>
            </w:r>
            <w:r>
              <w:rPr>
                <w:rFonts w:ascii="Times New Roman" w:eastAsia="Times New Roman" w:hAnsi="Times New Roman" w:cs="Times New Roman"/>
                <w:b/>
                <w:bCs/>
                <w:sz w:val="20"/>
                <w:szCs w:val="20"/>
              </w:rPr>
              <w:t>O</w:t>
            </w:r>
          </w:p>
        </w:tc>
        <w:tc>
          <w:tcPr>
            <w:tcW w:w="868" w:type="dxa"/>
          </w:tcPr>
          <w:p w14:paraId="0AF5D0FE" w14:textId="2805D5AA"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3D58C4AF" w14:textId="21F76B0D" w:rsidR="00272366" w:rsidRDefault="00E8377F"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630" w:type="dxa"/>
          </w:tcPr>
          <w:p w14:paraId="7CCDE441" w14:textId="1F47DC76" w:rsidR="00272366" w:rsidRDefault="00040511"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3.16</w:t>
            </w:r>
          </w:p>
        </w:tc>
        <w:tc>
          <w:tcPr>
            <w:tcW w:w="990" w:type="dxa"/>
          </w:tcPr>
          <w:p w14:paraId="5B430365" w14:textId="4ABD16DB" w:rsidR="00272366" w:rsidRDefault="00F63EDC"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2.2261</w:t>
            </w:r>
          </w:p>
        </w:tc>
        <w:tc>
          <w:tcPr>
            <w:tcW w:w="1890" w:type="dxa"/>
          </w:tcPr>
          <w:p w14:paraId="62150F97" w14:textId="02D16C49" w:rsidR="00272366" w:rsidRDefault="00BC2673"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8.93</w:t>
            </w:r>
          </w:p>
        </w:tc>
        <w:tc>
          <w:tcPr>
            <w:tcW w:w="2084" w:type="dxa"/>
          </w:tcPr>
          <w:p w14:paraId="77A43F48" w14:textId="39927CBC" w:rsidR="00272366" w:rsidRDefault="00272366" w:rsidP="00272366">
            <w:pPr>
              <w:jc w:val="center"/>
              <w:rPr>
                <w:rFonts w:ascii="Times New Roman" w:eastAsia="Times New Roman" w:hAnsi="Times New Roman" w:cs="Times New Roman"/>
                <w:sz w:val="20"/>
                <w:szCs w:val="20"/>
              </w:rPr>
            </w:pPr>
          </w:p>
        </w:tc>
        <w:tc>
          <w:tcPr>
            <w:tcW w:w="1522" w:type="dxa"/>
          </w:tcPr>
          <w:p w14:paraId="1DDA8413" w14:textId="519CAC1C" w:rsidR="00272366" w:rsidRDefault="000A6C9D"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59.67</w:t>
            </w:r>
          </w:p>
        </w:tc>
      </w:tr>
      <w:tr w:rsidR="00272366" w14:paraId="032F2F5C" w14:textId="77777777" w:rsidTr="00663D08">
        <w:tc>
          <w:tcPr>
            <w:tcW w:w="747" w:type="dxa"/>
            <w:vAlign w:val="center"/>
          </w:tcPr>
          <w:p w14:paraId="58930EAC" w14:textId="7E75F7D7"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DD</w:t>
            </w:r>
          </w:p>
        </w:tc>
        <w:tc>
          <w:tcPr>
            <w:tcW w:w="868" w:type="dxa"/>
          </w:tcPr>
          <w:p w14:paraId="6F6A67B2" w14:textId="1C3CB606"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4D0AC084" w14:textId="0EB119FB" w:rsidR="00272366" w:rsidRDefault="00A60308"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1.18</w:t>
            </w:r>
          </w:p>
        </w:tc>
        <w:tc>
          <w:tcPr>
            <w:tcW w:w="630" w:type="dxa"/>
          </w:tcPr>
          <w:p w14:paraId="6D8894A9" w14:textId="1B5E379B" w:rsidR="00272366" w:rsidRDefault="008731FA"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2.54</w:t>
            </w:r>
          </w:p>
        </w:tc>
        <w:tc>
          <w:tcPr>
            <w:tcW w:w="990" w:type="dxa"/>
          </w:tcPr>
          <w:p w14:paraId="77BB15CC" w14:textId="29AA5FAE" w:rsidR="00272366" w:rsidRDefault="00247FF4"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2.9378</w:t>
            </w:r>
          </w:p>
        </w:tc>
        <w:tc>
          <w:tcPr>
            <w:tcW w:w="1890" w:type="dxa"/>
          </w:tcPr>
          <w:p w14:paraId="78C34850" w14:textId="236EAC33" w:rsidR="00272366" w:rsidRDefault="00067172"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1.66</w:t>
            </w:r>
          </w:p>
        </w:tc>
        <w:tc>
          <w:tcPr>
            <w:tcW w:w="2084" w:type="dxa"/>
          </w:tcPr>
          <w:p w14:paraId="1EC476A6" w14:textId="67EBE108" w:rsidR="00272366" w:rsidRDefault="00272366" w:rsidP="00272366">
            <w:pPr>
              <w:jc w:val="center"/>
              <w:rPr>
                <w:rFonts w:ascii="Times New Roman" w:eastAsia="Times New Roman" w:hAnsi="Times New Roman" w:cs="Times New Roman"/>
                <w:sz w:val="20"/>
                <w:szCs w:val="20"/>
              </w:rPr>
            </w:pPr>
          </w:p>
        </w:tc>
        <w:tc>
          <w:tcPr>
            <w:tcW w:w="1522" w:type="dxa"/>
          </w:tcPr>
          <w:p w14:paraId="2CD578C1" w14:textId="5221828A" w:rsidR="00272366" w:rsidRDefault="000A6C9D"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60.35</w:t>
            </w:r>
          </w:p>
        </w:tc>
      </w:tr>
      <w:tr w:rsidR="00272366" w14:paraId="07363494" w14:textId="77777777" w:rsidTr="00663D08">
        <w:tc>
          <w:tcPr>
            <w:tcW w:w="747" w:type="dxa"/>
            <w:vAlign w:val="center"/>
          </w:tcPr>
          <w:p w14:paraId="4E10FF20" w14:textId="6091C7C6" w:rsidR="00272366" w:rsidRDefault="00272366" w:rsidP="00272366">
            <w:pPr>
              <w:jc w:val="center"/>
              <w:rPr>
                <w:rFonts w:ascii="Times New Roman" w:eastAsia="Times New Roman" w:hAnsi="Times New Roman" w:cs="Times New Roman"/>
                <w:sz w:val="20"/>
                <w:szCs w:val="20"/>
              </w:rPr>
            </w:pPr>
            <w:r w:rsidRPr="3D20DE2E">
              <w:rPr>
                <w:rFonts w:ascii="Times New Roman" w:eastAsia="Times New Roman" w:hAnsi="Times New Roman" w:cs="Times New Roman"/>
                <w:b/>
                <w:bCs/>
                <w:sz w:val="20"/>
                <w:szCs w:val="20"/>
              </w:rPr>
              <w:t>JNJ</w:t>
            </w:r>
          </w:p>
        </w:tc>
        <w:tc>
          <w:tcPr>
            <w:tcW w:w="868" w:type="dxa"/>
          </w:tcPr>
          <w:p w14:paraId="09D28715" w14:textId="6D972283"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3D58E2DF" w14:textId="4165A50C" w:rsidR="00272366" w:rsidRDefault="00C46990"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c>
          <w:tcPr>
            <w:tcW w:w="630" w:type="dxa"/>
          </w:tcPr>
          <w:p w14:paraId="3BB7FEAE" w14:textId="4734BB12" w:rsidR="00272366" w:rsidRDefault="00746CB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2.58</w:t>
            </w:r>
          </w:p>
        </w:tc>
        <w:tc>
          <w:tcPr>
            <w:tcW w:w="990" w:type="dxa"/>
          </w:tcPr>
          <w:p w14:paraId="1F7ED123" w14:textId="0E40B549" w:rsidR="00272366" w:rsidRDefault="00C9097F"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1.815</w:t>
            </w:r>
          </w:p>
        </w:tc>
        <w:tc>
          <w:tcPr>
            <w:tcW w:w="1890" w:type="dxa"/>
          </w:tcPr>
          <w:p w14:paraId="31D4D99E" w14:textId="4E181235" w:rsidR="00272366" w:rsidRDefault="00615805"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2084" w:type="dxa"/>
          </w:tcPr>
          <w:p w14:paraId="6F5C291A" w14:textId="21C6873E" w:rsidR="00272366" w:rsidRDefault="00272366" w:rsidP="00272366">
            <w:pPr>
              <w:jc w:val="center"/>
              <w:rPr>
                <w:rFonts w:ascii="Times New Roman" w:eastAsia="Times New Roman" w:hAnsi="Times New Roman" w:cs="Times New Roman"/>
                <w:sz w:val="20"/>
                <w:szCs w:val="20"/>
              </w:rPr>
            </w:pPr>
          </w:p>
        </w:tc>
        <w:tc>
          <w:tcPr>
            <w:tcW w:w="1522" w:type="dxa"/>
          </w:tcPr>
          <w:p w14:paraId="604246AE" w14:textId="5524F05F" w:rsidR="00272366" w:rsidRDefault="007747C3"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169.99</w:t>
            </w:r>
          </w:p>
        </w:tc>
      </w:tr>
      <w:tr w:rsidR="00272366" w14:paraId="7BA0DEFF" w14:textId="77777777" w:rsidTr="00663D08">
        <w:tc>
          <w:tcPr>
            <w:tcW w:w="747" w:type="dxa"/>
            <w:vAlign w:val="center"/>
          </w:tcPr>
          <w:p w14:paraId="244A0055" w14:textId="0F7C9084"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IBM</w:t>
            </w:r>
          </w:p>
        </w:tc>
        <w:tc>
          <w:tcPr>
            <w:tcW w:w="868" w:type="dxa"/>
          </w:tcPr>
          <w:p w14:paraId="0A56A0FD" w14:textId="05698C0A"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25625878" w14:textId="52D64D5A" w:rsidR="00272366" w:rsidRDefault="00F44329"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630" w:type="dxa"/>
          </w:tcPr>
          <w:p w14:paraId="35F6C29D" w14:textId="080930E9" w:rsidR="00272366" w:rsidRDefault="00C742F2"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4.70</w:t>
            </w:r>
          </w:p>
        </w:tc>
        <w:tc>
          <w:tcPr>
            <w:tcW w:w="990" w:type="dxa"/>
          </w:tcPr>
          <w:p w14:paraId="1E1FE469" w14:textId="7D3B331B" w:rsidR="00272366" w:rsidRDefault="0059524D"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890" w:type="dxa"/>
          </w:tcPr>
          <w:p w14:paraId="02DFEC09" w14:textId="0AFDB422" w:rsidR="00272366" w:rsidRDefault="00C6103A"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8.17</w:t>
            </w:r>
          </w:p>
        </w:tc>
        <w:tc>
          <w:tcPr>
            <w:tcW w:w="2084" w:type="dxa"/>
          </w:tcPr>
          <w:p w14:paraId="0CA058A1" w14:textId="4D3C8072" w:rsidR="00272366" w:rsidRDefault="00272366" w:rsidP="00272366">
            <w:pPr>
              <w:jc w:val="center"/>
              <w:rPr>
                <w:rFonts w:ascii="Times New Roman" w:eastAsia="Times New Roman" w:hAnsi="Times New Roman" w:cs="Times New Roman"/>
                <w:sz w:val="20"/>
                <w:szCs w:val="20"/>
              </w:rPr>
            </w:pPr>
          </w:p>
        </w:tc>
        <w:tc>
          <w:tcPr>
            <w:tcW w:w="1522" w:type="dxa"/>
          </w:tcPr>
          <w:p w14:paraId="5685F4D2" w14:textId="74ADA8BE" w:rsidR="00272366" w:rsidRDefault="007747C3"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137.06</w:t>
            </w:r>
          </w:p>
        </w:tc>
      </w:tr>
      <w:tr w:rsidR="00272366" w14:paraId="4D80A862" w14:textId="77777777" w:rsidTr="00663D08">
        <w:tc>
          <w:tcPr>
            <w:tcW w:w="747" w:type="dxa"/>
            <w:vAlign w:val="center"/>
          </w:tcPr>
          <w:p w14:paraId="616AFA55" w14:textId="7EDA99F0"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CI</w:t>
            </w:r>
          </w:p>
        </w:tc>
        <w:tc>
          <w:tcPr>
            <w:tcW w:w="868" w:type="dxa"/>
          </w:tcPr>
          <w:p w14:paraId="23B68658" w14:textId="5F7FF6FD"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56D9BE64" w14:textId="1EB3EA10" w:rsidR="00272366" w:rsidRDefault="005935AC"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.77</w:t>
            </w:r>
          </w:p>
        </w:tc>
        <w:tc>
          <w:tcPr>
            <w:tcW w:w="630" w:type="dxa"/>
          </w:tcPr>
          <w:p w14:paraId="30B97A19" w14:textId="72C1AC19" w:rsidR="00272366" w:rsidRDefault="009203D1"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990" w:type="dxa"/>
          </w:tcPr>
          <w:p w14:paraId="2EF26FE4" w14:textId="4BD44575" w:rsidR="00272366" w:rsidRDefault="006569CA"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.3223</w:t>
            </w:r>
          </w:p>
        </w:tc>
        <w:tc>
          <w:tcPr>
            <w:tcW w:w="1890" w:type="dxa"/>
          </w:tcPr>
          <w:p w14:paraId="135E2BBE" w14:textId="11F5A062" w:rsidR="00272366" w:rsidRDefault="006874A0"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59.42</w:t>
            </w:r>
          </w:p>
        </w:tc>
        <w:tc>
          <w:tcPr>
            <w:tcW w:w="2084" w:type="dxa"/>
          </w:tcPr>
          <w:p w14:paraId="75152E45" w14:textId="4731DF90" w:rsidR="00272366" w:rsidRDefault="00272366" w:rsidP="00272366">
            <w:pPr>
              <w:jc w:val="center"/>
              <w:rPr>
                <w:rFonts w:ascii="Times New Roman" w:eastAsia="Times New Roman" w:hAnsi="Times New Roman" w:cs="Times New Roman"/>
                <w:sz w:val="20"/>
                <w:szCs w:val="20"/>
              </w:rPr>
            </w:pPr>
          </w:p>
        </w:tc>
        <w:tc>
          <w:tcPr>
            <w:tcW w:w="1522" w:type="dxa"/>
          </w:tcPr>
          <w:p w14:paraId="40928F18" w14:textId="5825CD2C" w:rsidR="00272366" w:rsidRDefault="007747C3"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247.10</w:t>
            </w:r>
          </w:p>
        </w:tc>
      </w:tr>
      <w:tr w:rsidR="00272366" w14:paraId="0E87C472" w14:textId="77777777" w:rsidTr="00663D08">
        <w:tc>
          <w:tcPr>
            <w:tcW w:w="747" w:type="dxa"/>
            <w:vAlign w:val="center"/>
          </w:tcPr>
          <w:p w14:paraId="6C742014" w14:textId="7B295A91"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PG</w:t>
            </w:r>
          </w:p>
        </w:tc>
        <w:tc>
          <w:tcPr>
            <w:tcW w:w="868" w:type="dxa"/>
          </w:tcPr>
          <w:p w14:paraId="2BCF3054" w14:textId="4C39203E"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44FC924C" w14:textId="26918167" w:rsidR="00272366" w:rsidRDefault="00056AA7"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630" w:type="dxa"/>
          </w:tcPr>
          <w:p w14:paraId="71A03AB6" w14:textId="4D79DA5E" w:rsidR="00272366" w:rsidRDefault="0006047B"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2.70</w:t>
            </w:r>
          </w:p>
        </w:tc>
        <w:tc>
          <w:tcPr>
            <w:tcW w:w="990" w:type="dxa"/>
          </w:tcPr>
          <w:p w14:paraId="57D3B92E" w14:textId="19226D9D" w:rsidR="00272366" w:rsidRDefault="00C65378"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1.2543</w:t>
            </w:r>
          </w:p>
        </w:tc>
        <w:tc>
          <w:tcPr>
            <w:tcW w:w="1890" w:type="dxa"/>
          </w:tcPr>
          <w:p w14:paraId="4A882777" w14:textId="199C5317" w:rsidR="00272366" w:rsidRDefault="00CD56AB"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5.13</w:t>
            </w:r>
          </w:p>
        </w:tc>
        <w:tc>
          <w:tcPr>
            <w:tcW w:w="2084" w:type="dxa"/>
          </w:tcPr>
          <w:p w14:paraId="2E4A5889" w14:textId="1BE3B672" w:rsidR="00272366" w:rsidRDefault="00272366" w:rsidP="00272366">
            <w:pPr>
              <w:jc w:val="center"/>
              <w:rPr>
                <w:rFonts w:ascii="Times New Roman" w:eastAsia="Times New Roman" w:hAnsi="Times New Roman" w:cs="Times New Roman"/>
                <w:sz w:val="20"/>
                <w:szCs w:val="20"/>
              </w:rPr>
            </w:pPr>
          </w:p>
        </w:tc>
        <w:tc>
          <w:tcPr>
            <w:tcW w:w="1522" w:type="dxa"/>
          </w:tcPr>
          <w:p w14:paraId="2D9B2F25" w14:textId="5F026C14" w:rsidR="00272366" w:rsidRDefault="00E74239"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132.51</w:t>
            </w:r>
          </w:p>
        </w:tc>
      </w:tr>
      <w:tr w:rsidR="00272366" w14:paraId="7B486470" w14:textId="77777777" w:rsidTr="00663D08">
        <w:tc>
          <w:tcPr>
            <w:tcW w:w="747" w:type="dxa"/>
            <w:vAlign w:val="center"/>
          </w:tcPr>
          <w:p w14:paraId="4A52AE3A" w14:textId="77EA096D" w:rsidR="00272366" w:rsidRDefault="00272366" w:rsidP="00272366">
            <w:pPr>
              <w:jc w:val="center"/>
              <w:rPr>
                <w:rFonts w:ascii="Times New Roman" w:eastAsia="Times New Roman" w:hAnsi="Times New Roman" w:cs="Times New Roman"/>
                <w:sz w:val="20"/>
                <w:szCs w:val="20"/>
              </w:rPr>
            </w:pPr>
            <w:r w:rsidRPr="3D20DE2E">
              <w:rPr>
                <w:rFonts w:ascii="Times New Roman" w:eastAsia="Times New Roman" w:hAnsi="Times New Roman" w:cs="Times New Roman"/>
                <w:b/>
                <w:bCs/>
                <w:sz w:val="20"/>
                <w:szCs w:val="20"/>
              </w:rPr>
              <w:t>MRK</w:t>
            </w:r>
          </w:p>
        </w:tc>
        <w:tc>
          <w:tcPr>
            <w:tcW w:w="868" w:type="dxa"/>
          </w:tcPr>
          <w:p w14:paraId="1D3088F3" w14:textId="35E24B5F"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23495E32" w14:textId="11F327E9" w:rsidR="00272366" w:rsidRDefault="00A32572"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630" w:type="dxa"/>
          </w:tcPr>
          <w:p w14:paraId="48D1BC48" w14:textId="68087F79" w:rsidR="00272366" w:rsidRDefault="00BB104B"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2.99</w:t>
            </w:r>
          </w:p>
        </w:tc>
        <w:tc>
          <w:tcPr>
            <w:tcW w:w="990" w:type="dxa"/>
          </w:tcPr>
          <w:p w14:paraId="69504C70" w14:textId="0DF1497F" w:rsidR="00272366" w:rsidRDefault="009D5131"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1.3142</w:t>
            </w:r>
          </w:p>
        </w:tc>
        <w:tc>
          <w:tcPr>
            <w:tcW w:w="1890" w:type="dxa"/>
          </w:tcPr>
          <w:p w14:paraId="0F92289E" w14:textId="27EFDCF9" w:rsidR="00272366" w:rsidRDefault="00445511"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5.69</w:t>
            </w:r>
          </w:p>
        </w:tc>
        <w:tc>
          <w:tcPr>
            <w:tcW w:w="2084" w:type="dxa"/>
          </w:tcPr>
          <w:p w14:paraId="78DCACD3" w14:textId="08E26301" w:rsidR="00272366" w:rsidRDefault="00272366" w:rsidP="00272366">
            <w:pPr>
              <w:jc w:val="center"/>
              <w:rPr>
                <w:rFonts w:ascii="Times New Roman" w:eastAsia="Times New Roman" w:hAnsi="Times New Roman" w:cs="Times New Roman"/>
                <w:sz w:val="20"/>
                <w:szCs w:val="20"/>
              </w:rPr>
            </w:pPr>
          </w:p>
        </w:tc>
        <w:tc>
          <w:tcPr>
            <w:tcW w:w="1522" w:type="dxa"/>
          </w:tcPr>
          <w:p w14:paraId="59DB5E2E" w14:textId="35872AA9" w:rsidR="00272366" w:rsidRDefault="00E74239" w:rsidP="00272366">
            <w:pPr>
              <w:rPr>
                <w:rFonts w:ascii="Times New Roman" w:eastAsia="Times New Roman" w:hAnsi="Times New Roman" w:cs="Times New Roman"/>
                <w:sz w:val="20"/>
                <w:szCs w:val="20"/>
              </w:rPr>
            </w:pPr>
            <w:r>
              <w:rPr>
                <w:rFonts w:ascii="Times New Roman" w:eastAsia="Times New Roman" w:hAnsi="Times New Roman" w:cs="Times New Roman"/>
                <w:sz w:val="20"/>
                <w:szCs w:val="20"/>
              </w:rPr>
              <w:t>84.63</w:t>
            </w:r>
          </w:p>
        </w:tc>
      </w:tr>
      <w:tr w:rsidR="00272366" w14:paraId="5133E84A" w14:textId="77777777" w:rsidTr="00663D08">
        <w:tc>
          <w:tcPr>
            <w:tcW w:w="747" w:type="dxa"/>
            <w:vAlign w:val="center"/>
          </w:tcPr>
          <w:p w14:paraId="325FA40E" w14:textId="50A3EF61" w:rsidR="00272366" w:rsidRDefault="00272366" w:rsidP="00272366">
            <w:pPr>
              <w:jc w:val="center"/>
              <w:rPr>
                <w:rFonts w:ascii="Times New Roman" w:eastAsia="Times New Roman" w:hAnsi="Times New Roman" w:cs="Times New Roman"/>
                <w:sz w:val="20"/>
                <w:szCs w:val="20"/>
              </w:rPr>
            </w:pPr>
            <w:r w:rsidRPr="3D20DE2E">
              <w:rPr>
                <w:rFonts w:ascii="Times New Roman" w:eastAsia="Times New Roman" w:hAnsi="Times New Roman" w:cs="Times New Roman"/>
                <w:b/>
                <w:bCs/>
                <w:sz w:val="20"/>
                <w:szCs w:val="20"/>
              </w:rPr>
              <w:t>INTC</w:t>
            </w:r>
          </w:p>
        </w:tc>
        <w:tc>
          <w:tcPr>
            <w:tcW w:w="868" w:type="dxa"/>
          </w:tcPr>
          <w:p w14:paraId="3979DD81" w14:textId="6B7680E2" w:rsidR="00272366" w:rsidRDefault="00272366"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630" w:type="dxa"/>
          </w:tcPr>
          <w:p w14:paraId="22943299" w14:textId="72349F6A" w:rsidR="00272366" w:rsidRDefault="000B1545"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630" w:type="dxa"/>
          </w:tcPr>
          <w:p w14:paraId="030D7689" w14:textId="0F29E143" w:rsidR="00272366" w:rsidRDefault="009E6AF0"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2.49</w:t>
            </w:r>
          </w:p>
        </w:tc>
        <w:tc>
          <w:tcPr>
            <w:tcW w:w="990" w:type="dxa"/>
          </w:tcPr>
          <w:p w14:paraId="393E4580" w14:textId="0F926365" w:rsidR="00272366" w:rsidRDefault="0077120A"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1.626</w:t>
            </w:r>
          </w:p>
        </w:tc>
        <w:tc>
          <w:tcPr>
            <w:tcW w:w="1890" w:type="dxa"/>
          </w:tcPr>
          <w:p w14:paraId="0C91C67E" w14:textId="4DC64B44" w:rsidR="00272366" w:rsidRDefault="00CF00EA" w:rsidP="0027236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5.43</w:t>
            </w:r>
          </w:p>
        </w:tc>
        <w:tc>
          <w:tcPr>
            <w:tcW w:w="2084" w:type="dxa"/>
          </w:tcPr>
          <w:p w14:paraId="77098DC7" w14:textId="5F28A442" w:rsidR="00272366" w:rsidRDefault="00272366" w:rsidP="00272366">
            <w:pPr>
              <w:jc w:val="center"/>
              <w:rPr>
                <w:rFonts w:ascii="Times New Roman" w:eastAsia="Times New Roman" w:hAnsi="Times New Roman" w:cs="Times New Roman"/>
                <w:sz w:val="20"/>
                <w:szCs w:val="20"/>
              </w:rPr>
            </w:pPr>
          </w:p>
        </w:tc>
        <w:tc>
          <w:tcPr>
            <w:tcW w:w="1522" w:type="dxa"/>
          </w:tcPr>
          <w:p w14:paraId="30A9E863" w14:textId="0F4A9B24" w:rsidR="00272366" w:rsidRDefault="001D5A97" w:rsidP="00272366">
            <w:pPr>
              <w:rPr>
                <w:rFonts w:ascii="Times New Roman" w:eastAsia="Times New Roman" w:hAnsi="Times New Roman" w:cs="Times New Roman"/>
                <w:sz w:val="20"/>
                <w:szCs w:val="20"/>
              </w:rPr>
            </w:pPr>
            <w:r>
              <w:rPr>
                <w:rFonts w:ascii="Times New Roman" w:eastAsia="Times New Roman" w:hAnsi="Times New Roman" w:cs="Times New Roman"/>
                <w:sz w:val="20"/>
                <w:szCs w:val="20"/>
              </w:rPr>
              <w:t>38.65</w:t>
            </w:r>
          </w:p>
        </w:tc>
      </w:tr>
    </w:tbl>
    <w:p w14:paraId="7B472CB8" w14:textId="5ED93EC3" w:rsidR="3D20DE2E" w:rsidRDefault="3D20DE2E" w:rsidP="3D20DE2E">
      <w:pPr>
        <w:spacing w:after="0" w:line="240" w:lineRule="auto"/>
        <w:rPr>
          <w:rFonts w:ascii="Times New Roman" w:eastAsia="Times New Roman" w:hAnsi="Times New Roman" w:cs="Times New Roman"/>
          <w:color w:val="000000" w:themeColor="text1"/>
          <w:sz w:val="20"/>
          <w:szCs w:val="20"/>
        </w:rPr>
      </w:pPr>
    </w:p>
    <w:p w14:paraId="061EDC5B" w14:textId="6A1631F4" w:rsidR="3D20DE2E" w:rsidRDefault="3D20DE2E" w:rsidP="3D20DE2E">
      <w:pPr>
        <w:spacing w:after="0" w:line="240" w:lineRule="auto"/>
        <w:rPr>
          <w:rFonts w:ascii="Times New Roman" w:eastAsia="Times New Roman" w:hAnsi="Times New Roman" w:cs="Times New Roman"/>
          <w:color w:val="000000" w:themeColor="text1"/>
          <w:sz w:val="20"/>
          <w:szCs w:val="20"/>
        </w:rPr>
      </w:pPr>
    </w:p>
    <w:p w14:paraId="327938ED" w14:textId="7258D025" w:rsidR="7C60018F" w:rsidRDefault="7C60018F" w:rsidP="3D20DE2E">
      <w:pPr>
        <w:spacing w:after="0" w:line="240" w:lineRule="auto"/>
        <w:rPr>
          <w:rFonts w:ascii="Times New Roman" w:eastAsia="Times New Roman" w:hAnsi="Times New Roman" w:cs="Times New Roman"/>
          <w:color w:val="000000" w:themeColor="text1"/>
          <w:sz w:val="20"/>
          <w:szCs w:val="20"/>
        </w:rPr>
      </w:pPr>
      <w:r w:rsidRPr="3D20DE2E">
        <w:rPr>
          <w:rFonts w:ascii="Times New Roman" w:eastAsia="Times New Roman" w:hAnsi="Times New Roman" w:cs="Times New Roman"/>
          <w:color w:val="000000" w:themeColor="text1"/>
          <w:sz w:val="20"/>
          <w:szCs w:val="20"/>
        </w:rPr>
        <w:t xml:space="preserve">AS9. Show the following calculations for </w:t>
      </w:r>
      <w:r w:rsidRPr="00981A00">
        <w:rPr>
          <w:rFonts w:ascii="Times New Roman" w:eastAsia="Times New Roman" w:hAnsi="Times New Roman" w:cs="Times New Roman"/>
          <w:b/>
          <w:bCs/>
          <w:color w:val="000000" w:themeColor="text1"/>
          <w:sz w:val="20"/>
          <w:szCs w:val="20"/>
        </w:rPr>
        <w:t>GS</w:t>
      </w:r>
      <w:r w:rsidRPr="3D20DE2E">
        <w:rPr>
          <w:rFonts w:ascii="Times New Roman" w:eastAsia="Times New Roman" w:hAnsi="Times New Roman" w:cs="Times New Roman"/>
          <w:color w:val="000000" w:themeColor="text1"/>
          <w:sz w:val="20"/>
          <w:szCs w:val="20"/>
        </w:rPr>
        <w:t xml:space="preserve"> (i.e., explain what you did and show your numbers):</w:t>
      </w:r>
    </w:p>
    <w:p w14:paraId="0AC134DB" w14:textId="35073B37" w:rsidR="3D20DE2E" w:rsidRDefault="3D20DE2E" w:rsidP="3D20DE2E">
      <w:pPr>
        <w:spacing w:after="0" w:line="240" w:lineRule="auto"/>
        <w:rPr>
          <w:rFonts w:ascii="Times New Roman" w:eastAsia="Times New Roman" w:hAnsi="Times New Roman" w:cs="Times New Roman"/>
          <w:color w:val="000000" w:themeColor="text1"/>
          <w:sz w:val="20"/>
          <w:szCs w:val="20"/>
        </w:rPr>
      </w:pPr>
    </w:p>
    <w:tbl>
      <w:tblPr>
        <w:tblStyle w:val="TableGrid"/>
        <w:tblW w:w="0" w:type="auto"/>
        <w:tblLayout w:type="fixed"/>
        <w:tblLook w:val="04A0" w:firstRow="1" w:lastRow="0" w:firstColumn="1" w:lastColumn="0" w:noHBand="0" w:noVBand="1"/>
      </w:tblPr>
      <w:tblGrid>
        <w:gridCol w:w="1830"/>
        <w:gridCol w:w="7515"/>
      </w:tblGrid>
      <w:tr w:rsidR="3D20DE2E" w14:paraId="00D06A49" w14:textId="77777777" w:rsidTr="3D20DE2E">
        <w:tc>
          <w:tcPr>
            <w:tcW w:w="1830" w:type="dxa"/>
          </w:tcPr>
          <w:p w14:paraId="02AA31D2" w14:textId="1B2F0DB0" w:rsidR="3D20DE2E" w:rsidRDefault="3D20DE2E" w:rsidP="3D20DE2E">
            <w:pPr>
              <w:jc w:val="center"/>
              <w:rPr>
                <w:rFonts w:ascii="Times New Roman" w:eastAsia="Times New Roman" w:hAnsi="Times New Roman" w:cs="Times New Roman"/>
                <w:sz w:val="20"/>
                <w:szCs w:val="20"/>
              </w:rPr>
            </w:pPr>
            <w:r w:rsidRPr="3D20DE2E">
              <w:rPr>
                <w:rFonts w:ascii="Times New Roman" w:eastAsia="Times New Roman" w:hAnsi="Times New Roman" w:cs="Times New Roman"/>
                <w:b/>
                <w:bCs/>
                <w:sz w:val="20"/>
                <w:szCs w:val="20"/>
              </w:rPr>
              <w:t xml:space="preserve">Dividend Growth Rate </w:t>
            </w:r>
            <w:r w:rsidRPr="3D20DE2E">
              <w:rPr>
                <w:rFonts w:ascii="Times New Roman" w:eastAsia="Times New Roman" w:hAnsi="Times New Roman" w:cs="Times New Roman"/>
                <w:b/>
                <w:bCs/>
                <w:i/>
                <w:iCs/>
                <w:sz w:val="20"/>
                <w:szCs w:val="20"/>
              </w:rPr>
              <w:t>g</w:t>
            </w:r>
            <w:r w:rsidRPr="3D20DE2E">
              <w:rPr>
                <w:rFonts w:ascii="Times New Roman" w:eastAsia="Times New Roman" w:hAnsi="Times New Roman" w:cs="Times New Roman"/>
                <w:b/>
                <w:bCs/>
                <w:sz w:val="20"/>
                <w:szCs w:val="20"/>
              </w:rPr>
              <w:t>:</w:t>
            </w:r>
          </w:p>
        </w:tc>
        <w:tc>
          <w:tcPr>
            <w:tcW w:w="7515" w:type="dxa"/>
          </w:tcPr>
          <w:p w14:paraId="51468437" w14:textId="0CEA0B6B" w:rsidR="3D20DE2E" w:rsidRDefault="007731F2" w:rsidP="3D20DE2E">
            <w:pPr>
              <w:rPr>
                <w:rFonts w:ascii="Times New Roman" w:eastAsia="Times New Roman" w:hAnsi="Times New Roman" w:cs="Times New Roman"/>
                <w:sz w:val="20"/>
                <w:szCs w:val="20"/>
              </w:rPr>
            </w:pPr>
            <w:r>
              <w:rPr>
                <w:rFonts w:ascii="Times New Roman" w:eastAsia="Times New Roman" w:hAnsi="Times New Roman" w:cs="Times New Roman"/>
                <w:sz w:val="20"/>
                <w:szCs w:val="20"/>
              </w:rPr>
              <w:t>(Year-year)</w:t>
            </w:r>
            <w:r w:rsidR="00625F42">
              <w:rPr>
                <w:rFonts w:ascii="Times New Roman" w:eastAsia="Times New Roman" w:hAnsi="Times New Roman" w:cs="Times New Roman"/>
                <w:sz w:val="20"/>
                <w:szCs w:val="20"/>
              </w:rPr>
              <w:t>-1</w:t>
            </w:r>
          </w:p>
        </w:tc>
      </w:tr>
      <w:tr w:rsidR="3D20DE2E" w14:paraId="342F5DE0" w14:textId="77777777" w:rsidTr="3D20DE2E">
        <w:tc>
          <w:tcPr>
            <w:tcW w:w="1830" w:type="dxa"/>
          </w:tcPr>
          <w:p w14:paraId="6954CD7D" w14:textId="3C93104E" w:rsidR="3D20DE2E" w:rsidRDefault="3D20DE2E" w:rsidP="3D20DE2E">
            <w:pPr>
              <w:jc w:val="center"/>
              <w:rPr>
                <w:rFonts w:ascii="Times New Roman" w:eastAsia="Times New Roman" w:hAnsi="Times New Roman" w:cs="Times New Roman"/>
                <w:sz w:val="20"/>
                <w:szCs w:val="20"/>
              </w:rPr>
            </w:pPr>
            <w:r w:rsidRPr="3D20DE2E">
              <w:rPr>
                <w:rFonts w:ascii="Times New Roman" w:eastAsia="Times New Roman" w:hAnsi="Times New Roman" w:cs="Times New Roman"/>
                <w:b/>
                <w:bCs/>
                <w:sz w:val="20"/>
                <w:szCs w:val="20"/>
              </w:rPr>
              <w:t xml:space="preserve">Required Rate of Return </w:t>
            </w:r>
            <w:r w:rsidRPr="3D20DE2E">
              <w:rPr>
                <w:rFonts w:ascii="Times New Roman" w:eastAsia="Times New Roman" w:hAnsi="Times New Roman" w:cs="Times New Roman"/>
                <w:b/>
                <w:bCs/>
                <w:i/>
                <w:iCs/>
                <w:sz w:val="20"/>
                <w:szCs w:val="20"/>
              </w:rPr>
              <w:t>i</w:t>
            </w:r>
            <w:r w:rsidRPr="3D20DE2E">
              <w:rPr>
                <w:rFonts w:ascii="Times New Roman" w:eastAsia="Times New Roman" w:hAnsi="Times New Roman" w:cs="Times New Roman"/>
                <w:b/>
                <w:bCs/>
                <w:sz w:val="20"/>
                <w:szCs w:val="20"/>
              </w:rPr>
              <w:t>:</w:t>
            </w:r>
          </w:p>
        </w:tc>
        <w:tc>
          <w:tcPr>
            <w:tcW w:w="7515" w:type="dxa"/>
          </w:tcPr>
          <w:p w14:paraId="764FC910" w14:textId="549174AB" w:rsidR="3D20DE2E" w:rsidRPr="00C50FA5" w:rsidRDefault="00C50FA5" w:rsidP="3D20DE2E">
            <w:pPr>
              <w:rPr>
                <w:rFonts w:ascii="Times New Roman" w:eastAsia="Times New Roman" w:hAnsi="Times New Roman" w:cs="Times New Roman"/>
                <w:b/>
                <w:bCs/>
                <w:sz w:val="20"/>
                <w:szCs w:val="20"/>
              </w:rPr>
            </w:pPr>
            <w:r w:rsidRPr="00C50FA5">
              <w:rPr>
                <w:rStyle w:val="Strong"/>
                <w:rFonts w:ascii="Times New Roman" w:hAnsi="Times New Roman" w:cs="Times New Roman"/>
                <w:b w:val="0"/>
                <w:bCs w:val="0"/>
                <w:color w:val="212121"/>
                <w:sz w:val="20"/>
                <w:szCs w:val="20"/>
              </w:rPr>
              <w:t> Expected dividend payment / Stock price + Forecasted dividend growth rate</w:t>
            </w:r>
          </w:p>
        </w:tc>
      </w:tr>
      <w:tr w:rsidR="3D20DE2E" w14:paraId="220A9C2E" w14:textId="77777777" w:rsidTr="3D20DE2E">
        <w:tc>
          <w:tcPr>
            <w:tcW w:w="1830" w:type="dxa"/>
          </w:tcPr>
          <w:p w14:paraId="67A61501" w14:textId="2EB9FB57" w:rsidR="3D20DE2E" w:rsidRDefault="3D20DE2E" w:rsidP="3D20DE2E">
            <w:pPr>
              <w:jc w:val="center"/>
              <w:rPr>
                <w:rFonts w:ascii="Times New Roman" w:eastAsia="Times New Roman" w:hAnsi="Times New Roman" w:cs="Times New Roman"/>
                <w:sz w:val="20"/>
                <w:szCs w:val="20"/>
              </w:rPr>
            </w:pPr>
            <w:r w:rsidRPr="3D20DE2E">
              <w:rPr>
                <w:rFonts w:ascii="Times New Roman" w:eastAsia="Times New Roman" w:hAnsi="Times New Roman" w:cs="Times New Roman"/>
                <w:b/>
                <w:bCs/>
                <w:sz w:val="20"/>
                <w:szCs w:val="20"/>
              </w:rPr>
              <w:t>Theoretical Stock Price GGM:</w:t>
            </w:r>
          </w:p>
        </w:tc>
        <w:tc>
          <w:tcPr>
            <w:tcW w:w="7515" w:type="dxa"/>
          </w:tcPr>
          <w:p w14:paraId="7E98D2FF" w14:textId="54B479B9" w:rsidR="3D20DE2E" w:rsidRDefault="00CF541E" w:rsidP="3D20DE2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Dividends per share/required rate of return- </w:t>
            </w:r>
            <w:r w:rsidR="00666698">
              <w:rPr>
                <w:rFonts w:ascii="Times New Roman" w:eastAsia="Times New Roman" w:hAnsi="Times New Roman" w:cs="Times New Roman"/>
                <w:sz w:val="20"/>
                <w:szCs w:val="20"/>
              </w:rPr>
              <w:t>dividend</w:t>
            </w:r>
            <w:r>
              <w:rPr>
                <w:rFonts w:ascii="Times New Roman" w:eastAsia="Times New Roman" w:hAnsi="Times New Roman" w:cs="Times New Roman"/>
                <w:sz w:val="20"/>
                <w:szCs w:val="20"/>
              </w:rPr>
              <w:t xml:space="preserve"> growth rate</w:t>
            </w:r>
          </w:p>
        </w:tc>
      </w:tr>
    </w:tbl>
    <w:p w14:paraId="2326B548" w14:textId="0E5FCF2E" w:rsidR="3D20DE2E" w:rsidRDefault="3D20DE2E" w:rsidP="3D20DE2E">
      <w:pPr>
        <w:spacing w:after="0" w:line="240" w:lineRule="auto"/>
        <w:rPr>
          <w:rFonts w:ascii="Times New Roman" w:eastAsia="Times New Roman" w:hAnsi="Times New Roman" w:cs="Times New Roman"/>
          <w:color w:val="000000" w:themeColor="text1"/>
          <w:sz w:val="20"/>
          <w:szCs w:val="20"/>
        </w:rPr>
      </w:pPr>
    </w:p>
    <w:p w14:paraId="1F832B0F" w14:textId="3D3D6D62" w:rsidR="3D20DE2E" w:rsidRDefault="3D20DE2E" w:rsidP="3D20DE2E">
      <w:pPr>
        <w:spacing w:after="0" w:line="240" w:lineRule="auto"/>
        <w:rPr>
          <w:rFonts w:ascii="Times New Roman" w:eastAsia="Times New Roman" w:hAnsi="Times New Roman" w:cs="Times New Roman"/>
          <w:color w:val="000000" w:themeColor="text1"/>
          <w:sz w:val="20"/>
          <w:szCs w:val="20"/>
        </w:rPr>
      </w:pPr>
    </w:p>
    <w:p w14:paraId="6EB4FC38" w14:textId="3192DA9F" w:rsidR="7C60018F" w:rsidRDefault="7C60018F" w:rsidP="3D20DE2E">
      <w:pPr>
        <w:spacing w:after="0" w:line="240" w:lineRule="auto"/>
        <w:rPr>
          <w:rFonts w:ascii="Times New Roman" w:eastAsia="Times New Roman" w:hAnsi="Times New Roman" w:cs="Times New Roman"/>
          <w:color w:val="000000" w:themeColor="text1"/>
          <w:sz w:val="20"/>
          <w:szCs w:val="20"/>
        </w:rPr>
      </w:pPr>
      <w:r w:rsidRPr="3D20DE2E">
        <w:rPr>
          <w:rFonts w:ascii="Times New Roman" w:eastAsia="Times New Roman" w:hAnsi="Times New Roman" w:cs="Times New Roman"/>
          <w:color w:val="000000" w:themeColor="text1"/>
          <w:sz w:val="20"/>
          <w:szCs w:val="20"/>
        </w:rPr>
        <w:t>AS10.  Discussion of Differences in the Theoretical Prices and the Most Recent Closing Prices:</w:t>
      </w:r>
    </w:p>
    <w:p w14:paraId="06C407FD" w14:textId="1142BF7C" w:rsidR="00D807C9" w:rsidRDefault="00D807C9" w:rsidP="3D20DE2E">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Because it is theoretical it gives us an idea of where it may land. It is not a guarantee, but </w:t>
      </w:r>
      <w:r w:rsidR="00666698">
        <w:rPr>
          <w:rFonts w:ascii="Times New Roman" w:eastAsia="Times New Roman" w:hAnsi="Times New Roman" w:cs="Times New Roman"/>
          <w:color w:val="000000" w:themeColor="text1"/>
          <w:sz w:val="20"/>
          <w:szCs w:val="20"/>
        </w:rPr>
        <w:t>an</w:t>
      </w:r>
      <w:r>
        <w:rPr>
          <w:rFonts w:ascii="Times New Roman" w:eastAsia="Times New Roman" w:hAnsi="Times New Roman" w:cs="Times New Roman"/>
          <w:color w:val="000000" w:themeColor="text1"/>
          <w:sz w:val="20"/>
          <w:szCs w:val="20"/>
        </w:rPr>
        <w:t xml:space="preserve"> estimate </w:t>
      </w:r>
      <w:r w:rsidR="00666698">
        <w:rPr>
          <w:rFonts w:ascii="Times New Roman" w:eastAsia="Times New Roman" w:hAnsi="Times New Roman" w:cs="Times New Roman"/>
          <w:color w:val="000000" w:themeColor="text1"/>
          <w:sz w:val="20"/>
          <w:szCs w:val="20"/>
        </w:rPr>
        <w:t>and we</w:t>
      </w:r>
      <w:r>
        <w:rPr>
          <w:rFonts w:ascii="Times New Roman" w:eastAsia="Times New Roman" w:hAnsi="Times New Roman" w:cs="Times New Roman"/>
          <w:color w:val="000000" w:themeColor="text1"/>
          <w:sz w:val="20"/>
          <w:szCs w:val="20"/>
        </w:rPr>
        <w:t xml:space="preserve"> use the GGM </w:t>
      </w:r>
      <w:r w:rsidR="00666698">
        <w:rPr>
          <w:rFonts w:ascii="Times New Roman" w:eastAsia="Times New Roman" w:hAnsi="Times New Roman" w:cs="Times New Roman"/>
          <w:color w:val="000000" w:themeColor="text1"/>
          <w:sz w:val="20"/>
          <w:szCs w:val="20"/>
        </w:rPr>
        <w:t>to help us find this.</w:t>
      </w:r>
    </w:p>
    <w:sectPr w:rsidR="00D807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3734D" w14:textId="77777777" w:rsidR="00295DB9" w:rsidRDefault="00295DB9" w:rsidP="00691E89">
      <w:pPr>
        <w:spacing w:after="0" w:line="240" w:lineRule="auto"/>
      </w:pPr>
      <w:r>
        <w:separator/>
      </w:r>
    </w:p>
  </w:endnote>
  <w:endnote w:type="continuationSeparator" w:id="0">
    <w:p w14:paraId="0CA5211F" w14:textId="77777777" w:rsidR="00295DB9" w:rsidRDefault="00295DB9" w:rsidP="00691E89">
      <w:pPr>
        <w:spacing w:after="0" w:line="240" w:lineRule="auto"/>
      </w:pPr>
      <w:r>
        <w:continuationSeparator/>
      </w:r>
    </w:p>
  </w:endnote>
  <w:endnote w:type="continuationNotice" w:id="1">
    <w:p w14:paraId="7A4D7C89" w14:textId="77777777" w:rsidR="00295DB9" w:rsidRDefault="00295D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18AE" w14:textId="77777777" w:rsidR="00295DB9" w:rsidRDefault="00295DB9" w:rsidP="00691E89">
      <w:pPr>
        <w:spacing w:after="0" w:line="240" w:lineRule="auto"/>
      </w:pPr>
      <w:r>
        <w:separator/>
      </w:r>
    </w:p>
  </w:footnote>
  <w:footnote w:type="continuationSeparator" w:id="0">
    <w:p w14:paraId="30013A1C" w14:textId="77777777" w:rsidR="00295DB9" w:rsidRDefault="00295DB9" w:rsidP="00691E89">
      <w:pPr>
        <w:spacing w:after="0" w:line="240" w:lineRule="auto"/>
      </w:pPr>
      <w:r>
        <w:continuationSeparator/>
      </w:r>
    </w:p>
  </w:footnote>
  <w:footnote w:type="continuationNotice" w:id="1">
    <w:p w14:paraId="52E9B7A3" w14:textId="77777777" w:rsidR="00295DB9" w:rsidRDefault="00295DB9">
      <w:pPr>
        <w:spacing w:after="0" w:line="240" w:lineRule="auto"/>
      </w:pPr>
    </w:p>
  </w:footnote>
  <w:footnote w:id="2">
    <w:p w14:paraId="46654970" w14:textId="5BC71575" w:rsidR="00691E89" w:rsidRDefault="00691E89">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184A"/>
    <w:multiLevelType w:val="hybridMultilevel"/>
    <w:tmpl w:val="127EF3C6"/>
    <w:lvl w:ilvl="0" w:tplc="7AE2BF64">
      <w:start w:val="1"/>
      <w:numFmt w:val="decimal"/>
      <w:lvlText w:val="%1."/>
      <w:lvlJc w:val="left"/>
      <w:pPr>
        <w:ind w:left="720" w:hanging="360"/>
      </w:pPr>
    </w:lvl>
    <w:lvl w:ilvl="1" w:tplc="E08AB448">
      <w:start w:val="1"/>
      <w:numFmt w:val="lowerLetter"/>
      <w:lvlText w:val="%2."/>
      <w:lvlJc w:val="left"/>
      <w:pPr>
        <w:ind w:left="1440" w:hanging="360"/>
      </w:pPr>
    </w:lvl>
    <w:lvl w:ilvl="2" w:tplc="D7322006">
      <w:start w:val="1"/>
      <w:numFmt w:val="lowerRoman"/>
      <w:lvlText w:val="%3."/>
      <w:lvlJc w:val="right"/>
      <w:pPr>
        <w:ind w:left="2160" w:hanging="180"/>
      </w:pPr>
    </w:lvl>
    <w:lvl w:ilvl="3" w:tplc="F23690C8">
      <w:start w:val="1"/>
      <w:numFmt w:val="decimal"/>
      <w:lvlText w:val="%4."/>
      <w:lvlJc w:val="left"/>
      <w:pPr>
        <w:ind w:left="2880" w:hanging="360"/>
      </w:pPr>
    </w:lvl>
    <w:lvl w:ilvl="4" w:tplc="F6B40F6A">
      <w:start w:val="1"/>
      <w:numFmt w:val="lowerLetter"/>
      <w:lvlText w:val="%5."/>
      <w:lvlJc w:val="left"/>
      <w:pPr>
        <w:ind w:left="3600" w:hanging="360"/>
      </w:pPr>
    </w:lvl>
    <w:lvl w:ilvl="5" w:tplc="B0BEF394">
      <w:start w:val="1"/>
      <w:numFmt w:val="lowerRoman"/>
      <w:lvlText w:val="%6."/>
      <w:lvlJc w:val="right"/>
      <w:pPr>
        <w:ind w:left="4320" w:hanging="180"/>
      </w:pPr>
    </w:lvl>
    <w:lvl w:ilvl="6" w:tplc="2254767C">
      <w:start w:val="1"/>
      <w:numFmt w:val="decimal"/>
      <w:lvlText w:val="%7."/>
      <w:lvlJc w:val="left"/>
      <w:pPr>
        <w:ind w:left="5040" w:hanging="360"/>
      </w:pPr>
    </w:lvl>
    <w:lvl w:ilvl="7" w:tplc="EC0C0BC6">
      <w:start w:val="1"/>
      <w:numFmt w:val="lowerLetter"/>
      <w:lvlText w:val="%8."/>
      <w:lvlJc w:val="left"/>
      <w:pPr>
        <w:ind w:left="5760" w:hanging="360"/>
      </w:pPr>
    </w:lvl>
    <w:lvl w:ilvl="8" w:tplc="0B4835F4">
      <w:start w:val="1"/>
      <w:numFmt w:val="lowerRoman"/>
      <w:lvlText w:val="%9."/>
      <w:lvlJc w:val="right"/>
      <w:pPr>
        <w:ind w:left="6480" w:hanging="180"/>
      </w:pPr>
    </w:lvl>
  </w:abstractNum>
  <w:abstractNum w:abstractNumId="1" w15:restartNumberingAfterBreak="0">
    <w:nsid w:val="14CB7733"/>
    <w:multiLevelType w:val="hybridMultilevel"/>
    <w:tmpl w:val="127EF3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B623787"/>
    <w:multiLevelType w:val="hybridMultilevel"/>
    <w:tmpl w:val="EEA6EACE"/>
    <w:lvl w:ilvl="0" w:tplc="8DB27AE8">
      <w:start w:val="1"/>
      <w:numFmt w:val="decimal"/>
      <w:lvlText w:val="%1."/>
      <w:lvlJc w:val="left"/>
      <w:pPr>
        <w:ind w:left="720" w:hanging="360"/>
      </w:pPr>
    </w:lvl>
    <w:lvl w:ilvl="1" w:tplc="7BCCBA5A">
      <w:start w:val="1"/>
      <w:numFmt w:val="lowerLetter"/>
      <w:lvlText w:val="%2."/>
      <w:lvlJc w:val="left"/>
      <w:pPr>
        <w:ind w:left="1440" w:hanging="360"/>
      </w:pPr>
    </w:lvl>
    <w:lvl w:ilvl="2" w:tplc="9DEE1BBC">
      <w:start w:val="1"/>
      <w:numFmt w:val="lowerRoman"/>
      <w:lvlText w:val="%3."/>
      <w:lvlJc w:val="right"/>
      <w:pPr>
        <w:ind w:left="2160" w:hanging="180"/>
      </w:pPr>
    </w:lvl>
    <w:lvl w:ilvl="3" w:tplc="561E1522">
      <w:start w:val="1"/>
      <w:numFmt w:val="decimal"/>
      <w:lvlText w:val="%4."/>
      <w:lvlJc w:val="left"/>
      <w:pPr>
        <w:ind w:left="2880" w:hanging="360"/>
      </w:pPr>
    </w:lvl>
    <w:lvl w:ilvl="4" w:tplc="05DAFDE2">
      <w:start w:val="1"/>
      <w:numFmt w:val="lowerLetter"/>
      <w:lvlText w:val="%5."/>
      <w:lvlJc w:val="left"/>
      <w:pPr>
        <w:ind w:left="3600" w:hanging="360"/>
      </w:pPr>
    </w:lvl>
    <w:lvl w:ilvl="5" w:tplc="8BCED8FE">
      <w:start w:val="1"/>
      <w:numFmt w:val="lowerRoman"/>
      <w:lvlText w:val="%6."/>
      <w:lvlJc w:val="right"/>
      <w:pPr>
        <w:ind w:left="4320" w:hanging="180"/>
      </w:pPr>
    </w:lvl>
    <w:lvl w:ilvl="6" w:tplc="3F6A1954">
      <w:start w:val="1"/>
      <w:numFmt w:val="decimal"/>
      <w:lvlText w:val="%7."/>
      <w:lvlJc w:val="left"/>
      <w:pPr>
        <w:ind w:left="5040" w:hanging="360"/>
      </w:pPr>
    </w:lvl>
    <w:lvl w:ilvl="7" w:tplc="3286A350">
      <w:start w:val="1"/>
      <w:numFmt w:val="lowerLetter"/>
      <w:lvlText w:val="%8."/>
      <w:lvlJc w:val="left"/>
      <w:pPr>
        <w:ind w:left="5760" w:hanging="360"/>
      </w:pPr>
    </w:lvl>
    <w:lvl w:ilvl="8" w:tplc="CCA0C87C">
      <w:start w:val="1"/>
      <w:numFmt w:val="lowerRoman"/>
      <w:lvlText w:val="%9."/>
      <w:lvlJc w:val="right"/>
      <w:pPr>
        <w:ind w:left="6480" w:hanging="180"/>
      </w:pPr>
    </w:lvl>
  </w:abstractNum>
  <w:abstractNum w:abstractNumId="3" w15:restartNumberingAfterBreak="0">
    <w:nsid w:val="266078D2"/>
    <w:multiLevelType w:val="hybridMultilevel"/>
    <w:tmpl w:val="3F6C6A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EB1DE7"/>
    <w:multiLevelType w:val="hybridMultilevel"/>
    <w:tmpl w:val="D36ED79A"/>
    <w:lvl w:ilvl="0" w:tplc="BC6AC0C4">
      <w:start w:val="1"/>
      <w:numFmt w:val="decimal"/>
      <w:lvlText w:val="%1."/>
      <w:lvlJc w:val="left"/>
      <w:pPr>
        <w:ind w:left="720" w:hanging="360"/>
      </w:pPr>
    </w:lvl>
    <w:lvl w:ilvl="1" w:tplc="97400B34">
      <w:start w:val="1"/>
      <w:numFmt w:val="lowerLetter"/>
      <w:lvlText w:val="%2."/>
      <w:lvlJc w:val="left"/>
      <w:pPr>
        <w:ind w:left="1440" w:hanging="360"/>
      </w:pPr>
    </w:lvl>
    <w:lvl w:ilvl="2" w:tplc="44167468">
      <w:start w:val="1"/>
      <w:numFmt w:val="lowerRoman"/>
      <w:lvlText w:val="%3."/>
      <w:lvlJc w:val="right"/>
      <w:pPr>
        <w:ind w:left="2160" w:hanging="180"/>
      </w:pPr>
    </w:lvl>
    <w:lvl w:ilvl="3" w:tplc="2E169238">
      <w:start w:val="1"/>
      <w:numFmt w:val="decimal"/>
      <w:lvlText w:val="%4."/>
      <w:lvlJc w:val="left"/>
      <w:pPr>
        <w:ind w:left="2880" w:hanging="360"/>
      </w:pPr>
    </w:lvl>
    <w:lvl w:ilvl="4" w:tplc="0AEA0D9C">
      <w:start w:val="1"/>
      <w:numFmt w:val="lowerLetter"/>
      <w:lvlText w:val="%5."/>
      <w:lvlJc w:val="left"/>
      <w:pPr>
        <w:ind w:left="3600" w:hanging="360"/>
      </w:pPr>
    </w:lvl>
    <w:lvl w:ilvl="5" w:tplc="77101A56">
      <w:start w:val="1"/>
      <w:numFmt w:val="lowerRoman"/>
      <w:lvlText w:val="%6."/>
      <w:lvlJc w:val="right"/>
      <w:pPr>
        <w:ind w:left="4320" w:hanging="180"/>
      </w:pPr>
    </w:lvl>
    <w:lvl w:ilvl="6" w:tplc="C054CC64">
      <w:start w:val="1"/>
      <w:numFmt w:val="decimal"/>
      <w:lvlText w:val="%7."/>
      <w:lvlJc w:val="left"/>
      <w:pPr>
        <w:ind w:left="5040" w:hanging="360"/>
      </w:pPr>
    </w:lvl>
    <w:lvl w:ilvl="7" w:tplc="8FDC87E8">
      <w:start w:val="1"/>
      <w:numFmt w:val="lowerLetter"/>
      <w:lvlText w:val="%8."/>
      <w:lvlJc w:val="left"/>
      <w:pPr>
        <w:ind w:left="5760" w:hanging="360"/>
      </w:pPr>
    </w:lvl>
    <w:lvl w:ilvl="8" w:tplc="6268BD2C">
      <w:start w:val="1"/>
      <w:numFmt w:val="lowerRoman"/>
      <w:lvlText w:val="%9."/>
      <w:lvlJc w:val="right"/>
      <w:pPr>
        <w:ind w:left="6480" w:hanging="180"/>
      </w:pPr>
    </w:lvl>
  </w:abstractNum>
  <w:abstractNum w:abstractNumId="5" w15:restartNumberingAfterBreak="0">
    <w:nsid w:val="65A8260D"/>
    <w:multiLevelType w:val="hybridMultilevel"/>
    <w:tmpl w:val="18247BFA"/>
    <w:lvl w:ilvl="0" w:tplc="9E328B60">
      <w:start w:val="1"/>
      <w:numFmt w:val="lowerLetter"/>
      <w:lvlText w:val="%1."/>
      <w:lvlJc w:val="left"/>
      <w:pPr>
        <w:ind w:left="1080" w:hanging="360"/>
      </w:pPr>
    </w:lvl>
    <w:lvl w:ilvl="1" w:tplc="4418C8A4">
      <w:start w:val="1"/>
      <w:numFmt w:val="lowerLetter"/>
      <w:lvlText w:val="%2."/>
      <w:lvlJc w:val="left"/>
      <w:pPr>
        <w:ind w:left="1800" w:hanging="360"/>
      </w:pPr>
    </w:lvl>
    <w:lvl w:ilvl="2" w:tplc="CF64C7F8">
      <w:start w:val="1"/>
      <w:numFmt w:val="lowerRoman"/>
      <w:lvlText w:val="%3."/>
      <w:lvlJc w:val="right"/>
      <w:pPr>
        <w:ind w:left="2520" w:hanging="180"/>
      </w:pPr>
    </w:lvl>
    <w:lvl w:ilvl="3" w:tplc="2E2CA5A6">
      <w:start w:val="1"/>
      <w:numFmt w:val="decimal"/>
      <w:lvlText w:val="%4."/>
      <w:lvlJc w:val="left"/>
      <w:pPr>
        <w:ind w:left="3240" w:hanging="360"/>
      </w:pPr>
    </w:lvl>
    <w:lvl w:ilvl="4" w:tplc="4E1609BA">
      <w:start w:val="1"/>
      <w:numFmt w:val="lowerLetter"/>
      <w:lvlText w:val="%5."/>
      <w:lvlJc w:val="left"/>
      <w:pPr>
        <w:ind w:left="3960" w:hanging="360"/>
      </w:pPr>
    </w:lvl>
    <w:lvl w:ilvl="5" w:tplc="843A0F52">
      <w:start w:val="1"/>
      <w:numFmt w:val="lowerRoman"/>
      <w:lvlText w:val="%6."/>
      <w:lvlJc w:val="right"/>
      <w:pPr>
        <w:ind w:left="4680" w:hanging="180"/>
      </w:pPr>
    </w:lvl>
    <w:lvl w:ilvl="6" w:tplc="2C18E264">
      <w:start w:val="1"/>
      <w:numFmt w:val="decimal"/>
      <w:lvlText w:val="%7."/>
      <w:lvlJc w:val="left"/>
      <w:pPr>
        <w:ind w:left="5400" w:hanging="360"/>
      </w:pPr>
    </w:lvl>
    <w:lvl w:ilvl="7" w:tplc="96D4E18C">
      <w:start w:val="1"/>
      <w:numFmt w:val="lowerLetter"/>
      <w:lvlText w:val="%8."/>
      <w:lvlJc w:val="left"/>
      <w:pPr>
        <w:ind w:left="6120" w:hanging="360"/>
      </w:pPr>
    </w:lvl>
    <w:lvl w:ilvl="8" w:tplc="398AE87E">
      <w:start w:val="1"/>
      <w:numFmt w:val="lowerRoman"/>
      <w:lvlText w:val="%9."/>
      <w:lvlJc w:val="right"/>
      <w:pPr>
        <w:ind w:left="6840" w:hanging="180"/>
      </w:pPr>
    </w:lvl>
  </w:abstractNum>
  <w:abstractNum w:abstractNumId="6" w15:restartNumberingAfterBreak="0">
    <w:nsid w:val="70401BB7"/>
    <w:multiLevelType w:val="hybridMultilevel"/>
    <w:tmpl w:val="EFAC6412"/>
    <w:lvl w:ilvl="0" w:tplc="5E20852C">
      <w:start w:val="1"/>
      <w:numFmt w:val="decimal"/>
      <w:lvlText w:val="%1."/>
      <w:lvlJc w:val="left"/>
      <w:pPr>
        <w:ind w:left="720" w:hanging="360"/>
      </w:pPr>
    </w:lvl>
    <w:lvl w:ilvl="1" w:tplc="8A16D9DA">
      <w:start w:val="1"/>
      <w:numFmt w:val="lowerLetter"/>
      <w:lvlText w:val="%2."/>
      <w:lvlJc w:val="left"/>
      <w:pPr>
        <w:ind w:left="1440" w:hanging="360"/>
      </w:pPr>
    </w:lvl>
    <w:lvl w:ilvl="2" w:tplc="235CD9DC">
      <w:start w:val="1"/>
      <w:numFmt w:val="lowerRoman"/>
      <w:lvlText w:val="%3."/>
      <w:lvlJc w:val="right"/>
      <w:pPr>
        <w:ind w:left="2160" w:hanging="180"/>
      </w:pPr>
    </w:lvl>
    <w:lvl w:ilvl="3" w:tplc="49E08D14">
      <w:start w:val="1"/>
      <w:numFmt w:val="decimal"/>
      <w:lvlText w:val="%4."/>
      <w:lvlJc w:val="left"/>
      <w:pPr>
        <w:ind w:left="2880" w:hanging="360"/>
      </w:pPr>
    </w:lvl>
    <w:lvl w:ilvl="4" w:tplc="CD000D5E">
      <w:start w:val="1"/>
      <w:numFmt w:val="lowerLetter"/>
      <w:lvlText w:val="%5."/>
      <w:lvlJc w:val="left"/>
      <w:pPr>
        <w:ind w:left="3600" w:hanging="360"/>
      </w:pPr>
    </w:lvl>
    <w:lvl w:ilvl="5" w:tplc="0FB01DA4">
      <w:start w:val="1"/>
      <w:numFmt w:val="lowerRoman"/>
      <w:lvlText w:val="%6."/>
      <w:lvlJc w:val="right"/>
      <w:pPr>
        <w:ind w:left="4320" w:hanging="180"/>
      </w:pPr>
    </w:lvl>
    <w:lvl w:ilvl="6" w:tplc="804C4A94">
      <w:start w:val="1"/>
      <w:numFmt w:val="decimal"/>
      <w:lvlText w:val="%7."/>
      <w:lvlJc w:val="left"/>
      <w:pPr>
        <w:ind w:left="5040" w:hanging="360"/>
      </w:pPr>
    </w:lvl>
    <w:lvl w:ilvl="7" w:tplc="7034EF1A">
      <w:start w:val="1"/>
      <w:numFmt w:val="lowerLetter"/>
      <w:lvlText w:val="%8."/>
      <w:lvlJc w:val="left"/>
      <w:pPr>
        <w:ind w:left="5760" w:hanging="360"/>
      </w:pPr>
    </w:lvl>
    <w:lvl w:ilvl="8" w:tplc="81FE53F4">
      <w:start w:val="1"/>
      <w:numFmt w:val="lowerRoman"/>
      <w:lvlText w:val="%9."/>
      <w:lvlJc w:val="right"/>
      <w:pPr>
        <w:ind w:left="6480" w:hanging="180"/>
      </w:pPr>
    </w:lvl>
  </w:abstractNum>
  <w:num w:numId="1" w16cid:durableId="1959605412">
    <w:abstractNumId w:val="2"/>
  </w:num>
  <w:num w:numId="2" w16cid:durableId="371347321">
    <w:abstractNumId w:val="4"/>
  </w:num>
  <w:num w:numId="3" w16cid:durableId="1674920255">
    <w:abstractNumId w:val="5"/>
  </w:num>
  <w:num w:numId="4" w16cid:durableId="1359238959">
    <w:abstractNumId w:val="6"/>
  </w:num>
  <w:num w:numId="5" w16cid:durableId="1222327857">
    <w:abstractNumId w:val="0"/>
  </w:num>
  <w:num w:numId="6" w16cid:durableId="1752463295">
    <w:abstractNumId w:val="1"/>
  </w:num>
  <w:num w:numId="7" w16cid:durableId="1741365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D2"/>
    <w:rsid w:val="00027798"/>
    <w:rsid w:val="00040511"/>
    <w:rsid w:val="00056AA7"/>
    <w:rsid w:val="0006047B"/>
    <w:rsid w:val="00067172"/>
    <w:rsid w:val="00072948"/>
    <w:rsid w:val="000A6C9D"/>
    <w:rsid w:val="000B1545"/>
    <w:rsid w:val="000B4F2D"/>
    <w:rsid w:val="000B5B06"/>
    <w:rsid w:val="000D54E5"/>
    <w:rsid w:val="001101E8"/>
    <w:rsid w:val="00114090"/>
    <w:rsid w:val="001C375C"/>
    <w:rsid w:val="001C4DE1"/>
    <w:rsid w:val="001D5A97"/>
    <w:rsid w:val="001E516E"/>
    <w:rsid w:val="001F183D"/>
    <w:rsid w:val="00220730"/>
    <w:rsid w:val="00230ED2"/>
    <w:rsid w:val="00235631"/>
    <w:rsid w:val="00247FF4"/>
    <w:rsid w:val="00272366"/>
    <w:rsid w:val="0028075D"/>
    <w:rsid w:val="00290642"/>
    <w:rsid w:val="00295DB9"/>
    <w:rsid w:val="002A088E"/>
    <w:rsid w:val="002C3991"/>
    <w:rsid w:val="002D5651"/>
    <w:rsid w:val="002D6CBF"/>
    <w:rsid w:val="002E3E81"/>
    <w:rsid w:val="002F3B33"/>
    <w:rsid w:val="00321622"/>
    <w:rsid w:val="003523AF"/>
    <w:rsid w:val="003560A0"/>
    <w:rsid w:val="003634C6"/>
    <w:rsid w:val="00391B4E"/>
    <w:rsid w:val="003C01F6"/>
    <w:rsid w:val="003C7BE6"/>
    <w:rsid w:val="00432E06"/>
    <w:rsid w:val="00445511"/>
    <w:rsid w:val="00472660"/>
    <w:rsid w:val="00482EB9"/>
    <w:rsid w:val="00487F17"/>
    <w:rsid w:val="004E69CD"/>
    <w:rsid w:val="005262D1"/>
    <w:rsid w:val="00534ADE"/>
    <w:rsid w:val="005364BC"/>
    <w:rsid w:val="00550C34"/>
    <w:rsid w:val="005515CC"/>
    <w:rsid w:val="00582667"/>
    <w:rsid w:val="00586121"/>
    <w:rsid w:val="005935AC"/>
    <w:rsid w:val="0059524D"/>
    <w:rsid w:val="005B3E37"/>
    <w:rsid w:val="005D7665"/>
    <w:rsid w:val="005F354E"/>
    <w:rsid w:val="00600306"/>
    <w:rsid w:val="00615805"/>
    <w:rsid w:val="00625F42"/>
    <w:rsid w:val="006569CA"/>
    <w:rsid w:val="00663D08"/>
    <w:rsid w:val="00666698"/>
    <w:rsid w:val="006874A0"/>
    <w:rsid w:val="00691E89"/>
    <w:rsid w:val="006D1C43"/>
    <w:rsid w:val="006E093B"/>
    <w:rsid w:val="0070694B"/>
    <w:rsid w:val="00726D72"/>
    <w:rsid w:val="00746CB6"/>
    <w:rsid w:val="0076057B"/>
    <w:rsid w:val="0077022F"/>
    <w:rsid w:val="0077120A"/>
    <w:rsid w:val="007731F2"/>
    <w:rsid w:val="007747C3"/>
    <w:rsid w:val="007804B2"/>
    <w:rsid w:val="00790924"/>
    <w:rsid w:val="007B10AB"/>
    <w:rsid w:val="007B248D"/>
    <w:rsid w:val="007B6518"/>
    <w:rsid w:val="007C6874"/>
    <w:rsid w:val="00832AF7"/>
    <w:rsid w:val="00841A50"/>
    <w:rsid w:val="0084561B"/>
    <w:rsid w:val="00851F9E"/>
    <w:rsid w:val="008573E3"/>
    <w:rsid w:val="008731FA"/>
    <w:rsid w:val="00880710"/>
    <w:rsid w:val="00897119"/>
    <w:rsid w:val="008A234F"/>
    <w:rsid w:val="008C6702"/>
    <w:rsid w:val="009000D1"/>
    <w:rsid w:val="009203D1"/>
    <w:rsid w:val="00931166"/>
    <w:rsid w:val="009410AC"/>
    <w:rsid w:val="00952ECE"/>
    <w:rsid w:val="00961601"/>
    <w:rsid w:val="0096754B"/>
    <w:rsid w:val="00970971"/>
    <w:rsid w:val="00972114"/>
    <w:rsid w:val="00981A00"/>
    <w:rsid w:val="0099398B"/>
    <w:rsid w:val="00996874"/>
    <w:rsid w:val="009D5131"/>
    <w:rsid w:val="009D60D5"/>
    <w:rsid w:val="009E6AF0"/>
    <w:rsid w:val="00A16FF7"/>
    <w:rsid w:val="00A23B59"/>
    <w:rsid w:val="00A32572"/>
    <w:rsid w:val="00A4365F"/>
    <w:rsid w:val="00A60308"/>
    <w:rsid w:val="00A64FF9"/>
    <w:rsid w:val="00AA1F9C"/>
    <w:rsid w:val="00AC7582"/>
    <w:rsid w:val="00AF611B"/>
    <w:rsid w:val="00B10CBB"/>
    <w:rsid w:val="00B45491"/>
    <w:rsid w:val="00B47B3F"/>
    <w:rsid w:val="00B5333B"/>
    <w:rsid w:val="00B55A53"/>
    <w:rsid w:val="00B66A62"/>
    <w:rsid w:val="00BA66CB"/>
    <w:rsid w:val="00BB104B"/>
    <w:rsid w:val="00BC042E"/>
    <w:rsid w:val="00BC2673"/>
    <w:rsid w:val="00BD4C50"/>
    <w:rsid w:val="00BE0A03"/>
    <w:rsid w:val="00C46990"/>
    <w:rsid w:val="00C50FA5"/>
    <w:rsid w:val="00C52E8A"/>
    <w:rsid w:val="00C534AE"/>
    <w:rsid w:val="00C6103A"/>
    <w:rsid w:val="00C65378"/>
    <w:rsid w:val="00C742F2"/>
    <w:rsid w:val="00C9097F"/>
    <w:rsid w:val="00C940D3"/>
    <w:rsid w:val="00CA204D"/>
    <w:rsid w:val="00CD56AB"/>
    <w:rsid w:val="00CE618B"/>
    <w:rsid w:val="00CF00EA"/>
    <w:rsid w:val="00CF541E"/>
    <w:rsid w:val="00D11CF3"/>
    <w:rsid w:val="00D155D2"/>
    <w:rsid w:val="00D1603C"/>
    <w:rsid w:val="00D41954"/>
    <w:rsid w:val="00D445D3"/>
    <w:rsid w:val="00D807C9"/>
    <w:rsid w:val="00DA1926"/>
    <w:rsid w:val="00DD62D8"/>
    <w:rsid w:val="00DF66DE"/>
    <w:rsid w:val="00E149D9"/>
    <w:rsid w:val="00E20760"/>
    <w:rsid w:val="00E20B39"/>
    <w:rsid w:val="00E42511"/>
    <w:rsid w:val="00E50AFA"/>
    <w:rsid w:val="00E60488"/>
    <w:rsid w:val="00E74239"/>
    <w:rsid w:val="00E8377F"/>
    <w:rsid w:val="00EC7F2D"/>
    <w:rsid w:val="00F22D75"/>
    <w:rsid w:val="00F44329"/>
    <w:rsid w:val="00F63EDC"/>
    <w:rsid w:val="00F74C4F"/>
    <w:rsid w:val="00F80914"/>
    <w:rsid w:val="00FA501C"/>
    <w:rsid w:val="00FC399C"/>
    <w:rsid w:val="05F6E3E7"/>
    <w:rsid w:val="07F00AD0"/>
    <w:rsid w:val="09DB441E"/>
    <w:rsid w:val="0E78F71B"/>
    <w:rsid w:val="0E908279"/>
    <w:rsid w:val="0F504A40"/>
    <w:rsid w:val="0FE18E2C"/>
    <w:rsid w:val="16826C01"/>
    <w:rsid w:val="1A5265D9"/>
    <w:rsid w:val="1B55DD24"/>
    <w:rsid w:val="29411FA4"/>
    <w:rsid w:val="2AC3F380"/>
    <w:rsid w:val="36074728"/>
    <w:rsid w:val="3A11EBF5"/>
    <w:rsid w:val="3D20DE2E"/>
    <w:rsid w:val="46979C02"/>
    <w:rsid w:val="469C6940"/>
    <w:rsid w:val="475C9ACD"/>
    <w:rsid w:val="49F32AD0"/>
    <w:rsid w:val="4E718B35"/>
    <w:rsid w:val="4F648601"/>
    <w:rsid w:val="5159A246"/>
    <w:rsid w:val="529EEDC0"/>
    <w:rsid w:val="59EA64C1"/>
    <w:rsid w:val="5A0251EB"/>
    <w:rsid w:val="5CA07B73"/>
    <w:rsid w:val="5CABB787"/>
    <w:rsid w:val="5F075F5F"/>
    <w:rsid w:val="64C1070F"/>
    <w:rsid w:val="69726085"/>
    <w:rsid w:val="6C29AA66"/>
    <w:rsid w:val="7096458A"/>
    <w:rsid w:val="7C60018F"/>
    <w:rsid w:val="7C8BD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AD39"/>
  <w15:chartTrackingRefBased/>
  <w15:docId w15:val="{BD40AAE1-E2A1-4F21-BAC5-5FBCF1C0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399C"/>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42511"/>
    <w:rPr>
      <w:color w:val="808080"/>
    </w:rPr>
  </w:style>
  <w:style w:type="paragraph" w:styleId="FootnoteText">
    <w:name w:val="footnote text"/>
    <w:basedOn w:val="Normal"/>
    <w:link w:val="FootnoteTextChar"/>
    <w:uiPriority w:val="99"/>
    <w:semiHidden/>
    <w:unhideWhenUsed/>
    <w:rsid w:val="00691E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1E89"/>
    <w:rPr>
      <w:sz w:val="20"/>
      <w:szCs w:val="20"/>
    </w:rPr>
  </w:style>
  <w:style w:type="character" w:styleId="FootnoteReference">
    <w:name w:val="footnote reference"/>
    <w:basedOn w:val="DefaultParagraphFont"/>
    <w:uiPriority w:val="99"/>
    <w:semiHidden/>
    <w:unhideWhenUsed/>
    <w:rsid w:val="00691E89"/>
    <w:rPr>
      <w:vertAlign w:val="superscript"/>
    </w:rPr>
  </w:style>
  <w:style w:type="paragraph" w:styleId="Header">
    <w:name w:val="header"/>
    <w:basedOn w:val="Normal"/>
    <w:link w:val="HeaderChar"/>
    <w:uiPriority w:val="99"/>
    <w:semiHidden/>
    <w:unhideWhenUsed/>
    <w:rsid w:val="00B47B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B3F"/>
  </w:style>
  <w:style w:type="paragraph" w:styleId="Footer">
    <w:name w:val="footer"/>
    <w:basedOn w:val="Normal"/>
    <w:link w:val="FooterChar"/>
    <w:uiPriority w:val="99"/>
    <w:semiHidden/>
    <w:unhideWhenUsed/>
    <w:rsid w:val="00B47B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7B3F"/>
  </w:style>
  <w:style w:type="character" w:styleId="FollowedHyperlink">
    <w:name w:val="FollowedHyperlink"/>
    <w:basedOn w:val="DefaultParagraphFont"/>
    <w:uiPriority w:val="99"/>
    <w:semiHidden/>
    <w:unhideWhenUsed/>
    <w:rsid w:val="00272366"/>
    <w:rPr>
      <w:color w:val="954F72" w:themeColor="followedHyperlink"/>
      <w:u w:val="single"/>
    </w:rPr>
  </w:style>
  <w:style w:type="character" w:styleId="Strong">
    <w:name w:val="Strong"/>
    <w:basedOn w:val="DefaultParagraphFont"/>
    <w:uiPriority w:val="22"/>
    <w:qFormat/>
    <w:rsid w:val="00C50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13313">
      <w:bodyDiv w:val="1"/>
      <w:marLeft w:val="0"/>
      <w:marRight w:val="0"/>
      <w:marTop w:val="0"/>
      <w:marBottom w:val="0"/>
      <w:divBdr>
        <w:top w:val="none" w:sz="0" w:space="0" w:color="auto"/>
        <w:left w:val="none" w:sz="0" w:space="0" w:color="auto"/>
        <w:bottom w:val="none" w:sz="0" w:space="0" w:color="auto"/>
        <w:right w:val="none" w:sz="0" w:space="0" w:color="auto"/>
      </w:divBdr>
    </w:div>
    <w:div w:id="16004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treasury.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2FD29-FAA6-456F-861D-D8D44192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Links>
    <vt:vector size="6" baseType="variant">
      <vt:variant>
        <vt:i4>6619237</vt:i4>
      </vt:variant>
      <vt:variant>
        <vt:i4>0</vt:i4>
      </vt:variant>
      <vt:variant>
        <vt:i4>0</vt:i4>
      </vt:variant>
      <vt:variant>
        <vt:i4>5</vt:i4>
      </vt:variant>
      <vt:variant>
        <vt:lpwstr>https://home.treasury.gov/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McKee</dc:creator>
  <cp:keywords/>
  <dc:description/>
  <cp:lastModifiedBy>kelsey berta</cp:lastModifiedBy>
  <cp:revision>69</cp:revision>
  <dcterms:created xsi:type="dcterms:W3CDTF">2022-06-16T05:18:00Z</dcterms:created>
  <dcterms:modified xsi:type="dcterms:W3CDTF">2022-06-16T06:08:00Z</dcterms:modified>
</cp:coreProperties>
</file>