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499E9F" w14:textId="6F09AC25" w:rsidR="000A77B8" w:rsidRPr="000A77B8" w:rsidRDefault="000A77B8" w:rsidP="004975A6">
      <w:pPr>
        <w:rPr>
          <w:b/>
          <w:bCs/>
        </w:rPr>
      </w:pPr>
      <w:r w:rsidRPr="000A77B8">
        <w:rPr>
          <w:b/>
          <w:bCs/>
        </w:rPr>
        <w:t>Introduction</w:t>
      </w:r>
    </w:p>
    <w:p w14:paraId="3FE5121B" w14:textId="77777777" w:rsidR="000A77B8" w:rsidRDefault="000A77B8" w:rsidP="004975A6"/>
    <w:p w14:paraId="7D86F663" w14:textId="0E5722F7" w:rsidR="004975A6" w:rsidRDefault="004975A6" w:rsidP="004975A6">
      <w:r w:rsidRPr="00E30DE2">
        <w:rPr>
          <w:b/>
          <w:bCs/>
        </w:rPr>
        <w:t>P1:</w:t>
      </w:r>
      <w:r>
        <w:br/>
      </w:r>
      <w:r w:rsidR="00ED22EE">
        <w:t xml:space="preserve">Urbanization and anthropogenic activities continue to change natural landscapes, creating new opportunities for wildlife, people, and domestic animals to interact with one another in proximity. </w:t>
      </w:r>
      <w:r w:rsidR="00933CD8" w:rsidRPr="00933CD8">
        <w:t xml:space="preserve"> The human-wildlife interface can be defined as any given space where contact occurs between humans, domestic animals, and wildlife as well as their shared space, resources and diseases (Hassell et al. 2017).</w:t>
      </w:r>
      <w:r w:rsidR="00933CD8">
        <w:t xml:space="preserve"> </w:t>
      </w:r>
      <w:r w:rsidR="00917589">
        <w:t xml:space="preserve">As interactions in these interfaces become more frequent, improving our understanding of how anthropogenic change continues to impact the ecological and health dynamics between </w:t>
      </w:r>
      <w:r w:rsidR="00252460">
        <w:t>wildlife</w:t>
      </w:r>
      <w:r w:rsidR="00917589">
        <w:t xml:space="preserve"> and humans grows increasingly necessary. </w:t>
      </w:r>
      <w:r w:rsidR="00252460">
        <w:t xml:space="preserve">Birds are among the most well-studied and widespread taxa in the animal kingdom, filling critical roles in ecosystems worldwide through mechanisms such as insect control, pollination, seed dispersal and more. </w:t>
      </w:r>
      <w:r w:rsidR="00933CD8" w:rsidRPr="00933CD8">
        <w:t xml:space="preserve">While many bird species have adapted to a capacity to survive and even depend on human-modified landscapes, the ecological impacts of these co-adaptations, and how long-term proximity to humans, domestic animals, and shared resources influences pathogen dynamics in wild bird communities remain poorly understood </w:t>
      </w:r>
      <w:r w:rsidR="00127B8C" w:rsidRPr="00127B8C">
        <w:t>(Bradley and Altizer 2007</w:t>
      </w:r>
      <w:r w:rsidR="00127B8C">
        <w:t>)</w:t>
      </w:r>
      <w:r w:rsidR="00933CD8" w:rsidRPr="00933CD8">
        <w:t>.</w:t>
      </w:r>
      <w:r w:rsidR="00933CD8">
        <w:br/>
      </w:r>
    </w:p>
    <w:p w14:paraId="73C587D0" w14:textId="06D2D7A6" w:rsidR="00933CD8" w:rsidRDefault="00933CD8" w:rsidP="00933CD8">
      <w:pPr>
        <w:rPr>
          <w:color w:val="000000" w:themeColor="text1"/>
          <w:sz w:val="13"/>
          <w:szCs w:val="13"/>
        </w:rPr>
      </w:pPr>
      <w:r w:rsidRPr="00933CD8">
        <w:rPr>
          <w:color w:val="000000" w:themeColor="text1"/>
          <w:sz w:val="13"/>
          <w:szCs w:val="13"/>
        </w:rPr>
        <w:t xml:space="preserve">Hassell, James M., Michael Begon, Melissa J. Ward, and Eric M. Fèvre. “Urbanization and Disease Emergence: Dynamics at the Wildlife–Livestock–Human Interface.” </w:t>
      </w:r>
      <w:r w:rsidRPr="00933CD8">
        <w:rPr>
          <w:i/>
          <w:iCs/>
          <w:color w:val="000000" w:themeColor="text1"/>
          <w:sz w:val="13"/>
          <w:szCs w:val="13"/>
        </w:rPr>
        <w:t>Trends in Ecology &amp; Evolution</w:t>
      </w:r>
      <w:r w:rsidRPr="00933CD8">
        <w:rPr>
          <w:color w:val="000000" w:themeColor="text1"/>
          <w:sz w:val="13"/>
          <w:szCs w:val="13"/>
        </w:rPr>
        <w:t xml:space="preserve"> 32, no. 1 (2017): 55–67. </w:t>
      </w:r>
      <w:hyperlink r:id="rId7" w:history="1">
        <w:r w:rsidRPr="00933CD8">
          <w:rPr>
            <w:rStyle w:val="Hyperlink"/>
            <w:sz w:val="13"/>
            <w:szCs w:val="13"/>
          </w:rPr>
          <w:t>https://doi.org/10.1016/j.tree.2016.09.012</w:t>
        </w:r>
      </w:hyperlink>
      <w:r w:rsidRPr="00933CD8">
        <w:rPr>
          <w:color w:val="000000" w:themeColor="text1"/>
          <w:sz w:val="13"/>
          <w:szCs w:val="13"/>
        </w:rPr>
        <w:t>.</w:t>
      </w:r>
    </w:p>
    <w:p w14:paraId="40AB344A" w14:textId="77777777" w:rsidR="00127B8C" w:rsidRPr="00127B8C" w:rsidRDefault="00127B8C" w:rsidP="00127B8C">
      <w:pPr>
        <w:rPr>
          <w:color w:val="000000" w:themeColor="text1"/>
          <w:sz w:val="13"/>
          <w:szCs w:val="13"/>
        </w:rPr>
      </w:pPr>
      <w:r w:rsidRPr="00127B8C">
        <w:rPr>
          <w:color w:val="000000" w:themeColor="text1"/>
          <w:sz w:val="13"/>
          <w:szCs w:val="13"/>
        </w:rPr>
        <w:t xml:space="preserve">Bradley, Catherine A., and Sonia Altizer. “Urbanization and the Ecology of Wildlife Diseases.” </w:t>
      </w:r>
      <w:r w:rsidRPr="00127B8C">
        <w:rPr>
          <w:i/>
          <w:iCs/>
          <w:color w:val="000000" w:themeColor="text1"/>
          <w:sz w:val="13"/>
          <w:szCs w:val="13"/>
        </w:rPr>
        <w:t>Trends in Ecology &amp; Evolution</w:t>
      </w:r>
      <w:r w:rsidRPr="00127B8C">
        <w:rPr>
          <w:color w:val="000000" w:themeColor="text1"/>
          <w:sz w:val="13"/>
          <w:szCs w:val="13"/>
        </w:rPr>
        <w:t xml:space="preserve"> 22, no. 2 (2007): 95–102. </w:t>
      </w:r>
      <w:hyperlink r:id="rId8" w:history="1">
        <w:r w:rsidRPr="00127B8C">
          <w:rPr>
            <w:rStyle w:val="Hyperlink"/>
            <w:sz w:val="13"/>
            <w:szCs w:val="13"/>
          </w:rPr>
          <w:t>https://doi.org/10.1016/j.tree.2006.11.001</w:t>
        </w:r>
      </w:hyperlink>
      <w:r w:rsidRPr="00127B8C">
        <w:rPr>
          <w:color w:val="000000" w:themeColor="text1"/>
          <w:sz w:val="13"/>
          <w:szCs w:val="13"/>
        </w:rPr>
        <w:t>.</w:t>
      </w:r>
    </w:p>
    <w:p w14:paraId="5953B0E8" w14:textId="77777777" w:rsidR="00127B8C" w:rsidRPr="00933CD8" w:rsidRDefault="00127B8C" w:rsidP="00933CD8">
      <w:pPr>
        <w:rPr>
          <w:color w:val="000000" w:themeColor="text1"/>
          <w:sz w:val="13"/>
          <w:szCs w:val="13"/>
        </w:rPr>
      </w:pPr>
    </w:p>
    <w:p w14:paraId="2F9B0762" w14:textId="77777777" w:rsidR="004975A6" w:rsidRDefault="004975A6">
      <w:r>
        <w:br w:type="page"/>
      </w:r>
    </w:p>
    <w:p w14:paraId="5E8A7D85" w14:textId="56DB01D4" w:rsidR="00736808" w:rsidRDefault="004975A6" w:rsidP="004975A6">
      <w:r w:rsidRPr="00E30DE2">
        <w:rPr>
          <w:b/>
          <w:bCs/>
        </w:rPr>
        <w:lastRenderedPageBreak/>
        <w:t>P2:</w:t>
      </w:r>
      <w:r>
        <w:br/>
      </w:r>
      <w:r w:rsidR="00252460">
        <w:t>S</w:t>
      </w:r>
      <w:r w:rsidR="00FF0AFE">
        <w:t xml:space="preserve">mall-scale poultry keeping </w:t>
      </w:r>
      <w:r w:rsidR="00252460">
        <w:t xml:space="preserve">and supplemental bird feeding </w:t>
      </w:r>
      <w:r w:rsidR="00FF0AFE">
        <w:t>have grown substantially in popularity across the United States, occurring as backyard activit</w:t>
      </w:r>
      <w:r w:rsidR="00252460">
        <w:t>ies</w:t>
      </w:r>
      <w:r w:rsidR="00FF0AFE">
        <w:t xml:space="preserve"> and encouraging participants to interact more with nature and wildlife. </w:t>
      </w:r>
      <w:r w:rsidR="00736808" w:rsidRPr="00736808">
        <w:t>"Small-scale" or "backyard" poultry keeping refers to the practice of homeowners maintaining small flocks of chickens on or around their property for purposes such as egg and meat production, animal husbandry, or participation in sustainable food systems</w:t>
      </w:r>
      <w:r w:rsidR="00252460">
        <w:t xml:space="preserve"> (CITE)</w:t>
      </w:r>
      <w:r w:rsidR="00736808" w:rsidRPr="00736808">
        <w:t>.</w:t>
      </w:r>
      <w:r w:rsidR="00252460">
        <w:t xml:space="preserve"> The popularity of backyard poultry keeping is growing in urban and suburban areas in the United States (USDA, 2013), but the practice has been an important part of nutrition and economic stability for centuries in other regions (Alders &amp; Pym, 2009).</w:t>
      </w:r>
      <w:r w:rsidR="00736808" w:rsidRPr="00736808">
        <w:t xml:space="preserve"> Backyard bird feeding has similarly been a well-established home activity for decades, allowing homeowners opportunities to connect with nature and wildlife while supplementing the diets of wild birds. The scale of bird feeding in the United States is substantial, with federal surveys estimating that over 50 million Americans participate in feeding wild birds, and hundreds of millions of dollars spent on bird seed annually (USFWS 2022). </w:t>
      </w:r>
    </w:p>
    <w:p w14:paraId="5B166943" w14:textId="0EE682E7" w:rsidR="00BD1A15" w:rsidRDefault="004C691D" w:rsidP="004E6E92">
      <w:r>
        <w:t>This often creates opportunities for</w:t>
      </w:r>
      <w:r w:rsidR="00462E21">
        <w:t xml:space="preserve"> novel</w:t>
      </w:r>
      <w:r>
        <w:t xml:space="preserve"> contact between wild bird species, chicken flocks, domestic pets and humans as well and can allow for bidirectional transmission </w:t>
      </w:r>
      <w:r w:rsidR="00252460">
        <w:t xml:space="preserve">(spillover) </w:t>
      </w:r>
      <w:r>
        <w:t xml:space="preserve">of select pathogens carried by animals or contracted from the environment. </w:t>
      </w:r>
      <w:r w:rsidR="00A34970">
        <w:t>T</w:t>
      </w:r>
      <w:r w:rsidR="00A34970" w:rsidRPr="00A34970">
        <w:t xml:space="preserve">he </w:t>
      </w:r>
      <w:r w:rsidR="00A34970">
        <w:t>prevalence</w:t>
      </w:r>
      <w:r w:rsidR="00A34970" w:rsidRPr="00A34970">
        <w:t xml:space="preserve"> and spread of zoonotic diseases</w:t>
      </w:r>
      <w:r w:rsidR="00A34970">
        <w:t xml:space="preserve">, or </w:t>
      </w:r>
      <w:r w:rsidR="004E6E92">
        <w:t>diseases shared between wildlife and humans</w:t>
      </w:r>
      <w:r w:rsidR="00A34970">
        <w:t xml:space="preserve">, </w:t>
      </w:r>
      <w:r w:rsidR="00A34970" w:rsidRPr="00A34970">
        <w:t xml:space="preserve">represents one of the most significant </w:t>
      </w:r>
      <w:r w:rsidR="00A34970">
        <w:t>effects</w:t>
      </w:r>
      <w:r w:rsidR="00A34970" w:rsidRPr="00A34970">
        <w:t xml:space="preserve"> of </w:t>
      </w:r>
      <w:r w:rsidR="00A34970">
        <w:t>growing</w:t>
      </w:r>
      <w:r w:rsidR="00A34970" w:rsidRPr="00A34970">
        <w:t xml:space="preserve"> contact</w:t>
      </w:r>
      <w:r w:rsidR="00252460">
        <w:t xml:space="preserve"> at the human-wildlife interface</w:t>
      </w:r>
      <w:r w:rsidR="00A34970" w:rsidRPr="00A34970">
        <w:t xml:space="preserve">, with over 70% of </w:t>
      </w:r>
      <w:r w:rsidR="00A34970">
        <w:t xml:space="preserve">current human diseases </w:t>
      </w:r>
      <w:r w:rsidR="00A34970" w:rsidRPr="00A34970">
        <w:t>originating</w:t>
      </w:r>
      <w:r w:rsidR="00A34970">
        <w:t xml:space="preserve"> from wildlife </w:t>
      </w:r>
      <w:r w:rsidR="00A34970" w:rsidRPr="00A34970">
        <w:t xml:space="preserve">(Jones et al. 2008). </w:t>
      </w:r>
      <w:r w:rsidR="00BD1A15" w:rsidRPr="00AD7DBE">
        <w:rPr>
          <w:highlight w:val="yellow"/>
        </w:rPr>
        <w:t xml:space="preserve">Here you can introduce examples of zoonotic diseases from birds/chickens that most commonly affect </w:t>
      </w:r>
      <w:r w:rsidR="00103E9F" w:rsidRPr="00AD7DBE">
        <w:rPr>
          <w:highlight w:val="yellow"/>
        </w:rPr>
        <w:t>humans,</w:t>
      </w:r>
      <w:r w:rsidR="00BD1A15" w:rsidRPr="00AD7DBE">
        <w:rPr>
          <w:highlight w:val="yellow"/>
        </w:rPr>
        <w:t xml:space="preserve"> so the mention of Salmonella and e coli below doesn’t come out of nowhere.</w:t>
      </w:r>
    </w:p>
    <w:p w14:paraId="0045CBBB" w14:textId="04F91610" w:rsidR="00BD1A15" w:rsidRDefault="003C6DDD" w:rsidP="004E6E92">
      <w:r w:rsidRPr="003C6DDD">
        <w:t>Bird feeders aggregate wild birds at irregular densities, increasing both direct contact rates between individuals and fecal-oral transmission of bacterial pathogens among individuals and species (Becker and Hall 2014; Becker et al. 2015)</w:t>
      </w:r>
      <w:r w:rsidR="00A34970" w:rsidRPr="00A34970">
        <w:t>.</w:t>
      </w:r>
      <w:r w:rsidR="00EE5323">
        <w:t xml:space="preserve"> </w:t>
      </w:r>
      <w:r w:rsidR="00EE5323" w:rsidRPr="00AD7DBE">
        <w:rPr>
          <w:highlight w:val="yellow"/>
        </w:rPr>
        <w:t>Maybe an example here of a study that found higher bird densities at feeders and higher prevalence of disease?</w:t>
      </w:r>
      <w:r w:rsidR="00BD1A15" w:rsidRPr="00AD7DBE">
        <w:rPr>
          <w:highlight w:val="yellow"/>
        </w:rPr>
        <w:t xml:space="preserve"> And content about contact frequency that you have below in the last paragraph can go here as well.</w:t>
      </w:r>
    </w:p>
    <w:p w14:paraId="0D0A8DA3" w14:textId="66405F21" w:rsidR="004E6E92" w:rsidRDefault="00A34970" w:rsidP="004E6E92">
      <w:commentRangeStart w:id="0"/>
      <w:r w:rsidRPr="00A34970">
        <w:t xml:space="preserve">Backyard poultry can further compound this risk, as chickens </w:t>
      </w:r>
      <w:r>
        <w:t>are known</w:t>
      </w:r>
      <w:r w:rsidRPr="00A34970">
        <w:t xml:space="preserve"> reservoirs for </w:t>
      </w:r>
      <w:r w:rsidRPr="00A34970">
        <w:rPr>
          <w:i/>
          <w:iCs/>
        </w:rPr>
        <w:t>S. enterica</w:t>
      </w:r>
      <w:r w:rsidRPr="00A34970">
        <w:t xml:space="preserve"> and </w:t>
      </w:r>
      <w:r w:rsidRPr="00A34970">
        <w:rPr>
          <w:i/>
          <w:iCs/>
        </w:rPr>
        <w:t xml:space="preserve">E. </w:t>
      </w:r>
      <w:r w:rsidR="00AD7DBE" w:rsidRPr="00A34970">
        <w:rPr>
          <w:i/>
          <w:iCs/>
        </w:rPr>
        <w:t>coli</w:t>
      </w:r>
      <w:r w:rsidR="00AD7DBE" w:rsidRPr="00A34970">
        <w:t xml:space="preserve"> and</w:t>
      </w:r>
      <w:r>
        <w:t xml:space="preserve"> can</w:t>
      </w:r>
      <w:r w:rsidRPr="00A34970">
        <w:t xml:space="preserve"> amplify pathogen persistence in the environment </w:t>
      </w:r>
      <w:commentRangeEnd w:id="0"/>
      <w:r w:rsidR="00252460" w:rsidRPr="00A34970">
        <w:rPr>
          <w:rStyle w:val="CommentReference"/>
          <w:sz w:val="24"/>
          <w:szCs w:val="24"/>
        </w:rPr>
        <w:commentReference w:id="0"/>
      </w:r>
      <w:r w:rsidRPr="00A34970">
        <w:t xml:space="preserve">and </w:t>
      </w:r>
      <w:r>
        <w:t>allow for possible</w:t>
      </w:r>
      <w:r w:rsidRPr="00A34970">
        <w:t xml:space="preserve"> spillover to wild birds, humans, and other domestic animals (Larsen et al. 2022). Salmonellosis is responsible for hundreds of documented wild bird mortality events (Hall and Saito 2008) and has been linked to human illness through contact with contaminated feeders and wild songbirds (Patel et al. 202</w:t>
      </w:r>
      <w:r w:rsidR="004F319C">
        <w:t>1</w:t>
      </w:r>
      <w:r w:rsidRPr="00A34970">
        <w:t>)</w:t>
      </w:r>
      <w:r w:rsidR="00EE5323">
        <w:t>, as well as backyard poultry (CDC, 2025)</w:t>
      </w:r>
      <w:r w:rsidRPr="00A34970">
        <w:t>. The combined proximity of human dwellings, bird feeders, and chicken housing may render these interacting factors a concern for public and wildlife health.</w:t>
      </w:r>
      <w:r>
        <w:t xml:space="preserve"> </w:t>
      </w:r>
      <w:r w:rsidR="004E6E92">
        <w:br/>
      </w:r>
    </w:p>
    <w:p w14:paraId="11CDC03A" w14:textId="6B614114" w:rsidR="004E6E92" w:rsidRPr="00AD7DBE" w:rsidRDefault="004E6E92" w:rsidP="004E6E92">
      <w:pPr>
        <w:rPr>
          <w:color w:val="000000" w:themeColor="text1"/>
          <w:sz w:val="13"/>
          <w:szCs w:val="13"/>
        </w:rPr>
      </w:pPr>
      <w:r w:rsidRPr="00AD7DBE">
        <w:rPr>
          <w:color w:val="000000" w:themeColor="text1"/>
          <w:sz w:val="13"/>
          <w:szCs w:val="13"/>
        </w:rPr>
        <w:lastRenderedPageBreak/>
        <w:t>Sources:</w:t>
      </w:r>
      <w:r w:rsidRPr="00AD7DBE">
        <w:rPr>
          <w:color w:val="000000" w:themeColor="text1"/>
          <w:sz w:val="13"/>
          <w:szCs w:val="13"/>
        </w:rPr>
        <w:br/>
        <w:t xml:space="preserve">Becker, D. J., and R. J. Hall. 2014. Too much of a good thing: resource provisioning alters infectious disease dynamics in wildlife. </w:t>
      </w:r>
      <w:r w:rsidRPr="00AD7DBE">
        <w:rPr>
          <w:i/>
          <w:iCs/>
          <w:color w:val="000000" w:themeColor="text1"/>
          <w:sz w:val="13"/>
          <w:szCs w:val="13"/>
        </w:rPr>
        <w:t>Biology Letters</w:t>
      </w:r>
      <w:r w:rsidRPr="00AD7DBE">
        <w:rPr>
          <w:color w:val="000000" w:themeColor="text1"/>
          <w:sz w:val="13"/>
          <w:szCs w:val="13"/>
        </w:rPr>
        <w:t xml:space="preserve"> 10:20140309.</w:t>
      </w:r>
    </w:p>
    <w:p w14:paraId="1D541E1B" w14:textId="77777777" w:rsidR="004E6E92" w:rsidRDefault="004E6E92" w:rsidP="004E6E92">
      <w:pPr>
        <w:rPr>
          <w:color w:val="000000" w:themeColor="text1"/>
          <w:sz w:val="13"/>
          <w:szCs w:val="13"/>
        </w:rPr>
      </w:pPr>
      <w:r w:rsidRPr="00AD7DBE">
        <w:rPr>
          <w:color w:val="000000" w:themeColor="text1"/>
          <w:sz w:val="13"/>
          <w:szCs w:val="13"/>
        </w:rPr>
        <w:t xml:space="preserve">Becker, D. J., D. G. Streicker, and S. Altizer. 2015. Linking anthropogenic resources to wildlife-pathogen dynamics: a review and meta-analysis. </w:t>
      </w:r>
      <w:r w:rsidRPr="00AD7DBE">
        <w:rPr>
          <w:i/>
          <w:iCs/>
          <w:color w:val="000000" w:themeColor="text1"/>
          <w:sz w:val="13"/>
          <w:szCs w:val="13"/>
        </w:rPr>
        <w:t>Ecology Letters</w:t>
      </w:r>
      <w:r w:rsidRPr="00AD7DBE">
        <w:rPr>
          <w:color w:val="000000" w:themeColor="text1"/>
          <w:sz w:val="13"/>
          <w:szCs w:val="13"/>
        </w:rPr>
        <w:t xml:space="preserve"> 18:483–495.</w:t>
      </w:r>
    </w:p>
    <w:p w14:paraId="57BBB15A" w14:textId="61466AEA" w:rsidR="00EE5323" w:rsidRPr="00074CFA" w:rsidRDefault="00EE5323" w:rsidP="00AD7DBE">
      <w:pPr>
        <w:pStyle w:val="NormalWeb"/>
        <w:ind w:left="567" w:hanging="567"/>
      </w:pPr>
      <w:r w:rsidRPr="00AD7DBE">
        <w:rPr>
          <w:sz w:val="13"/>
          <w:szCs w:val="13"/>
        </w:rPr>
        <w:t xml:space="preserve">CDC. (2025, September 29). </w:t>
      </w:r>
      <w:r w:rsidRPr="00AD7DBE">
        <w:rPr>
          <w:i/>
          <w:iCs/>
          <w:sz w:val="13"/>
          <w:szCs w:val="13"/>
        </w:rPr>
        <w:t>Salmonella outbreaks linked to Backyard Poultry</w:t>
      </w:r>
      <w:r w:rsidRPr="00AD7DBE">
        <w:rPr>
          <w:sz w:val="13"/>
          <w:szCs w:val="13"/>
        </w:rPr>
        <w:t xml:space="preserve">. Salmonella Infection (Salmonellosis). https://www.cdc.gov/salmonella/outbreaks/mbandaka-05-01/ </w:t>
      </w:r>
    </w:p>
    <w:p w14:paraId="3F13ABA7" w14:textId="77777777" w:rsidR="004E6E92" w:rsidRPr="00AD7DBE" w:rsidRDefault="004E6E92" w:rsidP="004E6E92">
      <w:pPr>
        <w:rPr>
          <w:color w:val="000000" w:themeColor="text1"/>
          <w:sz w:val="13"/>
          <w:szCs w:val="13"/>
        </w:rPr>
      </w:pPr>
      <w:r w:rsidRPr="00AD7DBE">
        <w:rPr>
          <w:color w:val="000000" w:themeColor="text1"/>
          <w:sz w:val="13"/>
          <w:szCs w:val="13"/>
        </w:rPr>
        <w:t xml:space="preserve">Hall, A. J., and E. K. Saito. 2008. Avian wildlife mortality events due to salmonellosis in the United States, 1985–2004. </w:t>
      </w:r>
      <w:r w:rsidRPr="00AD7DBE">
        <w:rPr>
          <w:i/>
          <w:iCs/>
          <w:color w:val="000000" w:themeColor="text1"/>
          <w:sz w:val="13"/>
          <w:szCs w:val="13"/>
        </w:rPr>
        <w:t>Journal of Wildlife Diseases</w:t>
      </w:r>
      <w:r w:rsidRPr="00AD7DBE">
        <w:rPr>
          <w:color w:val="000000" w:themeColor="text1"/>
          <w:sz w:val="13"/>
          <w:szCs w:val="13"/>
        </w:rPr>
        <w:t xml:space="preserve"> 44:585–593.</w:t>
      </w:r>
    </w:p>
    <w:p w14:paraId="70AD0832" w14:textId="77777777" w:rsidR="004E6E92" w:rsidRPr="00AD7DBE" w:rsidRDefault="004E6E92" w:rsidP="004E6E92">
      <w:pPr>
        <w:rPr>
          <w:color w:val="000000" w:themeColor="text1"/>
          <w:sz w:val="13"/>
          <w:szCs w:val="13"/>
        </w:rPr>
      </w:pPr>
      <w:r w:rsidRPr="00AD7DBE">
        <w:rPr>
          <w:color w:val="000000" w:themeColor="text1"/>
          <w:sz w:val="13"/>
          <w:szCs w:val="13"/>
        </w:rPr>
        <w:t xml:space="preserve">Jones, K. E., N. G. Patel, M. A. Levy, A. Storeygard, D. Balk, J. L. Gittleman, and P. Daszak. 2008. Global trends in emerging infectious diseases. </w:t>
      </w:r>
      <w:r w:rsidRPr="00AD7DBE">
        <w:rPr>
          <w:i/>
          <w:iCs/>
          <w:color w:val="000000" w:themeColor="text1"/>
          <w:sz w:val="13"/>
          <w:szCs w:val="13"/>
        </w:rPr>
        <w:t>Nature</w:t>
      </w:r>
      <w:r w:rsidRPr="00AD7DBE">
        <w:rPr>
          <w:color w:val="000000" w:themeColor="text1"/>
          <w:sz w:val="13"/>
          <w:szCs w:val="13"/>
        </w:rPr>
        <w:t xml:space="preserve"> 451:990–993.</w:t>
      </w:r>
    </w:p>
    <w:p w14:paraId="4CFB27CB" w14:textId="77777777" w:rsidR="004E6E92" w:rsidRPr="004E6E92" w:rsidRDefault="004E6E92" w:rsidP="004E6E92">
      <w:pPr>
        <w:rPr>
          <w:color w:val="000000" w:themeColor="text1"/>
          <w:sz w:val="13"/>
          <w:szCs w:val="13"/>
        </w:rPr>
      </w:pPr>
      <w:r w:rsidRPr="004E6E92">
        <w:rPr>
          <w:color w:val="000000" w:themeColor="text1"/>
          <w:sz w:val="13"/>
          <w:szCs w:val="13"/>
        </w:rPr>
        <w:t xml:space="preserve">Larsen, K. M., DeCicco, M., Hood, K., &amp; Etter, A. J. (2022). Salmonella enterica frequency in backyard chickens in Vermont and biosecurity knowledge and practices of owners. </w:t>
      </w:r>
      <w:r w:rsidRPr="004E6E92">
        <w:rPr>
          <w:i/>
          <w:iCs/>
          <w:color w:val="000000" w:themeColor="text1"/>
          <w:sz w:val="13"/>
          <w:szCs w:val="13"/>
        </w:rPr>
        <w:t>Frontiers in Veterinary Science</w:t>
      </w:r>
      <w:r w:rsidRPr="004E6E92">
        <w:rPr>
          <w:color w:val="000000" w:themeColor="text1"/>
          <w:sz w:val="13"/>
          <w:szCs w:val="13"/>
        </w:rPr>
        <w:t xml:space="preserve">, </w:t>
      </w:r>
      <w:r w:rsidRPr="004E6E92">
        <w:rPr>
          <w:i/>
          <w:iCs/>
          <w:color w:val="000000" w:themeColor="text1"/>
          <w:sz w:val="13"/>
          <w:szCs w:val="13"/>
        </w:rPr>
        <w:t>9</w:t>
      </w:r>
      <w:r w:rsidRPr="004E6E92">
        <w:rPr>
          <w:color w:val="000000" w:themeColor="text1"/>
          <w:sz w:val="13"/>
          <w:szCs w:val="13"/>
        </w:rPr>
        <w:t>, 979548. https://doi.org/10.3389/fvets.2022.979548</w:t>
      </w:r>
    </w:p>
    <w:p w14:paraId="00E2FDF0" w14:textId="0583AC46" w:rsidR="00933CD8" w:rsidRPr="00AD7DBE" w:rsidRDefault="007B10F3">
      <w:pPr>
        <w:rPr>
          <w:color w:val="000000" w:themeColor="text1"/>
          <w:sz w:val="13"/>
          <w:szCs w:val="13"/>
        </w:rPr>
      </w:pPr>
      <w:r w:rsidRPr="007B10F3">
        <w:rPr>
          <w:color w:val="000000" w:themeColor="text1"/>
          <w:sz w:val="13"/>
          <w:szCs w:val="13"/>
        </w:rPr>
        <w:t xml:space="preserve">Patel, K., Stapleton, G. S., Trevejo, R. T., Tellier, W. T., Higa, J., Adams, J. K., Hernandez, S. M., Sanchez, S., Nemeth, N. M., Debess, E. E., Rogers, K. H., Mete, A., Watson, K. D., Foss, L., Low, M. S. F., Gollarza, L., &amp; Nichols, M. (2023). Human Salmonellosis Outbreak Linked to </w:t>
      </w:r>
      <w:r w:rsidRPr="007B10F3">
        <w:rPr>
          <w:i/>
          <w:iCs/>
          <w:color w:val="000000" w:themeColor="text1"/>
          <w:sz w:val="13"/>
          <w:szCs w:val="13"/>
        </w:rPr>
        <w:t>Salmonella</w:t>
      </w:r>
      <w:r w:rsidRPr="007B10F3">
        <w:rPr>
          <w:color w:val="000000" w:themeColor="text1"/>
          <w:sz w:val="13"/>
          <w:szCs w:val="13"/>
        </w:rPr>
        <w:t xml:space="preserve"> Typhimurium Epidemic in Wild Songbirds, United States, 2020–2021. </w:t>
      </w:r>
      <w:r w:rsidRPr="007B10F3">
        <w:rPr>
          <w:i/>
          <w:iCs/>
          <w:color w:val="000000" w:themeColor="text1"/>
          <w:sz w:val="13"/>
          <w:szCs w:val="13"/>
        </w:rPr>
        <w:t>Emerging Infectious Diseases</w:t>
      </w:r>
      <w:r w:rsidRPr="007B10F3">
        <w:rPr>
          <w:color w:val="000000" w:themeColor="text1"/>
          <w:sz w:val="13"/>
          <w:szCs w:val="13"/>
        </w:rPr>
        <w:t xml:space="preserve">, </w:t>
      </w:r>
      <w:r w:rsidRPr="007B10F3">
        <w:rPr>
          <w:i/>
          <w:iCs/>
          <w:color w:val="000000" w:themeColor="text1"/>
          <w:sz w:val="13"/>
          <w:szCs w:val="13"/>
        </w:rPr>
        <w:t>29</w:t>
      </w:r>
      <w:r w:rsidRPr="007B10F3">
        <w:rPr>
          <w:color w:val="000000" w:themeColor="text1"/>
          <w:sz w:val="13"/>
          <w:szCs w:val="13"/>
        </w:rPr>
        <w:t xml:space="preserve">(11). </w:t>
      </w:r>
      <w:hyperlink r:id="rId13" w:history="1">
        <w:r w:rsidR="00933CD8" w:rsidRPr="00E54DC3">
          <w:rPr>
            <w:rStyle w:val="Hyperlink"/>
            <w:sz w:val="13"/>
            <w:szCs w:val="13"/>
          </w:rPr>
          <w:t>https://doi.org/10.3201/eid2911.230332</w:t>
        </w:r>
      </w:hyperlink>
      <w:r w:rsidR="00933CD8">
        <w:rPr>
          <w:color w:val="000000" w:themeColor="text1"/>
          <w:sz w:val="13"/>
          <w:szCs w:val="13"/>
        </w:rPr>
        <w:br/>
      </w:r>
    </w:p>
    <w:p w14:paraId="6DD159D2" w14:textId="77777777" w:rsidR="00A34970" w:rsidRDefault="00A34970"/>
    <w:p w14:paraId="78741C40" w14:textId="2390A4B5" w:rsidR="00802F39" w:rsidRDefault="004975A6" w:rsidP="004975A6">
      <w:r w:rsidRPr="00E30DE2">
        <w:rPr>
          <w:b/>
          <w:bCs/>
        </w:rPr>
        <w:t>P3:</w:t>
      </w:r>
    </w:p>
    <w:p w14:paraId="07A6DAA9" w14:textId="4E8E6B60" w:rsidR="00802F39" w:rsidRDefault="00252460" w:rsidP="007B10F3">
      <w:pPr>
        <w:rPr>
          <w:sz w:val="13"/>
          <w:szCs w:val="13"/>
        </w:rPr>
      </w:pPr>
      <w:r>
        <w:t>These b</w:t>
      </w:r>
      <w:r w:rsidR="007B10F3">
        <w:t xml:space="preserve">ackyard activities are often carried out in private settings where disease knowledge is </w:t>
      </w:r>
      <w:r w:rsidR="00AD7DBE">
        <w:t>limited,</w:t>
      </w:r>
      <w:r w:rsidR="007B10F3">
        <w:t xml:space="preserve"> and formal safety guidelines are absent. Real-world outbreak data highlight this gap: the 2020–2021 multi-state </w:t>
      </w:r>
      <w:r w:rsidR="007B10F3">
        <w:rPr>
          <w:rStyle w:val="Emphasis"/>
        </w:rPr>
        <w:t>Salmonella</w:t>
      </w:r>
      <w:r w:rsidR="007B10F3">
        <w:t xml:space="preserve"> Typhimurium outbreak linked to wild songbirds at residential feeders resulted in 29 confirmed human cases and 14 hospitalizations across the United States (Patel et al. 202</w:t>
      </w:r>
      <w:r w:rsidR="004F319C">
        <w:t>1</w:t>
      </w:r>
      <w:r w:rsidR="007B10F3">
        <w:t xml:space="preserve">; CDC 2021). Animal-contact related nontyphoidal </w:t>
      </w:r>
      <w:r w:rsidR="007B10F3">
        <w:rPr>
          <w:rStyle w:val="Emphasis"/>
        </w:rPr>
        <w:t>Salmonella</w:t>
      </w:r>
      <w:r w:rsidR="007B10F3">
        <w:t xml:space="preserve"> outbreaks have increased in frequency over recent decades, with backyard poultry and wild birds among the most affected sources (Bajwa et al. 2025). Despite th</w:t>
      </w:r>
      <w:r w:rsidR="004F319C">
        <w:t>is knowledge</w:t>
      </w:r>
      <w:r w:rsidR="007B10F3">
        <w:t xml:space="preserve">, studies of small-scale poultry keepers have found that disease risk is generally perceived as low, biosecurity practices vary, and precautions such as isolating new birds, using protective </w:t>
      </w:r>
      <w:r w:rsidR="004F319C">
        <w:t>equipment</w:t>
      </w:r>
      <w:r w:rsidR="007B10F3">
        <w:t xml:space="preserve">, or disinfecting are rarely observed (Kyle and Sutherland 2016). </w:t>
      </w:r>
      <w:r w:rsidR="004F319C">
        <w:t xml:space="preserve">Other </w:t>
      </w:r>
      <w:r w:rsidR="007B10F3">
        <w:t xml:space="preserve">surveys of backyard poultry owners in the United States have </w:t>
      </w:r>
      <w:r w:rsidR="004F319C">
        <w:t>shown</w:t>
      </w:r>
      <w:r w:rsidR="007B10F3">
        <w:t xml:space="preserve"> </w:t>
      </w:r>
      <w:r w:rsidR="004F319C">
        <w:t xml:space="preserve">that </w:t>
      </w:r>
      <w:r w:rsidR="007B10F3">
        <w:t xml:space="preserve">most participants were familiar with avian influenza, </w:t>
      </w:r>
      <w:r w:rsidR="004F319C">
        <w:t xml:space="preserve">but </w:t>
      </w:r>
      <w:r w:rsidR="007B10F3">
        <w:t xml:space="preserve">awareness of </w:t>
      </w:r>
      <w:r w:rsidR="007B10F3">
        <w:rPr>
          <w:rStyle w:val="Emphasis"/>
        </w:rPr>
        <w:t>Salmonella</w:t>
      </w:r>
      <w:r w:rsidR="007B10F3">
        <w:t xml:space="preserve"> and other pathogens was considerably lower, and the majority reported allowing visitors access to their animals with no biosecurity precautions required (Nicholson et al. 2020). </w:t>
      </w:r>
      <w:r w:rsidR="004F319C">
        <w:t>Additionally,</w:t>
      </w:r>
      <w:r w:rsidR="007B10F3">
        <w:t xml:space="preserve"> residential settings receive little outreach or oversight, and </w:t>
      </w:r>
      <w:r w:rsidR="004F319C">
        <w:t>current studies may</w:t>
      </w:r>
      <w:r w:rsidR="007B10F3">
        <w:t xml:space="preserve"> suggest that targeted education and risk mitigation practices can </w:t>
      </w:r>
      <w:r w:rsidR="004F319C">
        <w:t>significantly</w:t>
      </w:r>
      <w:r w:rsidR="007B10F3">
        <w:t xml:space="preserve"> reduce pathogen detection and contact rates at small-scale animal-keeping sites (Marín-Rojo et al. 2025; Kyle and Sutherland 2016). </w:t>
      </w:r>
      <w:r w:rsidR="00912EFB" w:rsidRPr="00912EFB">
        <w:t xml:space="preserve">How those who participate in bird feeding respond to these same risks remains poorly documented, and understanding these responses is critical for evaluating the trade-offs between </w:t>
      </w:r>
      <w:r>
        <w:t xml:space="preserve">the potential risks </w:t>
      </w:r>
      <w:r w:rsidR="00912EFB" w:rsidRPr="00912EFB">
        <w:t xml:space="preserve">and </w:t>
      </w:r>
      <w:r>
        <w:t>benefits</w:t>
      </w:r>
      <w:r w:rsidR="00912EFB" w:rsidRPr="00912EFB">
        <w:t xml:space="preserve"> that define these activities.</w:t>
      </w:r>
      <w:r w:rsidR="00912EFB">
        <w:t xml:space="preserve"> </w:t>
      </w:r>
      <w:r w:rsidR="00912EFB">
        <w:br/>
      </w:r>
      <w:r w:rsidR="00912EFB">
        <w:br/>
      </w:r>
    </w:p>
    <w:p w14:paraId="47E98E90" w14:textId="77777777" w:rsidR="00802F39" w:rsidRDefault="00802F39" w:rsidP="007B10F3">
      <w:pPr>
        <w:rPr>
          <w:sz w:val="13"/>
          <w:szCs w:val="13"/>
        </w:rPr>
      </w:pPr>
      <w:r>
        <w:rPr>
          <w:sz w:val="13"/>
          <w:szCs w:val="13"/>
        </w:rPr>
        <w:t>Sources:</w:t>
      </w:r>
    </w:p>
    <w:p w14:paraId="2080C4F1" w14:textId="1FF9A988" w:rsidR="007B10F3" w:rsidRPr="00AD7DBE" w:rsidRDefault="007B10F3" w:rsidP="007B10F3">
      <w:pPr>
        <w:rPr>
          <w:sz w:val="13"/>
          <w:szCs w:val="13"/>
        </w:rPr>
      </w:pPr>
      <w:r w:rsidRPr="00AD7DBE">
        <w:rPr>
          <w:sz w:val="13"/>
          <w:szCs w:val="13"/>
        </w:rPr>
        <w:t xml:space="preserve">Bajwa, H. U. R., Bhowmick, S., &amp; Varga, C. (2025). Temporal trends and source attribution of animal-contact related human nontyphoidal Salmonella enterica outbreaks across the United States, 2009–2022. </w:t>
      </w:r>
      <w:r w:rsidRPr="00AD7DBE">
        <w:rPr>
          <w:i/>
          <w:iCs/>
          <w:sz w:val="13"/>
          <w:szCs w:val="13"/>
        </w:rPr>
        <w:t>Annals of Epidemiology</w:t>
      </w:r>
      <w:r w:rsidRPr="00AD7DBE">
        <w:rPr>
          <w:sz w:val="13"/>
          <w:szCs w:val="13"/>
        </w:rPr>
        <w:t xml:space="preserve">, </w:t>
      </w:r>
      <w:r w:rsidRPr="00AD7DBE">
        <w:rPr>
          <w:i/>
          <w:iCs/>
          <w:sz w:val="13"/>
          <w:szCs w:val="13"/>
        </w:rPr>
        <w:t>111</w:t>
      </w:r>
      <w:r w:rsidRPr="00AD7DBE">
        <w:rPr>
          <w:sz w:val="13"/>
          <w:szCs w:val="13"/>
        </w:rPr>
        <w:t xml:space="preserve">, 168–174. </w:t>
      </w:r>
      <w:hyperlink r:id="rId14" w:history="1">
        <w:r w:rsidRPr="00AD7DBE">
          <w:rPr>
            <w:rStyle w:val="Hyperlink"/>
            <w:sz w:val="13"/>
            <w:szCs w:val="13"/>
          </w:rPr>
          <w:t>https://doi.org/10.1016/j.annepidem.2025.10.008</w:t>
        </w:r>
      </w:hyperlink>
    </w:p>
    <w:p w14:paraId="03CFFFCF" w14:textId="77777777" w:rsidR="00074CFA" w:rsidRDefault="007B10F3" w:rsidP="007B10F3">
      <w:pPr>
        <w:rPr>
          <w:sz w:val="13"/>
          <w:szCs w:val="13"/>
        </w:rPr>
      </w:pPr>
      <w:r w:rsidRPr="00AD7DBE">
        <w:rPr>
          <w:i/>
          <w:iCs/>
          <w:sz w:val="13"/>
          <w:szCs w:val="13"/>
        </w:rPr>
        <w:lastRenderedPageBreak/>
        <w:t>2021 Salmonella Outbreak Linked to Wild Songbirds—Investigation Details | Salmonella Outbreak Linked to Wild Songbirds | CDC</w:t>
      </w:r>
      <w:r w:rsidRPr="00AD7DBE">
        <w:rPr>
          <w:sz w:val="13"/>
          <w:szCs w:val="13"/>
        </w:rPr>
        <w:t>. (2021).</w:t>
      </w:r>
      <w:r w:rsidRPr="00AD7DBE">
        <w:rPr>
          <w:sz w:val="13"/>
          <w:szCs w:val="13"/>
        </w:rPr>
        <w:br/>
      </w:r>
    </w:p>
    <w:p w14:paraId="0B0882FD" w14:textId="794915A3" w:rsidR="007B10F3" w:rsidRPr="00AD7DBE" w:rsidRDefault="007B10F3" w:rsidP="007B10F3">
      <w:pPr>
        <w:rPr>
          <w:sz w:val="13"/>
          <w:szCs w:val="13"/>
        </w:rPr>
      </w:pPr>
      <w:r w:rsidRPr="00AD7DBE">
        <w:rPr>
          <w:sz w:val="13"/>
          <w:szCs w:val="13"/>
        </w:rPr>
        <w:t xml:space="preserve">Kyle, Carol, and Lee-Ann Sutherland. </w:t>
      </w:r>
      <w:r w:rsidRPr="00AD7DBE">
        <w:rPr>
          <w:i/>
          <w:iCs/>
          <w:sz w:val="13"/>
          <w:szCs w:val="13"/>
        </w:rPr>
        <w:t>Understanding Backyard Poultry Keepers and Their Attitudes to Biosecurity</w:t>
      </w:r>
      <w:r w:rsidRPr="00AD7DBE">
        <w:rPr>
          <w:sz w:val="13"/>
          <w:szCs w:val="13"/>
        </w:rPr>
        <w:t>. n.d.</w:t>
      </w:r>
    </w:p>
    <w:p w14:paraId="713363B8" w14:textId="77777777" w:rsidR="004F319C" w:rsidRPr="00AD7DBE" w:rsidRDefault="004F319C" w:rsidP="004F319C">
      <w:pPr>
        <w:rPr>
          <w:sz w:val="13"/>
          <w:szCs w:val="13"/>
        </w:rPr>
      </w:pPr>
      <w:r w:rsidRPr="00AD7DBE">
        <w:rPr>
          <w:sz w:val="13"/>
          <w:szCs w:val="13"/>
        </w:rPr>
        <w:t xml:space="preserve">Marín-Rojo, Ángela, Gloria Herrero-García, Carmen Herranz-Benito, et al. “Wildlife Risk Mitigation Protocols Reduce Risk Species Visits and Pathogen Marker Detection in Open-Air Farms.” </w:t>
      </w:r>
      <w:r w:rsidRPr="00AD7DBE">
        <w:rPr>
          <w:i/>
          <w:iCs/>
          <w:sz w:val="13"/>
          <w:szCs w:val="13"/>
        </w:rPr>
        <w:t>Veterinary Research</w:t>
      </w:r>
      <w:r w:rsidRPr="00AD7DBE">
        <w:rPr>
          <w:sz w:val="13"/>
          <w:szCs w:val="13"/>
        </w:rPr>
        <w:t xml:space="preserve"> 56, no. 1 (2025): 237. </w:t>
      </w:r>
      <w:hyperlink r:id="rId15" w:history="1">
        <w:r w:rsidRPr="00AD7DBE">
          <w:rPr>
            <w:rStyle w:val="Hyperlink"/>
            <w:sz w:val="13"/>
            <w:szCs w:val="13"/>
          </w:rPr>
          <w:t>https://doi.org/10.1186/s13567-025-01671-0</w:t>
        </w:r>
      </w:hyperlink>
      <w:r w:rsidRPr="00AD7DBE">
        <w:rPr>
          <w:sz w:val="13"/>
          <w:szCs w:val="13"/>
        </w:rPr>
        <w:t>.</w:t>
      </w:r>
    </w:p>
    <w:p w14:paraId="1FC67DC4" w14:textId="77777777" w:rsidR="004F319C" w:rsidRPr="00AD7DBE" w:rsidRDefault="004F319C" w:rsidP="004F319C">
      <w:pPr>
        <w:rPr>
          <w:sz w:val="13"/>
          <w:szCs w:val="13"/>
        </w:rPr>
      </w:pPr>
      <w:r w:rsidRPr="00AD7DBE">
        <w:rPr>
          <w:sz w:val="13"/>
          <w:szCs w:val="13"/>
        </w:rPr>
        <w:t xml:space="preserve">Nicholson, Chrislyn Wood, Enzo R. Campagnolo, Sameh W. Boktor, and Christina L. Butler. “Zoonotic Disease Awareness Survey of Backyard Poultry and Swine Owners in Southcentral Pennsylvania.” </w:t>
      </w:r>
      <w:r w:rsidRPr="00AD7DBE">
        <w:rPr>
          <w:i/>
          <w:iCs/>
          <w:sz w:val="13"/>
          <w:szCs w:val="13"/>
        </w:rPr>
        <w:t>Zoonoses and Public Health</w:t>
      </w:r>
      <w:r w:rsidRPr="00AD7DBE">
        <w:rPr>
          <w:sz w:val="13"/>
          <w:szCs w:val="13"/>
        </w:rPr>
        <w:t xml:space="preserve"> 67, no. 3 (2020): 280–90. </w:t>
      </w:r>
      <w:hyperlink r:id="rId16" w:history="1">
        <w:r w:rsidRPr="00AD7DBE">
          <w:rPr>
            <w:rStyle w:val="Hyperlink"/>
            <w:sz w:val="13"/>
            <w:szCs w:val="13"/>
          </w:rPr>
          <w:t>https://doi.org/10.1111/zph.12686</w:t>
        </w:r>
      </w:hyperlink>
      <w:r w:rsidRPr="00AD7DBE">
        <w:rPr>
          <w:sz w:val="13"/>
          <w:szCs w:val="13"/>
        </w:rPr>
        <w:t>.</w:t>
      </w:r>
    </w:p>
    <w:p w14:paraId="4CAF1BF8" w14:textId="77777777" w:rsidR="007B10F3" w:rsidRPr="007B10F3" w:rsidRDefault="007B10F3" w:rsidP="007B10F3">
      <w:pPr>
        <w:rPr>
          <w:sz w:val="20"/>
          <w:szCs w:val="20"/>
        </w:rPr>
      </w:pPr>
    </w:p>
    <w:p w14:paraId="3A334931" w14:textId="6095CD32" w:rsidR="007B10F3" w:rsidRPr="007B10F3" w:rsidRDefault="007B10F3" w:rsidP="007B10F3">
      <w:pPr>
        <w:rPr>
          <w:sz w:val="20"/>
          <w:szCs w:val="20"/>
        </w:rPr>
      </w:pPr>
    </w:p>
    <w:p w14:paraId="2C3B6704" w14:textId="5C8BA6AE" w:rsidR="007B10F3" w:rsidRPr="00AD7DBE" w:rsidRDefault="007B10F3" w:rsidP="007B10F3">
      <w:pPr>
        <w:rPr>
          <w:sz w:val="20"/>
          <w:szCs w:val="20"/>
        </w:rPr>
      </w:pPr>
    </w:p>
    <w:p w14:paraId="0156863A" w14:textId="6BCBF3DA" w:rsidR="0032632E" w:rsidRDefault="0032632E"/>
    <w:p w14:paraId="714FAC0B" w14:textId="2FB37DB6" w:rsidR="00882AB9" w:rsidRPr="00AD7DBE" w:rsidRDefault="0032632E" w:rsidP="003C6DDD">
      <w:pPr>
        <w:ind w:hanging="480"/>
        <w:rPr>
          <w:sz w:val="13"/>
          <w:szCs w:val="13"/>
        </w:rPr>
      </w:pPr>
      <w:r w:rsidRPr="00E30DE2">
        <w:rPr>
          <w:b/>
          <w:bCs/>
        </w:rPr>
        <w:t>P4:</w:t>
      </w:r>
      <w:r>
        <w:br/>
      </w:r>
      <w:r w:rsidR="00BD1A15">
        <w:t>T</w:t>
      </w:r>
      <w:r w:rsidR="00462E21">
        <w:t>he risk of disease spillover through</w:t>
      </w:r>
      <w:r w:rsidR="00850136" w:rsidRPr="00850136">
        <w:t xml:space="preserve"> bird feeding and backyard poultry keeping </w:t>
      </w:r>
      <w:r w:rsidR="00462E21">
        <w:t xml:space="preserve">is potentially balanced by the </w:t>
      </w:r>
      <w:r w:rsidR="00850136" w:rsidRPr="00850136">
        <w:t xml:space="preserve">benefits for the people who </w:t>
      </w:r>
      <w:r w:rsidR="00850136">
        <w:t>participate</w:t>
      </w:r>
      <w:r w:rsidR="00850136" w:rsidRPr="00850136">
        <w:t xml:space="preserve">. </w:t>
      </w:r>
      <w:r w:rsidR="00850136">
        <w:t>Current research</w:t>
      </w:r>
      <w:r w:rsidR="00850136" w:rsidRPr="00850136">
        <w:t xml:space="preserve"> has shown that interacting with birds and nature </w:t>
      </w:r>
      <w:r w:rsidR="00850136">
        <w:t xml:space="preserve">can strengthen </w:t>
      </w:r>
      <w:r w:rsidR="00850136" w:rsidRPr="00850136">
        <w:t>mental health</w:t>
      </w:r>
      <w:r w:rsidR="00462E21">
        <w:t xml:space="preserve"> through e</w:t>
      </w:r>
      <w:r w:rsidR="00850136">
        <w:t>ffects</w:t>
      </w:r>
      <w:r w:rsidR="00850136" w:rsidRPr="00850136">
        <w:t xml:space="preserve"> like reduced stress and anxiety, improved mood, cognitive restoration, and feelings of connection to the natural world </w:t>
      </w:r>
      <w:r w:rsidR="00802F39" w:rsidRPr="00802F39">
        <w:t>(Cox and Gaston 2016; Pocock et al. 2023</w:t>
      </w:r>
      <w:r w:rsidR="009410EE" w:rsidRPr="00802F39">
        <w:t>)</w:t>
      </w:r>
      <w:r w:rsidR="009410EE" w:rsidRPr="00802F39" w:rsidDel="00802F39">
        <w:t>.</w:t>
      </w:r>
      <w:r w:rsidR="00850136">
        <w:t xml:space="preserve"> </w:t>
      </w:r>
      <w:r w:rsidR="00850136" w:rsidRPr="00850136">
        <w:t xml:space="preserve">For many </w:t>
      </w:r>
      <w:r w:rsidR="00462E21" w:rsidRPr="00850136">
        <w:t>p</w:t>
      </w:r>
      <w:r w:rsidR="00462E21">
        <w:t>eople</w:t>
      </w:r>
      <w:r w:rsidR="00850136" w:rsidRPr="00850136">
        <w:t xml:space="preserve">, maintaining a bird feeder </w:t>
      </w:r>
      <w:r w:rsidR="00850136">
        <w:t xml:space="preserve">provides </w:t>
      </w:r>
      <w:r w:rsidR="00462E21">
        <w:t>the only</w:t>
      </w:r>
      <w:r w:rsidR="00850136" w:rsidRPr="00850136">
        <w:t xml:space="preserve"> daily form of accessible, low-cost </w:t>
      </w:r>
      <w:r w:rsidR="00850136">
        <w:t>interaction</w:t>
      </w:r>
      <w:r w:rsidR="00850136" w:rsidRPr="00850136">
        <w:t xml:space="preserve"> with wildlife. Studies have found that even brief</w:t>
      </w:r>
      <w:r w:rsidR="00850136">
        <w:t xml:space="preserve"> </w:t>
      </w:r>
      <w:r w:rsidR="00850136" w:rsidRPr="00850136">
        <w:t xml:space="preserve">exposure to birds in residential settings contributes positively to personal wellbeing, consistent with broader </w:t>
      </w:r>
      <w:r w:rsidR="00850136">
        <w:t>studies</w:t>
      </w:r>
      <w:r w:rsidR="00850136" w:rsidRPr="00850136">
        <w:t xml:space="preserve"> linking nature contact to psychological </w:t>
      </w:r>
      <w:r w:rsidR="00850136">
        <w:t>relief</w:t>
      </w:r>
      <w:r w:rsidR="00850136" w:rsidRPr="00850136">
        <w:t xml:space="preserve"> and stress recovery </w:t>
      </w:r>
      <w:r w:rsidR="00882AB9">
        <w:t>(Dayer et al. 2019</w:t>
      </w:r>
      <w:r w:rsidR="009410EE">
        <w:t>)</w:t>
      </w:r>
      <w:r w:rsidR="009410EE" w:rsidRPr="00850136" w:rsidDel="00882AB9">
        <w:t>.</w:t>
      </w:r>
      <w:r w:rsidR="00850136" w:rsidRPr="00850136">
        <w:t xml:space="preserve"> Small-scale poultry keeping is similarly associated with feelings of self-sufficiency, fulfillment, and stewardship, particularly among urban and suburban residents seeking engagement with food systems and animal care </w:t>
      </w:r>
      <w:r w:rsidR="00882AB9" w:rsidRPr="00882AB9">
        <w:t>(Kyle and Sutherland 2016; Nicholson et al. 2020</w:t>
      </w:r>
      <w:r w:rsidR="009410EE" w:rsidRPr="00882AB9">
        <w:t>)</w:t>
      </w:r>
      <w:r w:rsidR="009410EE" w:rsidRPr="00882AB9" w:rsidDel="00882AB9">
        <w:t>.</w:t>
      </w:r>
      <w:r w:rsidR="00850136" w:rsidRPr="00850136">
        <w:t xml:space="preserve"> </w:t>
      </w:r>
      <w:r w:rsidR="003C6DDD" w:rsidRPr="003C6DDD">
        <w:t xml:space="preserve">Households with children may additionally benefit from the educational value of these activities by incorporating an early interest in wildlife, ecology, and sustainable food production. </w:t>
      </w:r>
      <w:r w:rsidR="003C6DDD">
        <w:t>E</w:t>
      </w:r>
      <w:r w:rsidR="003C6DDD" w:rsidRPr="003C6DDD">
        <w:t xml:space="preserve">ngagement with backyard wildlife activities may also </w:t>
      </w:r>
      <w:r w:rsidR="003C6DDD">
        <w:t>go</w:t>
      </w:r>
      <w:r w:rsidR="003C6DDD" w:rsidRPr="003C6DDD">
        <w:t xml:space="preserve"> beyond personal </w:t>
      </w:r>
      <w:r w:rsidR="003C6DDD">
        <w:t>satisfaction</w:t>
      </w:r>
      <w:r w:rsidR="003C6DDD" w:rsidRPr="003C6DDD">
        <w:t xml:space="preserve"> to encourage broader conservation behaviors. Research has shown that people who feed and observe birds are more likely to engage in pro-conservation actions such as habitat stewardship, conservation donations, and advocacy for wildlife-friendly policies, suggesting that these activities may </w:t>
      </w:r>
      <w:r w:rsidR="003C6DDD">
        <w:t>provide a link</w:t>
      </w:r>
      <w:r w:rsidR="003C6DDD" w:rsidRPr="003C6DDD">
        <w:t xml:space="preserve"> to broader environmental </w:t>
      </w:r>
      <w:r w:rsidR="003C6DDD">
        <w:t>stewardship</w:t>
      </w:r>
      <w:r w:rsidR="003C6DDD" w:rsidRPr="003C6DDD">
        <w:t xml:space="preserve"> (Dayer et al. 2019; Pocock et al. 2023; Barbett et al. 2020). Understanding the conservation attitudes of </w:t>
      </w:r>
      <w:r w:rsidR="00BD1A15">
        <w:t xml:space="preserve">participants in these </w:t>
      </w:r>
      <w:r w:rsidR="003C6DDD" w:rsidRPr="003C6DDD">
        <w:t xml:space="preserve">backyard </w:t>
      </w:r>
      <w:r w:rsidR="00BD1A15">
        <w:t>activities</w:t>
      </w:r>
      <w:r w:rsidR="003C6DDD" w:rsidRPr="003C6DDD">
        <w:t xml:space="preserve"> </w:t>
      </w:r>
      <w:r w:rsidR="00BD1A15">
        <w:t>will</w:t>
      </w:r>
      <w:r w:rsidR="003C6DDD">
        <w:t xml:space="preserve"> be</w:t>
      </w:r>
      <w:r w:rsidR="003C6DDD" w:rsidRPr="003C6DDD">
        <w:t xml:space="preserve"> valuable for </w:t>
      </w:r>
      <w:r w:rsidR="003C6DDD">
        <w:t>finding</w:t>
      </w:r>
      <w:r w:rsidR="003C6DDD" w:rsidRPr="003C6DDD">
        <w:t xml:space="preserve"> opportunities to promote evidence-based</w:t>
      </w:r>
      <w:r w:rsidR="00127B8C">
        <w:t xml:space="preserve"> biosecurity </w:t>
      </w:r>
      <w:r w:rsidR="00DC04DF">
        <w:t>practicing guidelines to the</w:t>
      </w:r>
      <w:r w:rsidR="003C6DDD" w:rsidRPr="003C6DDD">
        <w:t xml:space="preserve"> public. The psychological and conservation benefits of backyard wildlife activities </w:t>
      </w:r>
      <w:r w:rsidR="00DC04DF">
        <w:t>are important factors</w:t>
      </w:r>
      <w:r w:rsidR="003C6DDD" w:rsidRPr="003C6DDD">
        <w:t xml:space="preserve"> that must be </w:t>
      </w:r>
      <w:r w:rsidR="00DC04DF">
        <w:t>weighed</w:t>
      </w:r>
      <w:r w:rsidR="003C6DDD" w:rsidRPr="003C6DDD">
        <w:t xml:space="preserve"> </w:t>
      </w:r>
      <w:r w:rsidR="00DC04DF">
        <w:t>parallel to</w:t>
      </w:r>
      <w:r w:rsidR="003C6DDD" w:rsidRPr="003C6DDD">
        <w:t xml:space="preserve"> any </w:t>
      </w:r>
      <w:r w:rsidR="00DC04DF">
        <w:t>relevant</w:t>
      </w:r>
      <w:r w:rsidR="003C6DDD" w:rsidRPr="003C6DDD">
        <w:t xml:space="preserve"> risks to health, wildlife, and environment</w:t>
      </w:r>
      <w:r w:rsidR="00DC04DF">
        <w:t xml:space="preserve"> when discussing </w:t>
      </w:r>
      <w:r w:rsidR="0011092A">
        <w:t>activities</w:t>
      </w:r>
      <w:r w:rsidR="00DC04DF">
        <w:t xml:space="preserve"> such as bird feeding and </w:t>
      </w:r>
      <w:r w:rsidR="00AD7DBE">
        <w:t>small-scale</w:t>
      </w:r>
      <w:r w:rsidR="00DC04DF">
        <w:t xml:space="preserve"> poultry. </w:t>
      </w:r>
      <w:r w:rsidR="00802F39">
        <w:br/>
      </w:r>
      <w:r w:rsidR="00802F39">
        <w:br/>
      </w:r>
      <w:r w:rsidR="00802F39" w:rsidRPr="00AD7DBE">
        <w:rPr>
          <w:sz w:val="13"/>
          <w:szCs w:val="13"/>
        </w:rPr>
        <w:t>Sources:</w:t>
      </w:r>
      <w:r w:rsidR="00802F39" w:rsidRPr="00AD7DBE">
        <w:rPr>
          <w:sz w:val="13"/>
          <w:szCs w:val="13"/>
        </w:rPr>
        <w:br/>
      </w:r>
      <w:r w:rsidR="003C6DDD" w:rsidRPr="003C6DDD">
        <w:rPr>
          <w:sz w:val="13"/>
          <w:szCs w:val="13"/>
        </w:rPr>
        <w:t xml:space="preserve">Barbett, Lea, Edward Stupple, Michael Sweet, Malcolm Schofield, and Miles Richardson. “Measuring Actions for Nature—Development and Validation of a Pro-Nature </w:t>
      </w:r>
      <w:r w:rsidR="003C6DDD" w:rsidRPr="003C6DDD">
        <w:rPr>
          <w:sz w:val="13"/>
          <w:szCs w:val="13"/>
        </w:rPr>
        <w:lastRenderedPageBreak/>
        <w:t xml:space="preserve">Conservation Behaviour Scale.” </w:t>
      </w:r>
      <w:r w:rsidR="003C6DDD" w:rsidRPr="003C6DDD">
        <w:rPr>
          <w:i/>
          <w:iCs/>
          <w:sz w:val="13"/>
          <w:szCs w:val="13"/>
        </w:rPr>
        <w:t>Sustainability</w:t>
      </w:r>
      <w:r w:rsidR="003C6DDD" w:rsidRPr="003C6DDD">
        <w:rPr>
          <w:sz w:val="13"/>
          <w:szCs w:val="13"/>
        </w:rPr>
        <w:t xml:space="preserve"> 12, no. 12 (2020): 4885. </w:t>
      </w:r>
      <w:hyperlink r:id="rId17" w:history="1">
        <w:r w:rsidR="003C6DDD" w:rsidRPr="003C6DDD">
          <w:rPr>
            <w:rStyle w:val="Hyperlink"/>
            <w:sz w:val="13"/>
            <w:szCs w:val="13"/>
          </w:rPr>
          <w:t>https://doi.org/10.3390/su12124885</w:t>
        </w:r>
      </w:hyperlink>
      <w:r w:rsidR="003C6DDD" w:rsidRPr="003C6DDD">
        <w:rPr>
          <w:sz w:val="13"/>
          <w:szCs w:val="13"/>
        </w:rPr>
        <w:t>.</w:t>
      </w:r>
      <w:r w:rsidR="003C6DDD">
        <w:rPr>
          <w:sz w:val="13"/>
          <w:szCs w:val="13"/>
        </w:rPr>
        <w:br/>
      </w:r>
      <w:r w:rsidR="00802F39" w:rsidRPr="00AD7DBE">
        <w:rPr>
          <w:sz w:val="13"/>
          <w:szCs w:val="13"/>
        </w:rPr>
        <w:t xml:space="preserve">Cox, Daniel T. C., and Kevin J. Gaston. “Urban Bird Feeding: Connecting People with Nature.” </w:t>
      </w:r>
      <w:r w:rsidR="00802F39" w:rsidRPr="00AD7DBE">
        <w:rPr>
          <w:i/>
          <w:iCs/>
          <w:sz w:val="13"/>
          <w:szCs w:val="13"/>
        </w:rPr>
        <w:t>PLOS ONE</w:t>
      </w:r>
      <w:r w:rsidR="00802F39" w:rsidRPr="00AD7DBE">
        <w:rPr>
          <w:sz w:val="13"/>
          <w:szCs w:val="13"/>
        </w:rPr>
        <w:t xml:space="preserve"> 11, no. 7 (2016): e0158717. </w:t>
      </w:r>
      <w:hyperlink r:id="rId18" w:history="1">
        <w:r w:rsidR="00802F39" w:rsidRPr="00AD7DBE">
          <w:rPr>
            <w:rStyle w:val="Hyperlink"/>
            <w:sz w:val="13"/>
            <w:szCs w:val="13"/>
          </w:rPr>
          <w:t>https://doi.org/10.1371/journal.pone.0158717</w:t>
        </w:r>
      </w:hyperlink>
      <w:r w:rsidR="00802F39" w:rsidRPr="00AD7DBE">
        <w:rPr>
          <w:sz w:val="13"/>
          <w:szCs w:val="13"/>
        </w:rPr>
        <w:t>.</w:t>
      </w:r>
      <w:r w:rsidR="00882AB9">
        <w:rPr>
          <w:sz w:val="13"/>
          <w:szCs w:val="13"/>
        </w:rPr>
        <w:br/>
      </w:r>
      <w:r w:rsidR="00802F39" w:rsidRPr="00AD7DBE">
        <w:rPr>
          <w:sz w:val="13"/>
          <w:szCs w:val="13"/>
        </w:rPr>
        <w:t xml:space="preserve">Dayer, Ashley A., Connor Rosenblatt, David N. Bonter, et al. “Observations at Backyard Bird Feeders Influence the Emotions and Actions of People That Feed Birds.” </w:t>
      </w:r>
      <w:r w:rsidR="00802F39" w:rsidRPr="00AD7DBE">
        <w:rPr>
          <w:i/>
          <w:iCs/>
          <w:sz w:val="13"/>
          <w:szCs w:val="13"/>
        </w:rPr>
        <w:t>People and Nature</w:t>
      </w:r>
      <w:r w:rsidR="00802F39" w:rsidRPr="00AD7DBE">
        <w:rPr>
          <w:sz w:val="13"/>
          <w:szCs w:val="13"/>
        </w:rPr>
        <w:t xml:space="preserve"> 1, no. 2 (2019): 138–51. </w:t>
      </w:r>
      <w:hyperlink r:id="rId19" w:history="1">
        <w:r w:rsidR="00802F39" w:rsidRPr="00AD7DBE">
          <w:rPr>
            <w:rStyle w:val="Hyperlink"/>
            <w:sz w:val="13"/>
            <w:szCs w:val="13"/>
          </w:rPr>
          <w:t>https://doi.org/10.1002/pan3.17</w:t>
        </w:r>
      </w:hyperlink>
      <w:r w:rsidR="00802F39" w:rsidRPr="00AD7DBE">
        <w:rPr>
          <w:sz w:val="13"/>
          <w:szCs w:val="13"/>
        </w:rPr>
        <w:t>.</w:t>
      </w:r>
      <w:r w:rsidR="00882AB9" w:rsidRPr="00AD7DBE">
        <w:rPr>
          <w:sz w:val="13"/>
          <w:szCs w:val="13"/>
        </w:rPr>
        <w:br/>
        <w:t xml:space="preserve">Pocock, Michael J. O., Iain Hamlin, Jennifer Christelow, Holli‐Anne Passmore, and Miles Richardson. “The Benefits of Citizen Science and Nature‐noticing Activities for Well‐being, Nature Connectedness and Pro‐nature Conservation Behaviours.” </w:t>
      </w:r>
      <w:r w:rsidR="00882AB9" w:rsidRPr="00AD7DBE">
        <w:rPr>
          <w:i/>
          <w:iCs/>
          <w:sz w:val="13"/>
          <w:szCs w:val="13"/>
        </w:rPr>
        <w:t>People and Nature</w:t>
      </w:r>
      <w:r w:rsidR="00882AB9" w:rsidRPr="00AD7DBE">
        <w:rPr>
          <w:sz w:val="13"/>
          <w:szCs w:val="13"/>
        </w:rPr>
        <w:t xml:space="preserve"> 5, no. 2 (2023): 591–606. </w:t>
      </w:r>
      <w:hyperlink r:id="rId20" w:history="1">
        <w:r w:rsidR="00882AB9" w:rsidRPr="00AD7DBE">
          <w:rPr>
            <w:rStyle w:val="Hyperlink"/>
            <w:sz w:val="13"/>
            <w:szCs w:val="13"/>
          </w:rPr>
          <w:t>https://doi.org/10.1002/pan3.10432</w:t>
        </w:r>
      </w:hyperlink>
      <w:r w:rsidR="00882AB9" w:rsidRPr="00AD7DBE">
        <w:rPr>
          <w:sz w:val="13"/>
          <w:szCs w:val="13"/>
        </w:rPr>
        <w:t>.</w:t>
      </w:r>
    </w:p>
    <w:p w14:paraId="146A5F92" w14:textId="188813F7" w:rsidR="00802F39" w:rsidRPr="00AD7DBE" w:rsidRDefault="00802F39" w:rsidP="00802F39">
      <w:pPr>
        <w:rPr>
          <w:sz w:val="13"/>
          <w:szCs w:val="13"/>
        </w:rPr>
      </w:pPr>
    </w:p>
    <w:p w14:paraId="3E1E6D95" w14:textId="4A8CD9EC" w:rsidR="00850136" w:rsidRPr="00850136" w:rsidRDefault="00850136" w:rsidP="00850136"/>
    <w:p w14:paraId="670BF5E9" w14:textId="52C66424" w:rsidR="00390715" w:rsidRDefault="00390715" w:rsidP="00390715"/>
    <w:p w14:paraId="06FE942A" w14:textId="77777777" w:rsidR="00DC04DF" w:rsidRDefault="00DC04DF"/>
    <w:p w14:paraId="7E4A8264" w14:textId="77777777" w:rsidR="00390715" w:rsidRDefault="00390715" w:rsidP="00390715"/>
    <w:p w14:paraId="31F90FA1" w14:textId="15DB22E3" w:rsidR="00462E21" w:rsidRDefault="0032632E" w:rsidP="007052BF">
      <w:r w:rsidRPr="00E30DE2">
        <w:rPr>
          <w:b/>
          <w:bCs/>
        </w:rPr>
        <w:t>P5:</w:t>
      </w:r>
    </w:p>
    <w:p w14:paraId="0EDA5F74" w14:textId="57DD45F0" w:rsidR="00A53CEE" w:rsidRPr="00AD7DBE" w:rsidRDefault="007052BF" w:rsidP="00A53CEE">
      <w:pPr>
        <w:rPr>
          <w:sz w:val="13"/>
          <w:szCs w:val="13"/>
        </w:rPr>
      </w:pPr>
      <w:commentRangeStart w:id="1"/>
      <w:commentRangeStart w:id="2"/>
      <w:r w:rsidRPr="007052BF">
        <w:t xml:space="preserve">Most existing research </w:t>
      </w:r>
      <w:commentRangeEnd w:id="1"/>
      <w:r w:rsidR="00462E21" w:rsidRPr="00882AB9">
        <w:rPr>
          <w:rStyle w:val="CommentReference"/>
          <w:sz w:val="24"/>
          <w:szCs w:val="24"/>
        </w:rPr>
        <w:commentReference w:id="1"/>
      </w:r>
      <w:commentRangeEnd w:id="2"/>
      <w:r w:rsidR="00024254" w:rsidRPr="00882AB9">
        <w:rPr>
          <w:rStyle w:val="CommentReference"/>
          <w:sz w:val="24"/>
          <w:szCs w:val="24"/>
        </w:rPr>
        <w:commentReference w:id="2"/>
      </w:r>
      <w:r w:rsidR="00882AB9" w:rsidRPr="00882AB9">
        <w:t>on backyard wildlife activities and disease risk</w:t>
      </w:r>
      <w:r w:rsidR="00882AB9">
        <w:t xml:space="preserve"> </w:t>
      </w:r>
      <w:r w:rsidRPr="007052BF">
        <w:t xml:space="preserve">addresses </w:t>
      </w:r>
      <w:r w:rsidR="00882AB9">
        <w:t xml:space="preserve">bird feeding and small-scale poultry keeping </w:t>
      </w:r>
      <w:r w:rsidRPr="007052BF">
        <w:t>in isolation, and few studies have examined disease ecology</w:t>
      </w:r>
      <w:r w:rsidR="00FA06D1">
        <w:t xml:space="preserve"> or spillover prevalence</w:t>
      </w:r>
      <w:r w:rsidRPr="007052BF">
        <w:t xml:space="preserve"> at residential sites where feeders and chickens are </w:t>
      </w:r>
      <w:r>
        <w:t>both</w:t>
      </w:r>
      <w:r w:rsidRPr="007052BF">
        <w:t xml:space="preserve"> present. </w:t>
      </w:r>
      <w:r w:rsidR="00882AB9">
        <w:t xml:space="preserve">Even at feeder-present sites, little is known about how individual variation in feeder visitation frequency among wild birds may influence infection risk at the individual level, as </w:t>
      </w:r>
      <w:r w:rsidR="00682EC8">
        <w:t>individuals</w:t>
      </w:r>
      <w:r w:rsidR="00882AB9">
        <w:t xml:space="preserve"> that visit food sources more frequently may experience greater exposure to environmental pathogens. </w:t>
      </w:r>
      <w:commentRangeStart w:id="3"/>
      <w:r w:rsidR="00882AB9">
        <w:t xml:space="preserve">This gap </w:t>
      </w:r>
      <w:r w:rsidR="00682EC8">
        <w:t xml:space="preserve">remains </w:t>
      </w:r>
      <w:r w:rsidR="00882AB9">
        <w:t xml:space="preserve">relevant in the southeastern United States, where suburban sprawl continues to expand the human-wildlife interface, seasonal variation in temperature and humidity creates year-round conditions for environmental pathogen persistence, </w:t>
      </w:r>
      <w:r w:rsidR="00682EC8">
        <w:t xml:space="preserve">and large </w:t>
      </w:r>
      <w:r w:rsidR="00882AB9">
        <w:t xml:space="preserve">agricultural </w:t>
      </w:r>
      <w:r w:rsidR="00682EC8">
        <w:t>presence</w:t>
      </w:r>
      <w:r w:rsidR="00882AB9">
        <w:t xml:space="preserve"> </w:t>
      </w:r>
      <w:r w:rsidR="00682EC8">
        <w:t>encourages</w:t>
      </w:r>
      <w:r w:rsidR="00882AB9">
        <w:t xml:space="preserve"> small-scale animal keeping, </w:t>
      </w:r>
      <w:r w:rsidR="00682EC8" w:rsidRPr="00682EC8">
        <w:t>and wildlife watching participation</w:t>
      </w:r>
      <w:r w:rsidR="00682EC8">
        <w:t>,</w:t>
      </w:r>
      <w:r w:rsidR="00682EC8" w:rsidRPr="00682EC8">
        <w:t xml:space="preserve"> including bird</w:t>
      </w:r>
      <w:commentRangeEnd w:id="3"/>
      <w:r w:rsidR="00FA06D1" w:rsidRPr="00682EC8">
        <w:rPr>
          <w:rStyle w:val="CommentReference"/>
          <w:sz w:val="24"/>
          <w:szCs w:val="24"/>
        </w:rPr>
        <w:commentReference w:id="3"/>
      </w:r>
      <w:r w:rsidR="00682EC8" w:rsidRPr="00682EC8">
        <w:t xml:space="preserve"> feeding</w:t>
      </w:r>
      <w:r w:rsidR="00682EC8">
        <w:t xml:space="preserve">, </w:t>
      </w:r>
      <w:r w:rsidR="00682EC8" w:rsidRPr="00682EC8">
        <w:t>is among the highest of any region in the country, with the East South Central states reporting the highest residential wildlife watching rates nationally</w:t>
      </w:r>
      <w:r w:rsidR="00882AB9">
        <w:t xml:space="preserve"> (USFWS 2022). </w:t>
      </w:r>
      <w:r w:rsidR="00AD7DBE" w:rsidRPr="00AD7DBE">
        <w:rPr>
          <w:highlight w:val="yellow"/>
        </w:rPr>
        <w:t>Insert Welch and Harrigan citation.</w:t>
      </w:r>
      <w:r w:rsidR="00AD7DBE">
        <w:t xml:space="preserve"> </w:t>
      </w:r>
      <w:r w:rsidR="003C6DDD" w:rsidRPr="003C6DDD">
        <w:t>The degree to which participants in these activities perceive disease risks, engage in biosecurity practices such as feeder cleaning and personal hygiene, and are willing to modify their behaviors in response to evidence-based recommendations remains poorly characterized, particularly in the southeastern United States where both activities are prevalent.</w:t>
      </w:r>
      <w:r w:rsidRPr="007052BF">
        <w:t xml:space="preserve"> Closing these </w:t>
      </w:r>
      <w:r>
        <w:t xml:space="preserve">knowledge </w:t>
      </w:r>
      <w:r w:rsidRPr="007052BF">
        <w:t xml:space="preserve">gaps is </w:t>
      </w:r>
      <w:r>
        <w:t>critical</w:t>
      </w:r>
      <w:r w:rsidRPr="007052BF">
        <w:t xml:space="preserve"> for developing evidence-based guidelines that allow people to enjoy the benefits of backyard activities while reducing risk to wild birds, domestic animals, and </w:t>
      </w:r>
      <w:commentRangeStart w:id="4"/>
      <w:r w:rsidRPr="007052BF">
        <w:t>human health.</w:t>
      </w:r>
      <w:commentRangeEnd w:id="4"/>
      <w:r w:rsidR="00462E21">
        <w:rPr>
          <w:rStyle w:val="CommentReference"/>
          <w:sz w:val="24"/>
          <w:szCs w:val="24"/>
        </w:rPr>
        <w:commentReference w:id="4"/>
      </w:r>
      <w:r w:rsidR="00A53CEE">
        <w:br/>
      </w:r>
      <w:r w:rsidR="00A53CEE">
        <w:br/>
      </w:r>
      <w:r w:rsidR="00A53CEE" w:rsidRPr="00AD7DBE">
        <w:rPr>
          <w:sz w:val="13"/>
          <w:szCs w:val="13"/>
        </w:rPr>
        <w:t>Sources:</w:t>
      </w:r>
      <w:r w:rsidR="00A53CEE" w:rsidRPr="00AD7DBE">
        <w:rPr>
          <w:sz w:val="13"/>
          <w:szCs w:val="13"/>
        </w:rPr>
        <w:br/>
      </w:r>
      <w:r w:rsidR="00A53CEE" w:rsidRPr="00AD7DBE">
        <w:rPr>
          <w:i/>
          <w:iCs/>
          <w:sz w:val="13"/>
          <w:szCs w:val="13"/>
        </w:rPr>
        <w:t>2022 National Survey of Fishing, Hunting, and Wildlife-Associated Recreation</w:t>
      </w:r>
      <w:r w:rsidR="00A53CEE" w:rsidRPr="00AD7DBE">
        <w:rPr>
          <w:sz w:val="13"/>
          <w:szCs w:val="13"/>
        </w:rPr>
        <w:t>. 2022.</w:t>
      </w:r>
    </w:p>
    <w:p w14:paraId="40F71A46" w14:textId="6A8CAD5F" w:rsidR="007052BF" w:rsidRPr="00AD7DBE" w:rsidRDefault="007052BF" w:rsidP="007052BF">
      <w:pPr>
        <w:rPr>
          <w:sz w:val="13"/>
          <w:szCs w:val="13"/>
        </w:rPr>
      </w:pPr>
    </w:p>
    <w:p w14:paraId="076D63F0" w14:textId="62B7B70F" w:rsidR="00104E3E" w:rsidRPr="00AD7DBE" w:rsidRDefault="00104E3E" w:rsidP="004975A6">
      <w:pPr>
        <w:rPr>
          <w:b/>
          <w:bCs/>
          <w:sz w:val="13"/>
          <w:szCs w:val="13"/>
        </w:rPr>
      </w:pPr>
    </w:p>
    <w:p w14:paraId="37D183BC" w14:textId="77777777" w:rsidR="00104E3E" w:rsidRPr="00AD7DBE" w:rsidRDefault="00104E3E">
      <w:pPr>
        <w:rPr>
          <w:sz w:val="13"/>
          <w:szCs w:val="13"/>
        </w:rPr>
      </w:pPr>
      <w:r w:rsidRPr="00AD7DBE">
        <w:rPr>
          <w:sz w:val="13"/>
          <w:szCs w:val="13"/>
        </w:rPr>
        <w:br w:type="page"/>
      </w:r>
    </w:p>
    <w:p w14:paraId="3234A0A6" w14:textId="541BC9DB" w:rsidR="0032632E" w:rsidRDefault="00104E3E" w:rsidP="004975A6">
      <w:pPr>
        <w:rPr>
          <w:b/>
          <w:bCs/>
        </w:rPr>
      </w:pPr>
      <w:commentRangeStart w:id="5"/>
      <w:r w:rsidRPr="00E30DE2">
        <w:rPr>
          <w:b/>
          <w:bCs/>
        </w:rPr>
        <w:lastRenderedPageBreak/>
        <w:t>Overarching Goals and Hypotheses</w:t>
      </w:r>
      <w:commentRangeEnd w:id="5"/>
      <w:r w:rsidR="00103E9F" w:rsidRPr="00E30DE2">
        <w:rPr>
          <w:rStyle w:val="CommentReference"/>
          <w:b/>
          <w:bCs/>
          <w:sz w:val="24"/>
          <w:szCs w:val="24"/>
        </w:rPr>
        <w:commentReference w:id="5"/>
      </w:r>
      <w:r w:rsidRPr="00E30DE2">
        <w:rPr>
          <w:b/>
          <w:bCs/>
        </w:rPr>
        <w:t>:</w:t>
      </w:r>
    </w:p>
    <w:p w14:paraId="5F2D9EA2" w14:textId="101837E1" w:rsidR="0013117E" w:rsidRDefault="00846611" w:rsidP="00846611">
      <w:r w:rsidRPr="00846611">
        <w:t xml:space="preserve">The overarching goal of this study is to </w:t>
      </w:r>
      <w:r>
        <w:t>quantify</w:t>
      </w:r>
      <w:r w:rsidRPr="00846611">
        <w:t xml:space="preserve"> how </w:t>
      </w:r>
      <w:r w:rsidR="0013117E">
        <w:t>a</w:t>
      </w:r>
      <w:r w:rsidR="0013117E" w:rsidRPr="0013117E">
        <w:t>nthropogenic change is reshaping the ways in which humans, domestic animals, and wildlife interact</w:t>
      </w:r>
      <w:r w:rsidR="0013117E">
        <w:t>, creating new opportunities for pathogen transmission at the human-wildlife interface. B</w:t>
      </w:r>
      <w:r w:rsidRPr="00846611">
        <w:t xml:space="preserve">ackyard bird feeding and small-scale poultry keeping </w:t>
      </w:r>
      <w:r w:rsidR="0013117E" w:rsidRPr="0013117E">
        <w:t xml:space="preserve">represent two widespread and growing activities that </w:t>
      </w:r>
      <w:r w:rsidR="0013117E">
        <w:t>combine</w:t>
      </w:r>
      <w:r w:rsidR="0013117E" w:rsidRPr="0013117E">
        <w:t xml:space="preserve"> these interactions in residential settings, yet the disease ecology of these practices and the human dimensions that </w:t>
      </w:r>
      <w:r w:rsidR="0013117E">
        <w:t>influence</w:t>
      </w:r>
      <w:r w:rsidR="0013117E" w:rsidRPr="0013117E">
        <w:t xml:space="preserve"> participant behavior remain poorly understood. </w:t>
      </w:r>
      <w:r w:rsidR="0013117E">
        <w:t>T</w:t>
      </w:r>
      <w:r w:rsidRPr="00846611">
        <w:t>he</w:t>
      </w:r>
      <w:r w:rsidR="0013117E">
        <w:t xml:space="preserve"> overarching goal of this study is to quantify the conditions pertaining to backyard activities that can increase disease risk in wild songbird communities</w:t>
      </w:r>
      <w:r w:rsidR="00FA06D1">
        <w:t xml:space="preserve"> leading to potential spillover into people</w:t>
      </w:r>
      <w:r w:rsidR="0013117E">
        <w:t>, and how participants perceive and respond to that risk</w:t>
      </w:r>
      <w:r w:rsidR="00FA06D1">
        <w:t>, to</w:t>
      </w:r>
      <w:r w:rsidR="0013117E">
        <w:t xml:space="preserve"> inform conservation and public health outcomes.</w:t>
      </w:r>
    </w:p>
    <w:p w14:paraId="74B3C59C" w14:textId="66125C24" w:rsidR="00846611" w:rsidRPr="00846611" w:rsidRDefault="0013117E" w:rsidP="00846611">
      <w:r w:rsidRPr="00846611" w:rsidDel="0013117E">
        <w:t xml:space="preserve"> </w:t>
      </w:r>
      <w:r w:rsidR="00846611" w:rsidRPr="00846611">
        <w:t>This study addresses three specific aims:</w:t>
      </w:r>
    </w:p>
    <w:p w14:paraId="2FB0F1E0" w14:textId="09CAF5CD" w:rsidR="00846611" w:rsidRPr="00846611" w:rsidRDefault="00846611" w:rsidP="00846611">
      <w:pPr>
        <w:rPr>
          <w:b/>
          <w:bCs/>
        </w:rPr>
      </w:pPr>
      <w:r w:rsidRPr="00846611">
        <w:rPr>
          <w:b/>
          <w:bCs/>
        </w:rPr>
        <w:t xml:space="preserve">Aim 1: </w:t>
      </w:r>
      <w:r w:rsidR="00897A91">
        <w:rPr>
          <w:b/>
          <w:bCs/>
        </w:rPr>
        <w:t xml:space="preserve">Quantify </w:t>
      </w:r>
      <w:r w:rsidR="00A43311">
        <w:rPr>
          <w:b/>
          <w:bCs/>
        </w:rPr>
        <w:t>F</w:t>
      </w:r>
      <w:r w:rsidRPr="00846611">
        <w:rPr>
          <w:b/>
          <w:bCs/>
        </w:rPr>
        <w:t xml:space="preserve">eeder </w:t>
      </w:r>
      <w:r w:rsidR="00A43311">
        <w:rPr>
          <w:b/>
          <w:bCs/>
        </w:rPr>
        <w:t>V</w:t>
      </w:r>
      <w:r w:rsidRPr="00846611">
        <w:rPr>
          <w:b/>
          <w:bCs/>
        </w:rPr>
        <w:t xml:space="preserve">isitation </w:t>
      </w:r>
      <w:r w:rsidR="00A43311">
        <w:rPr>
          <w:b/>
          <w:bCs/>
        </w:rPr>
        <w:t>F</w:t>
      </w:r>
      <w:r w:rsidRPr="00846611">
        <w:rPr>
          <w:b/>
          <w:bCs/>
        </w:rPr>
        <w:t xml:space="preserve">requency and </w:t>
      </w:r>
      <w:r w:rsidR="00A43311">
        <w:rPr>
          <w:b/>
          <w:bCs/>
        </w:rPr>
        <w:t>P</w:t>
      </w:r>
      <w:r w:rsidRPr="00846611">
        <w:rPr>
          <w:b/>
          <w:bCs/>
        </w:rPr>
        <w:t>athogen</w:t>
      </w:r>
      <w:r w:rsidR="00A11D14">
        <w:rPr>
          <w:b/>
          <w:bCs/>
        </w:rPr>
        <w:t xml:space="preserve"> </w:t>
      </w:r>
      <w:r w:rsidR="00A43311">
        <w:rPr>
          <w:b/>
          <w:bCs/>
        </w:rPr>
        <w:t>P</w:t>
      </w:r>
      <w:r w:rsidR="00A11D14">
        <w:rPr>
          <w:b/>
          <w:bCs/>
        </w:rPr>
        <w:t>revalence</w:t>
      </w:r>
    </w:p>
    <w:p w14:paraId="323BF01F" w14:textId="277E6A42" w:rsidR="00846611" w:rsidRPr="00846611" w:rsidRDefault="00A43311" w:rsidP="00846611">
      <w:r w:rsidRPr="00A43311">
        <w:t>We seek to test the relationship between the frequency that birds visit food sources and the probability of infection. If bird feeders artificially aggregate individuals and increase direct contact rates, then birds that visit feeders more frequently will sustain greater exposure to environmental pathogens deposited by other individuals, resulting in higher infection prevalence relative to less frequent feeder visitors. We therefore predict that wild birds with higher feeder visitation frequencies will have a higher probability of testing positive for pathogen infection.</w:t>
      </w:r>
    </w:p>
    <w:p w14:paraId="4077B59F" w14:textId="6C7BB487" w:rsidR="00846611" w:rsidRPr="00846611" w:rsidRDefault="00846611" w:rsidP="00846611">
      <w:pPr>
        <w:rPr>
          <w:b/>
          <w:bCs/>
        </w:rPr>
      </w:pPr>
      <w:r w:rsidRPr="00846611">
        <w:rPr>
          <w:b/>
          <w:bCs/>
        </w:rPr>
        <w:t xml:space="preserve">Aim 2: </w:t>
      </w:r>
      <w:r w:rsidR="00A43311" w:rsidRPr="00A43311">
        <w:rPr>
          <w:b/>
          <w:bCs/>
        </w:rPr>
        <w:t xml:space="preserve">Determine Whether Backyard Feeding and Poultry Keeping </w:t>
      </w:r>
      <w:r w:rsidR="00A43311">
        <w:rPr>
          <w:b/>
          <w:bCs/>
        </w:rPr>
        <w:t>Increase</w:t>
      </w:r>
      <w:r w:rsidR="00A43311" w:rsidRPr="00A43311">
        <w:rPr>
          <w:b/>
          <w:bCs/>
        </w:rPr>
        <w:t xml:space="preserve"> Pathogen Prevalence in Wild Songbirds</w:t>
      </w:r>
      <w:r w:rsidR="00810F99">
        <w:rPr>
          <w:b/>
          <w:bCs/>
        </w:rPr>
        <w:t xml:space="preserve">. </w:t>
      </w:r>
    </w:p>
    <w:p w14:paraId="4B7F5EDE" w14:textId="0D4AC407" w:rsidR="00846611" w:rsidRPr="00846611" w:rsidRDefault="00846611" w:rsidP="00846611">
      <w:r>
        <w:t>We seek</w:t>
      </w:r>
      <w:r w:rsidRPr="00846611">
        <w:t xml:space="preserve"> to compare pathogen prevalence in wild songbirds among sites representing four treatment types: bird feeder only, backyard chickens only, both feeders and chickens, and control sites with neither. If the presence of backyard poultry introduces an additional environmental reservoir for </w:t>
      </w:r>
      <w:r w:rsidR="00897A91" w:rsidRPr="00AD7DBE">
        <w:t>pathogens</w:t>
      </w:r>
      <w:r w:rsidRPr="00846611">
        <w:t xml:space="preserve">, and bird feeders simultaneously increase contact rates among wild birds, then sites with compounded </w:t>
      </w:r>
      <w:r>
        <w:t>factors</w:t>
      </w:r>
      <w:r w:rsidRPr="00846611">
        <w:t xml:space="preserve"> will </w:t>
      </w:r>
      <w:r>
        <w:t>show</w:t>
      </w:r>
      <w:r w:rsidRPr="00846611">
        <w:t xml:space="preserve"> the greatest disease transmission risk.</w:t>
      </w:r>
      <w:r w:rsidR="00FA06D1">
        <w:t xml:space="preserve"> </w:t>
      </w:r>
      <w:r w:rsidR="00FA06D1" w:rsidRPr="00846611">
        <w:t xml:space="preserve">We </w:t>
      </w:r>
      <w:r w:rsidR="00FA06D1">
        <w:t xml:space="preserve">therefore </w:t>
      </w:r>
      <w:r w:rsidR="00FA06D1" w:rsidRPr="00846611">
        <w:t>predict that sites with both bird feeders and backyard chickens will exhibit the highest pathogen prevalence in wild birds, followed by chicken-only sites, feeder-only sites, and control sites.</w:t>
      </w:r>
    </w:p>
    <w:p w14:paraId="4A2B283F" w14:textId="34B6BBB8" w:rsidR="00846611" w:rsidRDefault="00846611" w:rsidP="004975A6">
      <w:r w:rsidRPr="00846611">
        <w:rPr>
          <w:b/>
          <w:bCs/>
        </w:rPr>
        <w:t xml:space="preserve">Aim 3: </w:t>
      </w:r>
      <w:r w:rsidR="00A43311" w:rsidRPr="00A43311">
        <w:rPr>
          <w:b/>
          <w:bCs/>
        </w:rPr>
        <w:t>Evaluate How Disease Risk Perception and Conservation Attitudes Shape Participant Behavior at Backyard Sites</w:t>
      </w:r>
      <w:r w:rsidR="00A11D14">
        <w:rPr>
          <w:b/>
          <w:bCs/>
        </w:rPr>
        <w:br/>
      </w:r>
      <w:r>
        <w:t>We</w:t>
      </w:r>
      <w:r w:rsidRPr="00846611">
        <w:t xml:space="preserve"> will characterize disease risk perception, biosecurity practice engagement, willingness to adjust backyard behaviors, and place attachment among participants in bird feeding and backyard poultry keeping in central Alabama through participant surveys. </w:t>
      </w:r>
      <w:r w:rsidR="00A11D14" w:rsidRPr="00A11D14">
        <w:t xml:space="preserve">If greater knowledge </w:t>
      </w:r>
      <w:r w:rsidR="00A11D14" w:rsidRPr="00A11D14">
        <w:lastRenderedPageBreak/>
        <w:t xml:space="preserve">of zoonotic disease is associated with more proactive responses, then targeted outreach and education efforts will inform practical, relevant biosecurity recommendations for backyard wildlife participants. Additionally, if engagement in backyard wildlife activities is associated with stronger pro-conservation attitudes and behaviors, then these activities may represent </w:t>
      </w:r>
      <w:r w:rsidR="00A11D14">
        <w:t xml:space="preserve">broader opportunities for </w:t>
      </w:r>
      <w:r w:rsidR="00A11D14" w:rsidRPr="00A11D14">
        <w:t>conservation outreach and evidence-based promotion</w:t>
      </w:r>
      <w:r w:rsidR="00A11D14">
        <w:t>s</w:t>
      </w:r>
      <w:r w:rsidR="00A11D14" w:rsidRPr="00A11D14">
        <w:t xml:space="preserve">. </w:t>
      </w:r>
      <w:r w:rsidRPr="00846611">
        <w:t xml:space="preserve">We predict that participants with greater perceived risk of disease </w:t>
      </w:r>
      <w:r>
        <w:t>events</w:t>
      </w:r>
      <w:r w:rsidRPr="00846611">
        <w:t xml:space="preserve"> will report higher rates of biosecurity practice</w:t>
      </w:r>
      <w:r>
        <w:t>s,</w:t>
      </w:r>
      <w:r w:rsidRPr="00846611">
        <w:t xml:space="preserve"> stronger willingness to modify, and greater </w:t>
      </w:r>
      <w:r>
        <w:t>propensity to accept</w:t>
      </w:r>
      <w:r w:rsidRPr="00846611">
        <w:t xml:space="preserve"> evidence-based management guidelines. </w:t>
      </w:r>
    </w:p>
    <w:p w14:paraId="7EE324A0" w14:textId="77777777" w:rsidR="005D5646" w:rsidRDefault="005D5646" w:rsidP="004975A6"/>
    <w:p w14:paraId="186C3D8E" w14:textId="11F2401B" w:rsidR="005D5646" w:rsidRDefault="005D5646">
      <w:r>
        <w:br w:type="page"/>
      </w:r>
    </w:p>
    <w:p w14:paraId="1591FF36" w14:textId="37335E7A" w:rsidR="005D5646" w:rsidRDefault="00103E9F" w:rsidP="004975A6">
      <w:pPr>
        <w:rPr>
          <w:b/>
          <w:bCs/>
        </w:rPr>
      </w:pPr>
      <w:r>
        <w:rPr>
          <w:b/>
          <w:bCs/>
        </w:rPr>
        <w:lastRenderedPageBreak/>
        <w:t>Materials/</w:t>
      </w:r>
      <w:r w:rsidR="005D5646">
        <w:rPr>
          <w:b/>
          <w:bCs/>
        </w:rPr>
        <w:t xml:space="preserve">Methods: </w:t>
      </w:r>
    </w:p>
    <w:p w14:paraId="541D8A54" w14:textId="77777777" w:rsidR="00F035C5" w:rsidRPr="00F035C5" w:rsidRDefault="00F035C5" w:rsidP="00F035C5">
      <w:r w:rsidRPr="00F035C5">
        <w:rPr>
          <w:b/>
          <w:bCs/>
        </w:rPr>
        <w:t>Field Sampling</w:t>
      </w:r>
    </w:p>
    <w:p w14:paraId="0C508B3D" w14:textId="5A73936E" w:rsidR="00F035C5" w:rsidRPr="00F035C5" w:rsidRDefault="00F035C5" w:rsidP="00F035C5">
      <w:r>
        <w:t>We performed this study</w:t>
      </w:r>
      <w:r w:rsidRPr="00F035C5">
        <w:t xml:space="preserve"> along an urban-to-rural gradient in central Alabama across </w:t>
      </w:r>
      <w:commentRangeStart w:id="6"/>
      <w:r w:rsidRPr="00F035C5">
        <w:t xml:space="preserve">twelve </w:t>
      </w:r>
      <w:commentRangeEnd w:id="6"/>
      <w:r w:rsidRPr="00F035C5">
        <w:rPr>
          <w:rStyle w:val="CommentReference"/>
          <w:sz w:val="24"/>
          <w:szCs w:val="24"/>
        </w:rPr>
        <w:commentReference w:id="6"/>
      </w:r>
      <w:r w:rsidRPr="00F035C5">
        <w:t>sites categorized into four treatment types: control sites with no</w:t>
      </w:r>
      <w:r>
        <w:t xml:space="preserve"> bird</w:t>
      </w:r>
      <w:r w:rsidRPr="00F035C5">
        <w:t xml:space="preserve">feeders or poultry (n = 4), bird feeder-only sites (n = 4), backyard chicken-only sites (n = 2), and sites with both feeders and chickens (n = 2). Sites were selected to ensure a baseline level of vegetation </w:t>
      </w:r>
      <w:r>
        <w:t xml:space="preserve">and habitat </w:t>
      </w:r>
      <w:r w:rsidRPr="00F035C5">
        <w:t xml:space="preserve">suitable for </w:t>
      </w:r>
      <w:r>
        <w:t>wild birds</w:t>
      </w:r>
      <w:r w:rsidRPr="00F035C5">
        <w:t xml:space="preserve"> </w:t>
      </w:r>
      <w:r w:rsidRPr="00F035C5">
        <w:t xml:space="preserve">and are sampled monthly </w:t>
      </w:r>
      <w:r>
        <w:t>since</w:t>
      </w:r>
      <w:r w:rsidRPr="00F035C5">
        <w:t xml:space="preserve"> </w:t>
      </w:r>
      <w:r w:rsidRPr="00F035C5">
        <w:t>summer 202</w:t>
      </w:r>
      <w:r>
        <w:t>4</w:t>
      </w:r>
      <w:r w:rsidRPr="00F035C5">
        <w:t xml:space="preserve">. </w:t>
      </w:r>
      <w:r>
        <w:t>Before adding a backyard site to my rotation</w:t>
      </w:r>
      <w:r w:rsidRPr="00F035C5">
        <w:t xml:space="preserve">, I </w:t>
      </w:r>
      <w:r>
        <w:t>provide</w:t>
      </w:r>
      <w:r w:rsidRPr="00F035C5">
        <w:t xml:space="preserve"> </w:t>
      </w:r>
      <w:r w:rsidRPr="00F035C5">
        <w:t>a standardized entry questionnaire to homeowners to record site-level characteristics including feeder type and placement, poultry housing configuration, current cleaning practices, presence of pets, and vegetation characteristics.</w:t>
      </w:r>
    </w:p>
    <w:p w14:paraId="08FA6B05" w14:textId="542A880D" w:rsidR="00F035C5" w:rsidRPr="00F035C5" w:rsidRDefault="00F035C5" w:rsidP="00F035C5">
      <w:r w:rsidRPr="00F035C5">
        <w:t xml:space="preserve">I capture wild songbirds using mist nets deployed near feeders, chicken coops, or comparably active areas at control sites. Each captured bird is identified to species, sexed when possible, and measured for body mass, wing chord, tarsus length, and bill and skull dimensions to estimate body condition. </w:t>
      </w:r>
      <w:r>
        <w:t xml:space="preserve">Time of capture and release is also recorded. </w:t>
      </w:r>
      <w:r w:rsidRPr="00F035C5">
        <w:t>All individuals receive a sequentially numbered USGS aluminum leg band. A subset of common resident species</w:t>
      </w:r>
      <w:r>
        <w:t xml:space="preserve"> </w:t>
      </w:r>
      <w:r w:rsidRPr="00F035C5">
        <w:t xml:space="preserve">including Carolina Chickadee, Tufted Titmouse, Carolina Wren, Blue Jay, Downy Woodpecker, House Finch, and Northern Cardinal additionally </w:t>
      </w:r>
      <w:r w:rsidR="00396E9A" w:rsidRPr="00F035C5">
        <w:t>receive</w:t>
      </w:r>
      <w:r w:rsidR="00396E9A">
        <w:t xml:space="preserve"> </w:t>
      </w:r>
      <w:r w:rsidRPr="00F035C5">
        <w:t xml:space="preserve">passive integrated transponder (PIT) leg bands. Radio-frequency identification (RFID) antennas installed at feeders, inside coops, and on perches at control sites record date- and time-stamped detections of PIT-tagged individuals, allowing me to </w:t>
      </w:r>
      <w:r w:rsidR="00396E9A">
        <w:t>characterize</w:t>
      </w:r>
      <w:r w:rsidRPr="00F035C5">
        <w:t xml:space="preserve"> feeder visitation frequenc</w:t>
      </w:r>
      <w:r w:rsidR="00396E9A">
        <w:t>ies</w:t>
      </w:r>
      <w:r w:rsidRPr="00F035C5">
        <w:t xml:space="preserve"> </w:t>
      </w:r>
      <w:r w:rsidR="00396E9A">
        <w:t xml:space="preserve">by individual </w:t>
      </w:r>
      <w:r w:rsidRPr="00F035C5">
        <w:t>over time. Migratory and unlisted species do not receive PIT tags.</w:t>
      </w:r>
    </w:p>
    <w:p w14:paraId="31C66C1E" w14:textId="4BA26742" w:rsidR="00F035C5" w:rsidRPr="00F035C5" w:rsidRDefault="00F035C5" w:rsidP="00F035C5">
      <w:r w:rsidRPr="00F035C5">
        <w:t>I collect fecal</w:t>
      </w:r>
      <w:r w:rsidR="00396E9A">
        <w:t xml:space="preserve">, viral, and blood </w:t>
      </w:r>
      <w:r w:rsidRPr="00F035C5">
        <w:t>samples from each captured bird via cloacal swa</w:t>
      </w:r>
      <w:r w:rsidR="00396E9A">
        <w:t>bs, fecal</w:t>
      </w:r>
      <w:r w:rsidRPr="00F035C5">
        <w:t xml:space="preserve"> droppings on clean surfaces</w:t>
      </w:r>
      <w:r w:rsidR="00396E9A">
        <w:t>, tracheal swabs and Nobuto paper strips</w:t>
      </w:r>
      <w:r w:rsidRPr="00F035C5">
        <w:t>. I also collect fecal samples from backyard chickens</w:t>
      </w:r>
      <w:r w:rsidR="00396E9A">
        <w:t>. S</w:t>
      </w:r>
      <w:r w:rsidRPr="00F035C5">
        <w:t>oil and surface swabs from feeder and coop areas</w:t>
      </w:r>
      <w:r w:rsidR="00396E9A">
        <w:t xml:space="preserve"> were collected by Luke Watters</w:t>
      </w:r>
      <w:r w:rsidRPr="00F035C5">
        <w:t xml:space="preserve"> to characterize environmental pathogen reservoirs. All samples are transported on ice and stored at -80°C until processing.</w:t>
      </w:r>
      <w:r w:rsidR="00396E9A">
        <w:t xml:space="preserve"> Point-count surveys were performed at each site by Grace Southerland to determine biodiversity among wild birds. </w:t>
      </w:r>
    </w:p>
    <w:p w14:paraId="242E7BF0" w14:textId="77777777" w:rsidR="00F035C5" w:rsidRPr="00F035C5" w:rsidRDefault="00F035C5" w:rsidP="00F035C5">
      <w:r w:rsidRPr="00F035C5">
        <w:rPr>
          <w:b/>
          <w:bCs/>
        </w:rPr>
        <w:t>Laboratory Analysis</w:t>
      </w:r>
    </w:p>
    <w:p w14:paraId="372EF476" w14:textId="62FD3432" w:rsidR="00F035C5" w:rsidRPr="00F035C5" w:rsidRDefault="00F035C5" w:rsidP="00F035C5">
      <w:r w:rsidRPr="00F035C5">
        <w:t xml:space="preserve">Laboratory work is conducted at Auburn University in collaboration with the Thompson Bishop Sparks State Diagnostic Laboratory and the Departments of Poultry Science and Pathobiology. I enrich fecal samples in buffered peptone water, then transfer them to Rappaport-Vassiliadis broth selective for </w:t>
      </w:r>
      <w:r w:rsidRPr="00F035C5">
        <w:rPr>
          <w:i/>
          <w:iCs/>
        </w:rPr>
        <w:t>S. enterica</w:t>
      </w:r>
      <w:r w:rsidRPr="00F035C5">
        <w:t xml:space="preserve"> enrichment</w:t>
      </w:r>
      <w:r w:rsidR="00396E9A">
        <w:t>, both incubated for 24-48 hours each</w:t>
      </w:r>
      <w:r w:rsidRPr="00F035C5">
        <w:t xml:space="preserve">. I then streak from this broth onto xylose lysine deoxycholate (XLD) agar plates selective and differential for </w:t>
      </w:r>
      <w:r w:rsidRPr="00F035C5">
        <w:rPr>
          <w:i/>
          <w:iCs/>
        </w:rPr>
        <w:t>S. enterica</w:t>
      </w:r>
      <w:r w:rsidRPr="00F035C5">
        <w:t xml:space="preserve"> growth and incubate plates for 24–48 hours. I confirm</w:t>
      </w:r>
      <w:r w:rsidR="00396E9A">
        <w:t>ed</w:t>
      </w:r>
      <w:r w:rsidRPr="00F035C5">
        <w:t xml:space="preserve"> presumptive</w:t>
      </w:r>
      <w:r w:rsidR="00396E9A">
        <w:t xml:space="preserve"> and unkown</w:t>
      </w:r>
      <w:r w:rsidRPr="00F035C5">
        <w:t xml:space="preserve"> colonies using matrix-assisted laser desorption/ionization time-of-flight mass spectrometry </w:t>
      </w:r>
      <w:r w:rsidRPr="00F035C5">
        <w:lastRenderedPageBreak/>
        <w:t>(MALDI-TOF MS). I will serotype</w:t>
      </w:r>
      <w:r w:rsidR="00396E9A">
        <w:t>/WGS</w:t>
      </w:r>
      <w:r w:rsidRPr="00F035C5">
        <w:t xml:space="preserve"> confirmed isolates using O and H antigen testing following the </w:t>
      </w:r>
      <w:commentRangeStart w:id="7"/>
      <w:r w:rsidRPr="00F035C5">
        <w:t>Kauffmann-White scheme</w:t>
      </w:r>
      <w:commentRangeEnd w:id="7"/>
      <w:r w:rsidR="00396E9A" w:rsidRPr="00F035C5">
        <w:rPr>
          <w:rStyle w:val="CommentReference"/>
          <w:sz w:val="24"/>
          <w:szCs w:val="24"/>
        </w:rPr>
        <w:commentReference w:id="7"/>
      </w:r>
      <w:r w:rsidRPr="00F035C5">
        <w:t xml:space="preserve">, targeting serogroups B and D that include pathogenic serotypes such as Typhimurium and Enteritidis. Confirmed isolates are archived at -80°C for potential whole-genome sequencing to </w:t>
      </w:r>
      <w:r w:rsidR="00396E9A">
        <w:t>observe and record</w:t>
      </w:r>
      <w:r w:rsidRPr="00F035C5">
        <w:t xml:space="preserve"> antimicrobial resistance profiles and linkages to</w:t>
      </w:r>
      <w:r w:rsidR="00396E9A">
        <w:t xml:space="preserve"> other/</w:t>
      </w:r>
      <w:r w:rsidRPr="00F035C5">
        <w:t xml:space="preserve"> known outbreak strains.</w:t>
      </w:r>
    </w:p>
    <w:p w14:paraId="1F65182E" w14:textId="2FF9C3B5" w:rsidR="00F035C5" w:rsidRPr="00F035C5" w:rsidRDefault="00F035C5" w:rsidP="00F035C5">
      <w:r w:rsidRPr="00F035C5">
        <w:rPr>
          <w:b/>
          <w:bCs/>
        </w:rPr>
        <w:t>Participant Surveys</w:t>
      </w:r>
      <w:r w:rsidR="000A77B8">
        <w:rPr>
          <w:b/>
          <w:bCs/>
        </w:rPr>
        <w:t xml:space="preserve"> </w:t>
      </w:r>
    </w:p>
    <w:p w14:paraId="045D50DD" w14:textId="01239F61" w:rsidR="00F035C5" w:rsidRPr="00F035C5" w:rsidRDefault="00F035C5" w:rsidP="00F035C5">
      <w:r w:rsidRPr="00F035C5">
        <w:t xml:space="preserve">During the latter portion of the study timeline (2026–2027), I will administer voluntary surveys to participants at bird feeding and poultry-keeping sites to </w:t>
      </w:r>
      <w:r w:rsidR="00396E9A">
        <w:t>quantify the</w:t>
      </w:r>
      <w:r w:rsidRPr="00F035C5">
        <w:t xml:space="preserve"> </w:t>
      </w:r>
      <w:r w:rsidR="00396E9A">
        <w:t>phycological and behavioral dynamics</w:t>
      </w:r>
      <w:r w:rsidRPr="00F035C5">
        <w:t xml:space="preserve"> of </w:t>
      </w:r>
      <w:r w:rsidR="00396E9A">
        <w:t>participants</w:t>
      </w:r>
      <w:r w:rsidRPr="00F035C5">
        <w:t xml:space="preserve">. </w:t>
      </w:r>
      <w:r w:rsidR="00396E9A">
        <w:t>These surveys will be administered based</w:t>
      </w:r>
      <w:r w:rsidRPr="00F035C5">
        <w:t xml:space="preserve"> on validated instruments from peer-reviewed literature and </w:t>
      </w:r>
      <w:r w:rsidR="00396E9A">
        <w:t>addresses</w:t>
      </w:r>
      <w:r w:rsidRPr="00F035C5">
        <w:t xml:space="preserve"> five primary </w:t>
      </w:r>
      <w:r w:rsidR="00396E9A">
        <w:t>topics</w:t>
      </w:r>
      <w:r w:rsidRPr="00F035C5">
        <w:t>: disease knowledge and risk perception, feeder and coop maintenance and biosecurity practices, motivations for participating in backyard wildlife activities, pro-conservation attitudes and behaviors, and place attachment. I will also assess participant willingness to adopt evidence-based biosecurity recommendations and willingness to financially support bird conservation initiatives</w:t>
      </w:r>
      <w:r w:rsidR="002B317D">
        <w:t xml:space="preserve"> (by providing resources and asking hypothetical questions)</w:t>
      </w:r>
      <w:r w:rsidRPr="00F035C5">
        <w:t>. Demographic information including age, gender, education, income, household composition, property size, and residential area will also be collected to characterize the participant population. All survey responses will be anonymous and voluntary. Survey data will be linked to site-level</w:t>
      </w:r>
      <w:r w:rsidR="002B317D">
        <w:t xml:space="preserve"> </w:t>
      </w:r>
      <w:r w:rsidRPr="00F035C5">
        <w:t>data to evaluate the relationship between disease risk perception, biosecurity practice engagement, and actual infection rates at each site.</w:t>
      </w:r>
    </w:p>
    <w:p w14:paraId="697F3C40" w14:textId="26C83FD4" w:rsidR="00103E9F" w:rsidRDefault="00103E9F">
      <w:r>
        <w:br w:type="page"/>
      </w:r>
    </w:p>
    <w:p w14:paraId="6B455D70" w14:textId="262861EB" w:rsidR="005D5646" w:rsidRPr="009410EE" w:rsidRDefault="009410EE" w:rsidP="004975A6">
      <w:pPr>
        <w:rPr>
          <w:b/>
          <w:bCs/>
        </w:rPr>
      </w:pPr>
      <w:r>
        <w:rPr>
          <w:b/>
          <w:bCs/>
        </w:rPr>
        <w:lastRenderedPageBreak/>
        <w:t>Analysis/</w:t>
      </w:r>
      <w:r w:rsidR="00103E9F" w:rsidRPr="009410EE">
        <w:rPr>
          <w:b/>
          <w:bCs/>
        </w:rPr>
        <w:t>Results</w:t>
      </w:r>
    </w:p>
    <w:p w14:paraId="67FEEDD8" w14:textId="5F046F6E" w:rsidR="009410EE" w:rsidRDefault="009410EE" w:rsidP="004975A6">
      <w:r>
        <w:t xml:space="preserve">Disease Findings </w:t>
      </w:r>
    </w:p>
    <w:p w14:paraId="7C8B958E" w14:textId="53146FF7" w:rsidR="00103E9F" w:rsidRDefault="009410EE" w:rsidP="004975A6">
      <w:r>
        <w:t>Data/Behavior Findings</w:t>
      </w:r>
    </w:p>
    <w:p w14:paraId="1C3B0F4C" w14:textId="79EEC317" w:rsidR="009410EE" w:rsidRDefault="009410EE" w:rsidP="004975A6">
      <w:r>
        <w:t xml:space="preserve">Lab Results </w:t>
      </w:r>
    </w:p>
    <w:p w14:paraId="05AFFB58" w14:textId="4BB25DDF" w:rsidR="009410EE" w:rsidRDefault="009410EE" w:rsidP="004975A6">
      <w:r>
        <w:t xml:space="preserve">Survey Results </w:t>
      </w:r>
    </w:p>
    <w:p w14:paraId="58F37F70" w14:textId="77777777" w:rsidR="009410EE" w:rsidRDefault="009410EE" w:rsidP="004975A6"/>
    <w:p w14:paraId="5C9BD0FA" w14:textId="77777777" w:rsidR="009410EE" w:rsidRDefault="009410EE" w:rsidP="004975A6"/>
    <w:p w14:paraId="18FA0C1F" w14:textId="0AC0E8ED" w:rsidR="00103E9F" w:rsidRPr="009410EE" w:rsidRDefault="00103E9F" w:rsidP="004975A6">
      <w:r>
        <w:br w:type="page"/>
      </w:r>
      <w:r w:rsidR="009410EE" w:rsidRPr="009410EE">
        <w:rPr>
          <w:b/>
          <w:bCs/>
        </w:rPr>
        <w:lastRenderedPageBreak/>
        <w:t>Discussion</w:t>
      </w:r>
    </w:p>
    <w:p w14:paraId="21EEB7FF" w14:textId="1CD6A862" w:rsidR="009410EE" w:rsidRPr="009410EE" w:rsidRDefault="009410EE" w:rsidP="004975A6"/>
    <w:sectPr w:rsidR="009410EE" w:rsidRPr="009410EE" w:rsidSect="00A7050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elsey McCune" w:date="2026-04-01T09:59:00Z" w:initials="KBM">
    <w:p w14:paraId="75D20AD1" w14:textId="767153DC" w:rsidR="00252460" w:rsidRDefault="00252460" w:rsidP="00252460">
      <w:r>
        <w:rPr>
          <w:rStyle w:val="CommentReference"/>
        </w:rPr>
        <w:annotationRef/>
      </w:r>
      <w:r>
        <w:rPr>
          <w:sz w:val="20"/>
          <w:szCs w:val="20"/>
        </w:rPr>
        <w:t>I think an important way to frame the risk of chickens (and other domestic animals) is that they are a bridge species for zoonotic disease between wildlife and humans. Check out the Gamble et al., 2023 &amp; Hassel et al., 2017 papers I added to your GitHub</w:t>
      </w:r>
    </w:p>
  </w:comment>
  <w:comment w:id="1" w:author="Kelsey McCune" w:date="2026-03-24T09:01:00Z" w:initials="KBM">
    <w:p w14:paraId="77C467A3" w14:textId="77777777" w:rsidR="00462E21" w:rsidRDefault="00462E21" w:rsidP="00462E21">
      <w:r>
        <w:rPr>
          <w:rStyle w:val="CommentReference"/>
        </w:rPr>
        <w:annotationRef/>
      </w:r>
      <w:r>
        <w:rPr>
          <w:sz w:val="20"/>
          <w:szCs w:val="20"/>
        </w:rPr>
        <w:t xml:space="preserve">Yes, this is the general content that is needed for the last paragraph. We will tweak this paragraph more as we refine the rest of the intro, but one thing to think about is why is the southeastern US the right place to fill this gap in knowledge? </w:t>
      </w:r>
    </w:p>
  </w:comment>
  <w:comment w:id="2" w:author="Alex Fisher" w:date="2026-03-24T11:25:00Z" w:initials="AF">
    <w:p w14:paraId="7915B3F3" w14:textId="77777777" w:rsidR="00024254" w:rsidRDefault="00024254" w:rsidP="00024254">
      <w:r>
        <w:rPr>
          <w:rStyle w:val="CommentReference"/>
        </w:rPr>
        <w:annotationRef/>
      </w:r>
      <w:r>
        <w:rPr>
          <w:sz w:val="20"/>
          <w:szCs w:val="20"/>
        </w:rPr>
        <w:t xml:space="preserve">high seasonal condition variation, lots of agriculture, wildlife interest groups and suburban sprawl. </w:t>
      </w:r>
    </w:p>
  </w:comment>
  <w:comment w:id="3" w:author="Kelsey McCune" w:date="2026-04-01T11:08:00Z" w:initials="KBM">
    <w:p w14:paraId="0A445926" w14:textId="77777777" w:rsidR="00FA06D1" w:rsidRDefault="00FA06D1" w:rsidP="00FA06D1">
      <w:r>
        <w:rPr>
          <w:rStyle w:val="CommentReference"/>
        </w:rPr>
        <w:annotationRef/>
      </w:r>
      <w:r>
        <w:rPr>
          <w:sz w:val="20"/>
          <w:szCs w:val="20"/>
        </w:rPr>
        <w:t>Awesome, this is all great support for why the southeast is an ideal focal region. I think you should break this up into multiple sentences though and provide citations for each.  You can use the Welch et al 2019 salmonella paper that I added to your GitHub. I also added one (Harrigan et al 2014) on WNV and predicted climate change because it shows AL getting warmer, which according to the Welch paper will also help salmonella persist.</w:t>
      </w:r>
    </w:p>
  </w:comment>
  <w:comment w:id="4" w:author="Kelsey McCune" w:date="2026-03-24T09:02:00Z" w:initials="KBM">
    <w:p w14:paraId="585E9004" w14:textId="45AB6018" w:rsidR="00462E21" w:rsidRDefault="00462E21" w:rsidP="00462E21">
      <w:r>
        <w:rPr>
          <w:rStyle w:val="CommentReference"/>
        </w:rPr>
        <w:annotationRef/>
      </w:r>
      <w:r>
        <w:rPr>
          <w:sz w:val="20"/>
          <w:szCs w:val="20"/>
        </w:rPr>
        <w:t xml:space="preserve">Now at the end of the intro consider whether you have given enough information to set up all aspects of your research? </w:t>
      </w:r>
    </w:p>
  </w:comment>
  <w:comment w:id="5" w:author="Alex Fisher" w:date="2026-07-02T12:21:00Z" w:initials="AF">
    <w:p w14:paraId="48BC502D" w14:textId="77777777" w:rsidR="00103E9F" w:rsidRDefault="00103E9F" w:rsidP="00103E9F">
      <w:r>
        <w:rPr>
          <w:rStyle w:val="CommentReference"/>
        </w:rPr>
        <w:annotationRef/>
      </w:r>
      <w:r>
        <w:rPr>
          <w:sz w:val="20"/>
          <w:szCs w:val="20"/>
        </w:rPr>
        <w:t>Maybe a new title for this section?</w:t>
      </w:r>
    </w:p>
  </w:comment>
  <w:comment w:id="6" w:author="Alex Fisher" w:date="2026-07-02T12:03:00Z" w:initials="AF">
    <w:p w14:paraId="28E976BC" w14:textId="77777777" w:rsidR="00F035C5" w:rsidRDefault="00F035C5" w:rsidP="00F035C5">
      <w:r>
        <w:rPr>
          <w:rStyle w:val="CommentReference"/>
        </w:rPr>
        <w:annotationRef/>
      </w:r>
      <w:r>
        <w:rPr>
          <w:sz w:val="20"/>
          <w:szCs w:val="20"/>
        </w:rPr>
        <w:t xml:space="preserve">keeping this at 12 for now, can adjust after completing proposal </w:t>
      </w:r>
    </w:p>
  </w:comment>
  <w:comment w:id="7" w:author="Alex Fisher" w:date="2026-07-02T12:15:00Z" w:initials="AF">
    <w:p w14:paraId="34CFDA37" w14:textId="77777777" w:rsidR="00396E9A" w:rsidRDefault="00396E9A" w:rsidP="00396E9A">
      <w:r>
        <w:rPr>
          <w:rStyle w:val="CommentReference"/>
        </w:rPr>
        <w:annotationRef/>
      </w:r>
      <w:r>
        <w:rPr>
          <w:sz w:val="20"/>
          <w:szCs w:val="20"/>
        </w:rPr>
        <w:t>classifies salmonella into serotypes based on surface antigens (O and 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5D20AD1" w15:done="0"/>
  <w15:commentEx w15:paraId="77C467A3" w15:done="0"/>
  <w15:commentEx w15:paraId="7915B3F3" w15:paraIdParent="77C467A3" w15:done="0"/>
  <w15:commentEx w15:paraId="0A445926" w15:done="0"/>
  <w15:commentEx w15:paraId="585E9004" w15:done="0"/>
  <w15:commentEx w15:paraId="48BC502D" w15:done="0"/>
  <w15:commentEx w15:paraId="28E976BC" w15:done="0"/>
  <w15:commentEx w15:paraId="34CFDA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81327B7" w16cex:dateUtc="2026-04-01T14:59:00Z"/>
  <w16cex:commentExtensible w16cex:durableId="5441F447" w16cex:dateUtc="2026-03-24T14:01:00Z"/>
  <w16cex:commentExtensible w16cex:durableId="2129AE12" w16cex:dateUtc="2026-03-24T16:25:00Z"/>
  <w16cex:commentExtensible w16cex:durableId="4643176E" w16cex:dateUtc="2026-04-01T16:08:00Z"/>
  <w16cex:commentExtensible w16cex:durableId="6D1D4A8C" w16cex:dateUtc="2026-03-24T14:02:00Z"/>
  <w16cex:commentExtensible w16cex:durableId="3854D19D" w16cex:dateUtc="2026-07-02T17:21:00Z"/>
  <w16cex:commentExtensible w16cex:durableId="7058214B" w16cex:dateUtc="2026-07-02T17:03:00Z"/>
  <w16cex:commentExtensible w16cex:durableId="3119063E" w16cex:dateUtc="2026-07-02T1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5D20AD1" w16cid:durableId="181327B7"/>
  <w16cid:commentId w16cid:paraId="77C467A3" w16cid:durableId="5441F447"/>
  <w16cid:commentId w16cid:paraId="7915B3F3" w16cid:durableId="2129AE12"/>
  <w16cid:commentId w16cid:paraId="0A445926" w16cid:durableId="4643176E"/>
  <w16cid:commentId w16cid:paraId="585E9004" w16cid:durableId="6D1D4A8C"/>
  <w16cid:commentId w16cid:paraId="48BC502D" w16cid:durableId="3854D19D"/>
  <w16cid:commentId w16cid:paraId="28E976BC" w16cid:durableId="7058214B"/>
  <w16cid:commentId w16cid:paraId="34CFDA37" w16cid:durableId="311906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908652" w14:textId="77777777" w:rsidR="005C348C" w:rsidRDefault="005C348C" w:rsidP="00E30DE2">
      <w:pPr>
        <w:spacing w:after="0" w:line="240" w:lineRule="auto"/>
      </w:pPr>
      <w:r>
        <w:separator/>
      </w:r>
    </w:p>
  </w:endnote>
  <w:endnote w:type="continuationSeparator" w:id="0">
    <w:p w14:paraId="1EB87A86" w14:textId="77777777" w:rsidR="005C348C" w:rsidRDefault="005C348C" w:rsidP="00E30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840D1A" w14:textId="77777777" w:rsidR="005C348C" w:rsidRDefault="005C348C" w:rsidP="00E30DE2">
      <w:pPr>
        <w:spacing w:after="0" w:line="240" w:lineRule="auto"/>
      </w:pPr>
      <w:r>
        <w:separator/>
      </w:r>
    </w:p>
  </w:footnote>
  <w:footnote w:type="continuationSeparator" w:id="0">
    <w:p w14:paraId="7E00118A" w14:textId="77777777" w:rsidR="005C348C" w:rsidRDefault="005C348C" w:rsidP="00E30D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E621CC"/>
    <w:multiLevelType w:val="hybridMultilevel"/>
    <w:tmpl w:val="5E4AD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94687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elsey McCune">
    <w15:presenceInfo w15:providerId="None" w15:userId="Kelsey McCune"/>
  </w15:person>
  <w15:person w15:author="Alex Fisher">
    <w15:presenceInfo w15:providerId="AD" w15:userId="S::amf0080@auburn.edu::18480bde-8768-4851-bd71-24a6dd2d472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A81"/>
    <w:rsid w:val="00024254"/>
    <w:rsid w:val="00041E86"/>
    <w:rsid w:val="00074CFA"/>
    <w:rsid w:val="000750D4"/>
    <w:rsid w:val="000A77B8"/>
    <w:rsid w:val="000C570C"/>
    <w:rsid w:val="000F7CE1"/>
    <w:rsid w:val="00103E9F"/>
    <w:rsid w:val="00104E3E"/>
    <w:rsid w:val="0011092A"/>
    <w:rsid w:val="00127B8C"/>
    <w:rsid w:val="0013117E"/>
    <w:rsid w:val="00196A49"/>
    <w:rsid w:val="001A3780"/>
    <w:rsid w:val="001A5B30"/>
    <w:rsid w:val="001F107B"/>
    <w:rsid w:val="001F6374"/>
    <w:rsid w:val="00233C0A"/>
    <w:rsid w:val="00252460"/>
    <w:rsid w:val="002A601F"/>
    <w:rsid w:val="002B317D"/>
    <w:rsid w:val="002F0C39"/>
    <w:rsid w:val="0030348D"/>
    <w:rsid w:val="0032632E"/>
    <w:rsid w:val="00362F9B"/>
    <w:rsid w:val="00390715"/>
    <w:rsid w:val="00396E9A"/>
    <w:rsid w:val="003C6DDD"/>
    <w:rsid w:val="00462E21"/>
    <w:rsid w:val="00480F4A"/>
    <w:rsid w:val="004975A6"/>
    <w:rsid w:val="004C01C2"/>
    <w:rsid w:val="004C691D"/>
    <w:rsid w:val="004E6E92"/>
    <w:rsid w:val="004F319C"/>
    <w:rsid w:val="005C348C"/>
    <w:rsid w:val="005D5646"/>
    <w:rsid w:val="00682EC8"/>
    <w:rsid w:val="006B2EE0"/>
    <w:rsid w:val="006F4DAA"/>
    <w:rsid w:val="007052BF"/>
    <w:rsid w:val="0072108C"/>
    <w:rsid w:val="00736808"/>
    <w:rsid w:val="007B10F3"/>
    <w:rsid w:val="007D3DE3"/>
    <w:rsid w:val="007D7F46"/>
    <w:rsid w:val="00802F39"/>
    <w:rsid w:val="0080405D"/>
    <w:rsid w:val="00810F99"/>
    <w:rsid w:val="008131E2"/>
    <w:rsid w:val="00846611"/>
    <w:rsid w:val="00850136"/>
    <w:rsid w:val="00882AB9"/>
    <w:rsid w:val="0089352D"/>
    <w:rsid w:val="00897A91"/>
    <w:rsid w:val="00912EFB"/>
    <w:rsid w:val="00917589"/>
    <w:rsid w:val="00933CD8"/>
    <w:rsid w:val="009410EE"/>
    <w:rsid w:val="009A2318"/>
    <w:rsid w:val="009D1038"/>
    <w:rsid w:val="00A11D14"/>
    <w:rsid w:val="00A34970"/>
    <w:rsid w:val="00A43311"/>
    <w:rsid w:val="00A53CEE"/>
    <w:rsid w:val="00A70505"/>
    <w:rsid w:val="00AA6E9E"/>
    <w:rsid w:val="00AB18B7"/>
    <w:rsid w:val="00AD45DC"/>
    <w:rsid w:val="00AD7DBE"/>
    <w:rsid w:val="00B475E6"/>
    <w:rsid w:val="00BA1EE8"/>
    <w:rsid w:val="00BD1A15"/>
    <w:rsid w:val="00C37270"/>
    <w:rsid w:val="00C51A04"/>
    <w:rsid w:val="00D4377C"/>
    <w:rsid w:val="00D63653"/>
    <w:rsid w:val="00D71561"/>
    <w:rsid w:val="00D76817"/>
    <w:rsid w:val="00DA58A0"/>
    <w:rsid w:val="00DC04DF"/>
    <w:rsid w:val="00E1006A"/>
    <w:rsid w:val="00E12D0B"/>
    <w:rsid w:val="00E30DE2"/>
    <w:rsid w:val="00E415CB"/>
    <w:rsid w:val="00E47EF5"/>
    <w:rsid w:val="00E71A81"/>
    <w:rsid w:val="00ED22EE"/>
    <w:rsid w:val="00EE5323"/>
    <w:rsid w:val="00EF7316"/>
    <w:rsid w:val="00F035C5"/>
    <w:rsid w:val="00F0417F"/>
    <w:rsid w:val="00F25EAD"/>
    <w:rsid w:val="00F35181"/>
    <w:rsid w:val="00FA06D1"/>
    <w:rsid w:val="00FA0A0A"/>
    <w:rsid w:val="00FA0CCC"/>
    <w:rsid w:val="00FA0E82"/>
    <w:rsid w:val="00FF0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D783"/>
  <w15:chartTrackingRefBased/>
  <w15:docId w15:val="{D6286458-FD2A-C840-A247-48B9B3F1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A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A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A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A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A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A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A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A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A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A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A81"/>
    <w:rPr>
      <w:rFonts w:eastAsiaTheme="majorEastAsia" w:cstheme="majorBidi"/>
      <w:color w:val="272727" w:themeColor="text1" w:themeTint="D8"/>
    </w:rPr>
  </w:style>
  <w:style w:type="paragraph" w:styleId="Title">
    <w:name w:val="Title"/>
    <w:basedOn w:val="Normal"/>
    <w:next w:val="Normal"/>
    <w:link w:val="TitleChar"/>
    <w:uiPriority w:val="10"/>
    <w:qFormat/>
    <w:rsid w:val="00E71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A81"/>
    <w:pPr>
      <w:spacing w:before="160"/>
      <w:jc w:val="center"/>
    </w:pPr>
    <w:rPr>
      <w:i/>
      <w:iCs/>
      <w:color w:val="404040" w:themeColor="text1" w:themeTint="BF"/>
    </w:rPr>
  </w:style>
  <w:style w:type="character" w:customStyle="1" w:styleId="QuoteChar">
    <w:name w:val="Quote Char"/>
    <w:basedOn w:val="DefaultParagraphFont"/>
    <w:link w:val="Quote"/>
    <w:uiPriority w:val="29"/>
    <w:rsid w:val="00E71A81"/>
    <w:rPr>
      <w:i/>
      <w:iCs/>
      <w:color w:val="404040" w:themeColor="text1" w:themeTint="BF"/>
    </w:rPr>
  </w:style>
  <w:style w:type="paragraph" w:styleId="ListParagraph">
    <w:name w:val="List Paragraph"/>
    <w:basedOn w:val="Normal"/>
    <w:uiPriority w:val="34"/>
    <w:qFormat/>
    <w:rsid w:val="00E71A81"/>
    <w:pPr>
      <w:ind w:left="720"/>
      <w:contextualSpacing/>
    </w:pPr>
  </w:style>
  <w:style w:type="character" w:styleId="IntenseEmphasis">
    <w:name w:val="Intense Emphasis"/>
    <w:basedOn w:val="DefaultParagraphFont"/>
    <w:uiPriority w:val="21"/>
    <w:qFormat/>
    <w:rsid w:val="00E71A81"/>
    <w:rPr>
      <w:i/>
      <w:iCs/>
      <w:color w:val="2F5496" w:themeColor="accent1" w:themeShade="BF"/>
    </w:rPr>
  </w:style>
  <w:style w:type="paragraph" w:styleId="IntenseQuote">
    <w:name w:val="Intense Quote"/>
    <w:basedOn w:val="Normal"/>
    <w:next w:val="Normal"/>
    <w:link w:val="IntenseQuoteChar"/>
    <w:uiPriority w:val="30"/>
    <w:qFormat/>
    <w:rsid w:val="00E71A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A81"/>
    <w:rPr>
      <w:i/>
      <w:iCs/>
      <w:color w:val="2F5496" w:themeColor="accent1" w:themeShade="BF"/>
    </w:rPr>
  </w:style>
  <w:style w:type="character" w:styleId="IntenseReference">
    <w:name w:val="Intense Reference"/>
    <w:basedOn w:val="DefaultParagraphFont"/>
    <w:uiPriority w:val="32"/>
    <w:qFormat/>
    <w:rsid w:val="00E71A81"/>
    <w:rPr>
      <w:b/>
      <w:bCs/>
      <w:smallCaps/>
      <w:color w:val="2F5496" w:themeColor="accent1" w:themeShade="BF"/>
      <w:spacing w:val="5"/>
    </w:rPr>
  </w:style>
  <w:style w:type="paragraph" w:styleId="Header">
    <w:name w:val="header"/>
    <w:basedOn w:val="Normal"/>
    <w:link w:val="HeaderChar"/>
    <w:uiPriority w:val="99"/>
    <w:unhideWhenUsed/>
    <w:rsid w:val="00E30D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DE2"/>
  </w:style>
  <w:style w:type="paragraph" w:styleId="Footer">
    <w:name w:val="footer"/>
    <w:basedOn w:val="Normal"/>
    <w:link w:val="FooterChar"/>
    <w:uiPriority w:val="99"/>
    <w:unhideWhenUsed/>
    <w:rsid w:val="00E30D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DE2"/>
  </w:style>
  <w:style w:type="paragraph" w:styleId="Revision">
    <w:name w:val="Revision"/>
    <w:hidden/>
    <w:uiPriority w:val="99"/>
    <w:semiHidden/>
    <w:rsid w:val="00462E21"/>
    <w:pPr>
      <w:spacing w:after="0" w:line="240" w:lineRule="auto"/>
    </w:pPr>
  </w:style>
  <w:style w:type="character" w:styleId="CommentReference">
    <w:name w:val="annotation reference"/>
    <w:basedOn w:val="DefaultParagraphFont"/>
    <w:uiPriority w:val="99"/>
    <w:semiHidden/>
    <w:unhideWhenUsed/>
    <w:rsid w:val="00462E21"/>
    <w:rPr>
      <w:sz w:val="16"/>
      <w:szCs w:val="16"/>
    </w:rPr>
  </w:style>
  <w:style w:type="paragraph" w:styleId="CommentText">
    <w:name w:val="annotation text"/>
    <w:basedOn w:val="Normal"/>
    <w:link w:val="CommentTextChar"/>
    <w:uiPriority w:val="99"/>
    <w:semiHidden/>
    <w:unhideWhenUsed/>
    <w:rsid w:val="00462E21"/>
    <w:pPr>
      <w:spacing w:line="240" w:lineRule="auto"/>
    </w:pPr>
    <w:rPr>
      <w:sz w:val="20"/>
      <w:szCs w:val="20"/>
    </w:rPr>
  </w:style>
  <w:style w:type="character" w:customStyle="1" w:styleId="CommentTextChar">
    <w:name w:val="Comment Text Char"/>
    <w:basedOn w:val="DefaultParagraphFont"/>
    <w:link w:val="CommentText"/>
    <w:uiPriority w:val="99"/>
    <w:semiHidden/>
    <w:rsid w:val="00462E21"/>
    <w:rPr>
      <w:sz w:val="20"/>
      <w:szCs w:val="20"/>
    </w:rPr>
  </w:style>
  <w:style w:type="paragraph" w:styleId="CommentSubject">
    <w:name w:val="annotation subject"/>
    <w:basedOn w:val="CommentText"/>
    <w:next w:val="CommentText"/>
    <w:link w:val="CommentSubjectChar"/>
    <w:uiPriority w:val="99"/>
    <w:semiHidden/>
    <w:unhideWhenUsed/>
    <w:rsid w:val="00462E21"/>
    <w:rPr>
      <w:b/>
      <w:bCs/>
    </w:rPr>
  </w:style>
  <w:style w:type="character" w:customStyle="1" w:styleId="CommentSubjectChar">
    <w:name w:val="Comment Subject Char"/>
    <w:basedOn w:val="CommentTextChar"/>
    <w:link w:val="CommentSubject"/>
    <w:uiPriority w:val="99"/>
    <w:semiHidden/>
    <w:rsid w:val="00462E21"/>
    <w:rPr>
      <w:b/>
      <w:bCs/>
      <w:sz w:val="20"/>
      <w:szCs w:val="20"/>
    </w:rPr>
  </w:style>
  <w:style w:type="character" w:styleId="Emphasis">
    <w:name w:val="Emphasis"/>
    <w:basedOn w:val="DefaultParagraphFont"/>
    <w:uiPriority w:val="20"/>
    <w:qFormat/>
    <w:rsid w:val="007B10F3"/>
    <w:rPr>
      <w:i/>
      <w:iCs/>
    </w:rPr>
  </w:style>
  <w:style w:type="character" w:styleId="Hyperlink">
    <w:name w:val="Hyperlink"/>
    <w:basedOn w:val="DefaultParagraphFont"/>
    <w:uiPriority w:val="99"/>
    <w:unhideWhenUsed/>
    <w:rsid w:val="007B10F3"/>
    <w:rPr>
      <w:color w:val="0563C1" w:themeColor="hyperlink"/>
      <w:u w:val="single"/>
    </w:rPr>
  </w:style>
  <w:style w:type="character" w:styleId="UnresolvedMention">
    <w:name w:val="Unresolved Mention"/>
    <w:basedOn w:val="DefaultParagraphFont"/>
    <w:uiPriority w:val="99"/>
    <w:semiHidden/>
    <w:unhideWhenUsed/>
    <w:rsid w:val="007B10F3"/>
    <w:rPr>
      <w:color w:val="605E5C"/>
      <w:shd w:val="clear" w:color="auto" w:fill="E1DFDD"/>
    </w:rPr>
  </w:style>
  <w:style w:type="paragraph" w:styleId="NormalWeb">
    <w:name w:val="Normal (Web)"/>
    <w:basedOn w:val="Normal"/>
    <w:uiPriority w:val="99"/>
    <w:unhideWhenUsed/>
    <w:rsid w:val="00EE532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tree.2006.11.001" TargetMode="External"/><Relationship Id="rId13" Type="http://schemas.openxmlformats.org/officeDocument/2006/relationships/hyperlink" Target="https://doi.org/10.3201/eid2911.230332" TargetMode="External"/><Relationship Id="rId18" Type="http://schemas.openxmlformats.org/officeDocument/2006/relationships/hyperlink" Target="https://doi.org/10.1371/journal.pone.0158717"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016/j.tree.2016.09.012" TargetMode="External"/><Relationship Id="rId12" Type="http://schemas.microsoft.com/office/2018/08/relationships/commentsExtensible" Target="commentsExtensible.xml"/><Relationship Id="rId17" Type="http://schemas.openxmlformats.org/officeDocument/2006/relationships/hyperlink" Target="https://doi.org/10.3390/su12124885" TargetMode="External"/><Relationship Id="rId2" Type="http://schemas.openxmlformats.org/officeDocument/2006/relationships/styles" Target="styles.xml"/><Relationship Id="rId16" Type="http://schemas.openxmlformats.org/officeDocument/2006/relationships/hyperlink" Target="https://doi.org/10.1111/zph.12686" TargetMode="External"/><Relationship Id="rId20" Type="http://schemas.openxmlformats.org/officeDocument/2006/relationships/hyperlink" Target="https://doi.org/10.1002/pan3.10432"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yperlink" Target="https://doi.org/10.1186/s13567-025-01671-0" TargetMode="Externa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https://doi.org/10.1002/pan3.17"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doi.org/10.1016/j.annepidem.2025.10.008"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3417</Words>
  <Characters>19483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Fisher</dc:creator>
  <cp:keywords/>
  <dc:description/>
  <cp:lastModifiedBy>Alex Fisher</cp:lastModifiedBy>
  <cp:revision>4</cp:revision>
  <dcterms:created xsi:type="dcterms:W3CDTF">2026-07-02T17:23:00Z</dcterms:created>
  <dcterms:modified xsi:type="dcterms:W3CDTF">2026-07-02T19:33:00Z</dcterms:modified>
</cp:coreProperties>
</file>