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053E6885"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 xml:space="preserve">Birds are among the most well-studied and widespread taxa in the animal kingdom, filling critical roles in ecosystems worldwide through mechanisms such as insect control, pollination, seed dispersal and more. </w:t>
      </w:r>
      <w:r w:rsidR="00933CD8" w:rsidRPr="00933CD8">
        <w:t xml:space="preserve">While many bird species have adapted to a capacity 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B255FD">
        <w:t xml:space="preserve"> </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Pr="00127B8C" w:rsidRDefault="00127B8C" w:rsidP="00127B8C">
      <w:pPr>
        <w:rPr>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56DB01D4"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0EE682E7" w:rsidR="00BD1A15" w:rsidRDefault="004C691D" w:rsidP="004E6E92">
      <w:r>
        <w:t>This often creates opportunities for</w:t>
      </w:r>
      <w:r w:rsidR="00462E21">
        <w:t xml:space="preserve"> novel</w:t>
      </w:r>
      <w:r>
        <w:t xml:space="preserve"> contact between wild bird species, chicken flocks, domestic pets and humans as well and can allow for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0"/>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0"/>
      <w:r w:rsidR="00252460" w:rsidRPr="00A34970">
        <w:rPr>
          <w:rStyle w:val="CommentReference"/>
          <w:sz w:val="24"/>
          <w:szCs w:val="24"/>
        </w:rPr>
        <w:commentReference w:id="0"/>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The combined proximity of human dwellings, bird feeders, and chicken housing may render these interacting 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lastRenderedPageBreak/>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4E8E6B60"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affected 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and </w:t>
      </w:r>
      <w:r w:rsidR="004F319C">
        <w:t>current studies may</w:t>
      </w:r>
      <w:r w:rsidR="007B10F3">
        <w:t xml:space="preserve"> suggest that targeted education and risk mitigation practices can </w:t>
      </w:r>
      <w:r w:rsidR="004F319C">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lastRenderedPageBreak/>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2FB37DB6"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AD7DBE">
        <w:t>small-scale</w:t>
      </w:r>
      <w:r w:rsidR="00DC04DF">
        <w:t xml:space="preserve"> poultry.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w:t>
      </w:r>
      <w:r w:rsidR="003C6DDD" w:rsidRPr="003C6DDD">
        <w:rPr>
          <w:sz w:val="13"/>
          <w:szCs w:val="13"/>
        </w:rPr>
        <w:lastRenderedPageBreak/>
        <w:t xml:space="preserve">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146A5F92" w14:textId="188813F7" w:rsidR="00802F39" w:rsidRPr="00AD7DBE" w:rsidRDefault="00802F39" w:rsidP="00802F39">
      <w:pPr>
        <w:rPr>
          <w:sz w:val="13"/>
          <w:szCs w:val="13"/>
        </w:rPr>
      </w:pPr>
    </w:p>
    <w:p w14:paraId="3E1E6D95" w14:textId="4A8CD9EC" w:rsidR="00850136" w:rsidRPr="00850136" w:rsidRDefault="00850136" w:rsidP="00850136"/>
    <w:p w14:paraId="670BF5E9" w14:textId="52C66424" w:rsidR="00390715" w:rsidRDefault="00390715" w:rsidP="00390715"/>
    <w:p w14:paraId="06FE942A" w14:textId="77777777" w:rsidR="00DC04DF" w:rsidRDefault="00DC04DF"/>
    <w:p w14:paraId="7E4A8264" w14:textId="77777777" w:rsidR="00390715" w:rsidRDefault="00390715" w:rsidP="00390715"/>
    <w:p w14:paraId="31F90FA1" w14:textId="15DB22E3" w:rsidR="00462E21" w:rsidRDefault="0032632E" w:rsidP="007052BF">
      <w:r w:rsidRPr="00E30DE2">
        <w:rPr>
          <w:b/>
          <w:bCs/>
        </w:rPr>
        <w:t>P5:</w:t>
      </w:r>
    </w:p>
    <w:p w14:paraId="0EDA5F74" w14:textId="57DD45F0" w:rsidR="00A53CEE" w:rsidRPr="00AD7DBE" w:rsidRDefault="007052BF" w:rsidP="00A53CEE">
      <w:pPr>
        <w:rPr>
          <w:sz w:val="13"/>
          <w:szCs w:val="13"/>
        </w:rPr>
      </w:pPr>
      <w:commentRangeStart w:id="1"/>
      <w:commentRangeStart w:id="2"/>
      <w:r w:rsidRPr="007052BF">
        <w:t xml:space="preserve">Most existing research </w:t>
      </w:r>
      <w:commentRangeEnd w:id="1"/>
      <w:r w:rsidR="00462E21" w:rsidRPr="00882AB9">
        <w:rPr>
          <w:rStyle w:val="CommentReference"/>
          <w:sz w:val="24"/>
          <w:szCs w:val="24"/>
        </w:rPr>
        <w:commentReference w:id="1"/>
      </w:r>
      <w:commentRangeEnd w:id="2"/>
      <w:r w:rsidR="00024254" w:rsidRPr="00882AB9">
        <w:rPr>
          <w:rStyle w:val="CommentReference"/>
          <w:sz w:val="24"/>
          <w:szCs w:val="24"/>
        </w:rPr>
        <w:commentReference w:id="2"/>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3"/>
      <w:r w:rsidR="00882AB9">
        <w:t xml:space="preserve">This gap </w:t>
      </w:r>
      <w:r w:rsidR="00682EC8">
        <w:t xml:space="preserve">remains </w:t>
      </w:r>
      <w:r w:rsidR="00882AB9">
        <w:t xml:space="preserve">relevant in the southeastern United States, where suburban sprawl continues to expand the human-wildlife interface, seasonal variation in temperature and humidity creates year-round conditions for environmental pathogen persistence,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 </w:t>
      </w:r>
      <w:r w:rsidR="00682EC8" w:rsidRPr="00682EC8">
        <w:t>and wildlife watching participation</w:t>
      </w:r>
      <w:r w:rsidR="00682EC8">
        <w:t>,</w:t>
      </w:r>
      <w:r w:rsidR="00682EC8" w:rsidRPr="00682EC8">
        <w:t xml:space="preserve"> including bird</w:t>
      </w:r>
      <w:commentRangeEnd w:id="3"/>
      <w:r w:rsidR="00FA06D1" w:rsidRPr="00682EC8">
        <w:rPr>
          <w:rStyle w:val="CommentReference"/>
          <w:sz w:val="24"/>
          <w:szCs w:val="24"/>
        </w:rPr>
        <w:commentReference w:id="3"/>
      </w:r>
      <w:r w:rsidR="00682EC8" w:rsidRPr="00682EC8">
        <w:t xml:space="preserve"> feeding</w:t>
      </w:r>
      <w:r w:rsidR="00682EC8">
        <w:t xml:space="preserve">, </w:t>
      </w:r>
      <w:r w:rsidR="00682EC8" w:rsidRPr="00682EC8">
        <w:t>is among the highest of any region in the country, with the East South Central states reporting 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4"/>
      <w:r w:rsidRPr="007052BF">
        <w:t>human health.</w:t>
      </w:r>
      <w:commentRangeEnd w:id="4"/>
      <w:r w:rsidR="00462E21">
        <w:rPr>
          <w:rStyle w:val="CommentReference"/>
          <w:sz w:val="24"/>
          <w:szCs w:val="24"/>
        </w:rPr>
        <w:commentReference w:id="4"/>
      </w:r>
      <w:r w:rsidR="00A53CEE">
        <w:br/>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5"/>
      <w:r w:rsidRPr="00E30DE2">
        <w:rPr>
          <w:b/>
          <w:bCs/>
        </w:rPr>
        <w:lastRenderedPageBreak/>
        <w:t>Overarching Goals and Hypotheses</w:t>
      </w:r>
      <w:commentRangeEnd w:id="5"/>
      <w:r w:rsidR="00103E9F" w:rsidRPr="00E30DE2">
        <w:rPr>
          <w:rStyle w:val="CommentReference"/>
          <w:b/>
          <w:bCs/>
          <w:sz w:val="24"/>
          <w:szCs w:val="24"/>
        </w:rPr>
        <w:commentReference w:id="5"/>
      </w:r>
      <w:r w:rsidRPr="00E30DE2">
        <w:rPr>
          <w:b/>
          <w:bCs/>
        </w:rPr>
        <w:t>:</w:t>
      </w:r>
    </w:p>
    <w:p w14:paraId="5F2D9EA2" w14:textId="101837E1" w:rsidR="0013117E" w:rsidRDefault="00846611" w:rsidP="00846611">
      <w:r w:rsidRPr="00846611">
        <w:t xml:space="preserve">The overarching goal of this study 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r w:rsidR="0013117E">
        <w:t>T</w:t>
      </w:r>
      <w:r w:rsidRPr="00846611">
        <w:t>he</w:t>
      </w:r>
      <w:r w:rsidR="0013117E">
        <w:t xml:space="preserve"> overarching goal of this study is to quantify the conditions pertaining to 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r w:rsidR="0013117E">
        <w:t xml:space="preserve"> inform conservation and public health outcomes.</w:t>
      </w:r>
    </w:p>
    <w:p w14:paraId="74B3C59C" w14:textId="66125C24" w:rsidR="00846611" w:rsidRPr="00846611" w:rsidRDefault="0013117E" w:rsidP="00846611">
      <w:r w:rsidRPr="00846611" w:rsidDel="0013117E">
        <w:t xml:space="preserve"> </w:t>
      </w:r>
      <w:r w:rsidR="00846611" w:rsidRPr="00846611">
        <w:t>This study addresses three specific aims:</w:t>
      </w:r>
    </w:p>
    <w:p w14:paraId="2FB0F1E0" w14:textId="09CAF5CD" w:rsidR="00846611" w:rsidRPr="00846611" w:rsidRDefault="00846611" w:rsidP="00846611">
      <w:pPr>
        <w:rPr>
          <w:b/>
          <w:bCs/>
        </w:rPr>
      </w:pPr>
      <w:r w:rsidRPr="00846611">
        <w:rPr>
          <w:b/>
          <w:bCs/>
        </w:rPr>
        <w:t xml:space="preserve">Aim 1: </w:t>
      </w:r>
      <w:r w:rsidR="00897A91">
        <w:rPr>
          <w:b/>
          <w:bCs/>
        </w:rPr>
        <w:t xml:space="preserve">Quantify </w:t>
      </w:r>
      <w:r w:rsidR="00A43311">
        <w:rPr>
          <w:b/>
          <w:bCs/>
        </w:rPr>
        <w:t>F</w:t>
      </w:r>
      <w:r w:rsidRPr="00846611">
        <w:rPr>
          <w:b/>
          <w:bCs/>
        </w:rPr>
        <w:t xml:space="preserve">eeder </w:t>
      </w:r>
      <w:r w:rsidR="00A43311">
        <w:rPr>
          <w:b/>
          <w:bCs/>
        </w:rPr>
        <w:t>V</w:t>
      </w:r>
      <w:r w:rsidRPr="00846611">
        <w:rPr>
          <w:b/>
          <w:bCs/>
        </w:rPr>
        <w:t xml:space="preserve">isitation </w:t>
      </w:r>
      <w:r w:rsidR="00A43311">
        <w:rPr>
          <w:b/>
          <w:bCs/>
        </w:rPr>
        <w:t>F</w:t>
      </w:r>
      <w:r w:rsidRPr="00846611">
        <w:rPr>
          <w:b/>
          <w:bCs/>
        </w:rPr>
        <w:t xml:space="preserve">requency and </w:t>
      </w:r>
      <w:r w:rsidR="00A43311">
        <w:rPr>
          <w:b/>
          <w:bCs/>
        </w:rPr>
        <w:t>P</w:t>
      </w:r>
      <w:r w:rsidRPr="00846611">
        <w:rPr>
          <w:b/>
          <w:bCs/>
        </w:rPr>
        <w:t>athogen</w:t>
      </w:r>
      <w:r w:rsidR="00A11D14">
        <w:rPr>
          <w:b/>
          <w:bCs/>
        </w:rPr>
        <w:t xml:space="preserve"> </w:t>
      </w:r>
      <w:r w:rsidR="00A43311">
        <w:rPr>
          <w:b/>
          <w:bCs/>
        </w:rPr>
        <w:t>P</w:t>
      </w:r>
      <w:r w:rsidR="00A11D14">
        <w:rPr>
          <w:b/>
          <w:bCs/>
        </w:rPr>
        <w:t>revalence</w:t>
      </w:r>
    </w:p>
    <w:p w14:paraId="323BF01F" w14:textId="277E6A42" w:rsidR="00846611" w:rsidRPr="00846611" w:rsidRDefault="00A43311" w:rsidP="00846611">
      <w:r w:rsidRPr="00A43311">
        <w:t>We seek to test the relationship between the frequency that birds visit food sources and the probability of infection.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We therefore predict that wild birds with higher feeder visitation frequencies will have a higher probability of testing positive for pathogen infection.</w:t>
      </w:r>
    </w:p>
    <w:p w14:paraId="4077B59F" w14:textId="6C7BB487" w:rsidR="00846611" w:rsidRPr="00846611" w:rsidRDefault="00846611" w:rsidP="00846611">
      <w:pPr>
        <w:rPr>
          <w:b/>
          <w:bCs/>
        </w:rPr>
      </w:pPr>
      <w:r w:rsidRPr="00846611">
        <w:rPr>
          <w:b/>
          <w:bCs/>
        </w:rPr>
        <w:t xml:space="preserve">Aim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0D4AC407"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r w:rsidR="00FA06D1" w:rsidRPr="00846611">
        <w:t xml:space="preserve">We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34B6BBB8" w:rsidR="00846611" w:rsidRDefault="00846611" w:rsidP="004975A6">
      <w:r w:rsidRPr="00846611">
        <w:rPr>
          <w:b/>
          <w:bCs/>
        </w:rPr>
        <w:t xml:space="preserve">Aim 3: </w:t>
      </w:r>
      <w:r w:rsidR="00A43311" w:rsidRPr="00A43311">
        <w:rPr>
          <w:b/>
          <w:bCs/>
        </w:rPr>
        <w:t>Evaluate How Disease Risk Perception and Conservation Attitudes Shape Participant Behavior at Backyard Sites</w:t>
      </w:r>
      <w:r w:rsidR="00A11D14">
        <w:rPr>
          <w:b/>
          <w:bCs/>
        </w:rPr>
        <w:br/>
      </w:r>
      <w:r>
        <w:t>We</w:t>
      </w:r>
      <w:r w:rsidRPr="00846611">
        <w:t xml:space="preserve"> will characterize disease risk perception, biosecurity practice engagement, willingness to adjust backyard behaviors, and place attachment among participants in bird feeding and backyard poultry keeping in central Alabama through participant surveys. </w:t>
      </w:r>
      <w:r w:rsidR="00A11D14" w:rsidRPr="00A11D14">
        <w:t xml:space="preserve">If greater knowledge </w:t>
      </w:r>
      <w:r w:rsidR="00A11D14" w:rsidRPr="00A11D14">
        <w:lastRenderedPageBreak/>
        <w:t xml:space="preserve">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conservation outreach and evidence-based promotion</w:t>
      </w:r>
      <w:r w:rsidR="00A11D14">
        <w:t>s</w:t>
      </w:r>
      <w:r w:rsidR="00A11D14" w:rsidRPr="00A11D14">
        <w:t xml:space="preserve">. </w:t>
      </w:r>
      <w:r w:rsidRPr="00846611">
        <w:t xml:space="preserve">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5A73936E" w:rsidR="00F035C5" w:rsidRPr="00F035C5" w:rsidRDefault="00F035C5" w:rsidP="00F035C5">
      <w:r>
        <w:t>We performed this study</w:t>
      </w:r>
      <w:r w:rsidRPr="00F035C5">
        <w:t xml:space="preserve"> along an urban-to-rural gradient in central Alabama across </w:t>
      </w:r>
      <w:commentRangeStart w:id="6"/>
      <w:r w:rsidRPr="00F035C5">
        <w:t xml:space="preserve">twelve </w:t>
      </w:r>
      <w:commentRangeEnd w:id="6"/>
      <w:r w:rsidRPr="00F035C5">
        <w:rPr>
          <w:rStyle w:val="CommentReference"/>
          <w:sz w:val="24"/>
          <w:szCs w:val="24"/>
        </w:rPr>
        <w:commentReference w:id="6"/>
      </w:r>
      <w:r w:rsidRPr="00F035C5">
        <w:t>sites categorized into four treatment types: control sites with no</w:t>
      </w:r>
      <w:r>
        <w:t xml:space="preserve"> bird</w:t>
      </w:r>
      <w:r w:rsidRPr="00F035C5">
        <w:t xml:space="preserve">feeders or poultry (n = 4), bird feeder-only sites (n = 4), backyard chicken-only sites (n = 2), and sites with both feeders and chickens (n = 2). Sites were selected to ensure a baseline level of vegetation </w:t>
      </w:r>
      <w:r>
        <w:t xml:space="preserve">and habitat </w:t>
      </w:r>
      <w:r w:rsidRPr="00F035C5">
        <w:t xml:space="preserve">suitable for </w:t>
      </w:r>
      <w:r>
        <w:t>wild birds</w:t>
      </w:r>
      <w:r w:rsidRPr="00F035C5">
        <w:t xml:space="preserve"> </w:t>
      </w:r>
      <w:r w:rsidRPr="00F035C5">
        <w:t xml:space="preserve">and are sampled monthly </w:t>
      </w:r>
      <w:r>
        <w:t>since</w:t>
      </w:r>
      <w:r w:rsidRPr="00F035C5">
        <w:t xml:space="preserve"> </w:t>
      </w:r>
      <w:r w:rsidRPr="00F035C5">
        <w:t>summer 202</w:t>
      </w:r>
      <w:r>
        <w:t>4</w:t>
      </w:r>
      <w:r w:rsidRPr="00F035C5">
        <w:t xml:space="preserve">. </w:t>
      </w:r>
      <w:r>
        <w:t>Before adding a backyard site to my rotation</w:t>
      </w:r>
      <w:r w:rsidRPr="00F035C5">
        <w:t xml:space="preserve">, I </w:t>
      </w:r>
      <w:r>
        <w:t>provide</w:t>
      </w:r>
      <w:r w:rsidRPr="00F035C5">
        <w:t xml:space="preserve"> </w:t>
      </w:r>
      <w:r w:rsidRPr="00F035C5">
        <w:t>a standardized entry questionnaire to homeowners to record site-level characteristics including feeder type and placement, poultry housing configuration, current cleaning practices, presence of pets, and vegetation characteristics.</w:t>
      </w:r>
    </w:p>
    <w:p w14:paraId="08FA6B05" w14:textId="542A880D"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 xml:space="preserve">by individual </w:t>
      </w:r>
      <w:r w:rsidRPr="00F035C5">
        <w:t>over time. Migratory and unlisted species do not receive PIT tags.</w:t>
      </w:r>
    </w:p>
    <w:p w14:paraId="31C66C1E" w14:textId="4BA26742"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S</w:t>
      </w:r>
      <w:r w:rsidRPr="00F035C5">
        <w:t>oil and surface swabs from feeder and coop areas</w:t>
      </w:r>
      <w:r w:rsidR="00396E9A">
        <w:t xml:space="preserve"> were collected by Luke Watters</w:t>
      </w:r>
      <w:r w:rsidRPr="00F035C5">
        <w:t xml:space="preserve"> to characterize environmental pathogen reservoirs. All samples are transported on ice and stored at -80°C until processing.</w:t>
      </w:r>
      <w:r w:rsidR="00396E9A">
        <w:t xml:space="preserve"> Point-count surveys were performed at each site by Grace Southerland to determine biodiversity among wild birds. </w:t>
      </w:r>
    </w:p>
    <w:p w14:paraId="242E7BF0" w14:textId="77777777" w:rsidR="00F035C5" w:rsidRPr="00F035C5" w:rsidRDefault="00F035C5" w:rsidP="00F035C5">
      <w:r w:rsidRPr="00F035C5">
        <w:rPr>
          <w:b/>
          <w:bCs/>
        </w:rPr>
        <w:t>Laboratory Analysis</w:t>
      </w:r>
    </w:p>
    <w:p w14:paraId="372EF476" w14:textId="62FD3432" w:rsidR="00F035C5" w:rsidRPr="00F035C5" w:rsidRDefault="00F035C5" w:rsidP="00F035C5">
      <w:r w:rsidRPr="00F035C5">
        <w:t xml:space="preserve">Laboratory work is conducted at Auburn University in collaboration with the Thompson Bishop Sparks State Diagnostic Laboratory and the Departments of Poultry Science and Pathobiology. I enrich fecal samples in buffered peptone water, then transfer them to Rappaport-Vassiliadis broth selective for </w:t>
      </w:r>
      <w:r w:rsidRPr="00F035C5">
        <w:rPr>
          <w:i/>
          <w:iCs/>
        </w:rPr>
        <w:t>S. enterica</w:t>
      </w:r>
      <w:r w:rsidRPr="00F035C5">
        <w:t xml:space="preserve"> enrichment</w:t>
      </w:r>
      <w:r w:rsidR="00396E9A">
        <w:t>, both incubated for 24-48 hours each</w:t>
      </w:r>
      <w:r w:rsidRPr="00F035C5">
        <w:t xml:space="preserve">. I then streak from this broth onto xylose lysine deoxycholate (XLD) agar plates selective and differential for </w:t>
      </w:r>
      <w:r w:rsidRPr="00F035C5">
        <w:rPr>
          <w:i/>
          <w:iCs/>
        </w:rPr>
        <w:t>S. enterica</w:t>
      </w:r>
      <w:r w:rsidRPr="00F035C5">
        <w:t xml:space="preserve"> growth and incubate plates for 24–48 hours. I confirm</w:t>
      </w:r>
      <w:r w:rsidR="00396E9A">
        <w:t>ed</w:t>
      </w:r>
      <w:r w:rsidRPr="00F035C5">
        <w:t xml:space="preserve"> presumptive</w:t>
      </w:r>
      <w:r w:rsidR="00396E9A">
        <w:t xml:space="preserve"> and unkown</w:t>
      </w:r>
      <w:r w:rsidRPr="00F035C5">
        <w:t xml:space="preserve"> colonies using matrix-assisted laser desorption/ionization time-of-flight mass spectrometry </w:t>
      </w:r>
      <w:r w:rsidRPr="00F035C5">
        <w:lastRenderedPageBreak/>
        <w:t>(MALDI-TOF MS). I will serotype</w:t>
      </w:r>
      <w:r w:rsidR="00396E9A">
        <w:t>/WGS</w:t>
      </w:r>
      <w:r w:rsidRPr="00F035C5">
        <w:t xml:space="preserve"> confirmed isolates using O and H antigen testing following the </w:t>
      </w:r>
      <w:commentRangeStart w:id="7"/>
      <w:r w:rsidRPr="00F035C5">
        <w:t>Kauffmann-White scheme</w:t>
      </w:r>
      <w:commentRangeEnd w:id="7"/>
      <w:r w:rsidR="00396E9A" w:rsidRPr="00F035C5">
        <w:rPr>
          <w:rStyle w:val="CommentReference"/>
          <w:sz w:val="24"/>
          <w:szCs w:val="24"/>
        </w:rPr>
        <w:commentReference w:id="7"/>
      </w:r>
      <w:r w:rsidRPr="00F035C5">
        <w:t xml:space="preserve">, targeting serogroups B and D that include pathogenic serotypes such as Typhimurium and Enteritidis. Confirmed isolates are archived at -80°C for potential whole-genome sequencing to </w:t>
      </w:r>
      <w:r w:rsidR="00396E9A">
        <w:t>observe and record</w:t>
      </w:r>
      <w:r w:rsidRPr="00F035C5">
        <w:t xml:space="preserve"> antimicrobial resistance profiles and linkages to</w:t>
      </w:r>
      <w:r w:rsidR="00396E9A">
        <w:t xml:space="preserve"> other/</w:t>
      </w:r>
      <w:r w:rsidRPr="00F035C5">
        <w:t xml:space="preserve"> known outbreak strains.</w:t>
      </w:r>
    </w:p>
    <w:p w14:paraId="1F65182E" w14:textId="2FF9C3B5" w:rsidR="00F035C5" w:rsidRPr="00F035C5" w:rsidRDefault="00F035C5" w:rsidP="00F035C5">
      <w:r w:rsidRPr="00F035C5">
        <w:rPr>
          <w:b/>
          <w:bCs/>
        </w:rPr>
        <w:t>Participant Surveys</w:t>
      </w:r>
      <w:r w:rsidR="000A77B8">
        <w:rPr>
          <w:b/>
          <w:bCs/>
        </w:rPr>
        <w:t xml:space="preserve"> </w:t>
      </w:r>
    </w:p>
    <w:p w14:paraId="045D50DD" w14:textId="01239F61"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p>
    <w:p w14:paraId="697F3C40" w14:textId="26C83FD4" w:rsidR="00103E9F" w:rsidRDefault="00103E9F">
      <w:r>
        <w:br w:type="page"/>
      </w:r>
    </w:p>
    <w:p w14:paraId="6B455D70" w14:textId="10F103DE" w:rsidR="005D5646" w:rsidRPr="009410EE" w:rsidRDefault="00B255FD" w:rsidP="004975A6">
      <w:pPr>
        <w:rPr>
          <w:b/>
          <w:bCs/>
        </w:rPr>
      </w:pPr>
      <w:r>
        <w:rPr>
          <w:b/>
          <w:bCs/>
        </w:rPr>
        <w:lastRenderedPageBreak/>
        <w:t xml:space="preserve">Expected </w:t>
      </w:r>
      <w:r w:rsidR="00103E9F" w:rsidRPr="009410EE">
        <w:rPr>
          <w:b/>
          <w:bCs/>
        </w:rPr>
        <w:t>Results</w:t>
      </w:r>
    </w:p>
    <w:p w14:paraId="4699D536" w14:textId="7F3B745C" w:rsidR="00B255FD" w:rsidRDefault="00B255FD" w:rsidP="004975A6">
      <w:r>
        <w:t xml:space="preserve">We expect…. </w:t>
      </w:r>
    </w:p>
    <w:p w14:paraId="67FEEDD8" w14:textId="092E0C48" w:rsidR="009410EE" w:rsidRDefault="009410EE" w:rsidP="004975A6">
      <w:r>
        <w:t xml:space="preserve">Disease Findings </w:t>
      </w:r>
    </w:p>
    <w:p w14:paraId="7C8B958E" w14:textId="53146FF7" w:rsidR="00103E9F" w:rsidRDefault="009410EE" w:rsidP="004975A6">
      <w:r>
        <w:t>Data/Behavior Findings</w:t>
      </w:r>
    </w:p>
    <w:p w14:paraId="1C3B0F4C" w14:textId="79EEC317" w:rsidR="009410EE" w:rsidRDefault="009410EE" w:rsidP="004975A6">
      <w:r>
        <w:t xml:space="preserve">Lab Results </w:t>
      </w:r>
    </w:p>
    <w:p w14:paraId="05AFFB58" w14:textId="4BB25DDF" w:rsidR="009410EE" w:rsidRDefault="009410EE" w:rsidP="004975A6">
      <w:r>
        <w:t xml:space="preserve">Survey Results </w:t>
      </w:r>
    </w:p>
    <w:p w14:paraId="58F37F70" w14:textId="5D21F68C" w:rsidR="009410EE" w:rsidRDefault="00B255FD" w:rsidP="004975A6">
      <w:r>
        <w:t xml:space="preserve">In our preliminary findings we saw that this was supported/not supported… </w:t>
      </w:r>
    </w:p>
    <w:p w14:paraId="5C9BD0FA" w14:textId="77777777" w:rsidR="009410EE" w:rsidRDefault="009410EE" w:rsidP="004975A6"/>
    <w:p w14:paraId="0C7366B8" w14:textId="42384F13" w:rsidR="00B255FD" w:rsidRDefault="00B255FD" w:rsidP="004975A6">
      <w:r>
        <w:br w:type="page"/>
      </w:r>
    </w:p>
    <w:p w14:paraId="21EEB7FF" w14:textId="79EF8E09" w:rsidR="009410EE" w:rsidRPr="009410EE" w:rsidRDefault="00B255FD" w:rsidP="004975A6">
      <w:r>
        <w:rPr>
          <w:b/>
          <w:bCs/>
        </w:rPr>
        <w:lastRenderedPageBreak/>
        <w:t xml:space="preserve">Impacts </w:t>
      </w:r>
    </w:p>
    <w:sectPr w:rsidR="009410EE"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2"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3"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4"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5"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 w:author="Alex Fisher" w:date="2026-07-02T12:03:00Z" w:initials="AF">
    <w:p w14:paraId="28E976BC" w14:textId="77777777" w:rsidR="00F035C5" w:rsidRDefault="00F035C5" w:rsidP="00F035C5">
      <w:r>
        <w:rPr>
          <w:rStyle w:val="CommentReference"/>
        </w:rPr>
        <w:annotationRef/>
      </w:r>
      <w:r>
        <w:rPr>
          <w:sz w:val="20"/>
          <w:szCs w:val="20"/>
        </w:rPr>
        <w:t xml:space="preserve">keeping this at 12 for now, can adjust after completing proposal </w:t>
      </w:r>
    </w:p>
  </w:comment>
  <w:comment w:id="7" w:author="Alex Fisher" w:date="2026-07-02T12:15:00Z" w:initials="AF">
    <w:p w14:paraId="34CFDA37" w14:textId="77777777" w:rsidR="00396E9A" w:rsidRDefault="00396E9A" w:rsidP="00396E9A">
      <w:r>
        <w:rPr>
          <w:rStyle w:val="CommentReference"/>
        </w:rPr>
        <w:annotationRef/>
      </w:r>
      <w:r>
        <w:rPr>
          <w:sz w:val="20"/>
          <w:szCs w:val="20"/>
        </w:rPr>
        <w:t>classifies salmonella into serotypes based on surface antigens (O and 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5D20AD1" w15:done="0"/>
  <w15:commentEx w15:paraId="77C467A3" w15:done="0"/>
  <w15:commentEx w15:paraId="7915B3F3" w15:paraIdParent="77C467A3" w15:done="0"/>
  <w15:commentEx w15:paraId="0A445926" w15:done="0"/>
  <w15:commentEx w15:paraId="585E9004" w15:done="0"/>
  <w15:commentEx w15:paraId="48BC502D" w15:done="0"/>
  <w15:commentEx w15:paraId="28E976BC" w15:done="0"/>
  <w15:commentEx w15:paraId="34CFDA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3854D19D" w16cex:dateUtc="2026-07-02T17:21:00Z"/>
  <w16cex:commentExtensible w16cex:durableId="7058214B" w16cex:dateUtc="2026-07-02T17:03:00Z"/>
  <w16cex:commentExtensible w16cex:durableId="3119063E" w16cex:dateUtc="2026-07-02T17: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48BC502D" w16cid:durableId="3854D19D"/>
  <w16cid:commentId w16cid:paraId="28E976BC" w16cid:durableId="7058214B"/>
  <w16cid:commentId w16cid:paraId="34CFDA37" w16cid:durableId="311906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D48758" w14:textId="77777777" w:rsidR="001E6921" w:rsidRDefault="001E6921" w:rsidP="00E30DE2">
      <w:pPr>
        <w:spacing w:after="0" w:line="240" w:lineRule="auto"/>
      </w:pPr>
      <w:r>
        <w:separator/>
      </w:r>
    </w:p>
  </w:endnote>
  <w:endnote w:type="continuationSeparator" w:id="0">
    <w:p w14:paraId="6AC43E37" w14:textId="77777777" w:rsidR="001E6921" w:rsidRDefault="001E6921"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B1494A" w14:textId="77777777" w:rsidR="001E6921" w:rsidRDefault="001E6921" w:rsidP="00E30DE2">
      <w:pPr>
        <w:spacing w:after="0" w:line="240" w:lineRule="auto"/>
      </w:pPr>
      <w:r>
        <w:separator/>
      </w:r>
    </w:p>
  </w:footnote>
  <w:footnote w:type="continuationSeparator" w:id="0">
    <w:p w14:paraId="35BCD2EC" w14:textId="77777777" w:rsidR="001E6921" w:rsidRDefault="001E6921"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41E86"/>
    <w:rsid w:val="00074CFA"/>
    <w:rsid w:val="000750D4"/>
    <w:rsid w:val="000A77B8"/>
    <w:rsid w:val="000C570C"/>
    <w:rsid w:val="000F7CE1"/>
    <w:rsid w:val="00103E9F"/>
    <w:rsid w:val="00104E3E"/>
    <w:rsid w:val="0011092A"/>
    <w:rsid w:val="00127B8C"/>
    <w:rsid w:val="0013117E"/>
    <w:rsid w:val="00196A49"/>
    <w:rsid w:val="001A3780"/>
    <w:rsid w:val="001A5B30"/>
    <w:rsid w:val="001E6921"/>
    <w:rsid w:val="001F107B"/>
    <w:rsid w:val="001F6374"/>
    <w:rsid w:val="00233C0A"/>
    <w:rsid w:val="00252460"/>
    <w:rsid w:val="002A601F"/>
    <w:rsid w:val="002B317D"/>
    <w:rsid w:val="002F0C39"/>
    <w:rsid w:val="0030348D"/>
    <w:rsid w:val="0032632E"/>
    <w:rsid w:val="00362F9B"/>
    <w:rsid w:val="00390715"/>
    <w:rsid w:val="00396E9A"/>
    <w:rsid w:val="003C6DDD"/>
    <w:rsid w:val="00462E21"/>
    <w:rsid w:val="00480F4A"/>
    <w:rsid w:val="004975A6"/>
    <w:rsid w:val="004C01C2"/>
    <w:rsid w:val="004C691D"/>
    <w:rsid w:val="004E6E92"/>
    <w:rsid w:val="004F319C"/>
    <w:rsid w:val="005D5646"/>
    <w:rsid w:val="00682EC8"/>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352D"/>
    <w:rsid w:val="00897A91"/>
    <w:rsid w:val="00912EFB"/>
    <w:rsid w:val="00917589"/>
    <w:rsid w:val="00933CD8"/>
    <w:rsid w:val="009410EE"/>
    <w:rsid w:val="009A2318"/>
    <w:rsid w:val="009D1038"/>
    <w:rsid w:val="00A11D14"/>
    <w:rsid w:val="00A34970"/>
    <w:rsid w:val="00A43311"/>
    <w:rsid w:val="00A53CEE"/>
    <w:rsid w:val="00A70505"/>
    <w:rsid w:val="00AA6E9E"/>
    <w:rsid w:val="00AB18B7"/>
    <w:rsid w:val="00AD45DC"/>
    <w:rsid w:val="00AD7DBE"/>
    <w:rsid w:val="00B255FD"/>
    <w:rsid w:val="00B475E6"/>
    <w:rsid w:val="00BA1EE8"/>
    <w:rsid w:val="00BD1A15"/>
    <w:rsid w:val="00C37270"/>
    <w:rsid w:val="00C51A04"/>
    <w:rsid w:val="00CC1834"/>
    <w:rsid w:val="00D4377C"/>
    <w:rsid w:val="00D63653"/>
    <w:rsid w:val="00D71561"/>
    <w:rsid w:val="00D76817"/>
    <w:rsid w:val="00DA58A0"/>
    <w:rsid w:val="00DC04DF"/>
    <w:rsid w:val="00E1006A"/>
    <w:rsid w:val="00E12D0B"/>
    <w:rsid w:val="00E30DE2"/>
    <w:rsid w:val="00E415CB"/>
    <w:rsid w:val="00E47EF5"/>
    <w:rsid w:val="00E71A81"/>
    <w:rsid w:val="00ED22EE"/>
    <w:rsid w:val="00EE5323"/>
    <w:rsid w:val="00EF7316"/>
    <w:rsid w:val="00F035C5"/>
    <w:rsid w:val="00F0417F"/>
    <w:rsid w:val="00F25EAD"/>
    <w:rsid w:val="00F35181"/>
    <w:rsid w:val="00FA06D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11</Pages>
  <Words>3430</Words>
  <Characters>19556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6</cp:revision>
  <dcterms:created xsi:type="dcterms:W3CDTF">2026-07-02T17:23:00Z</dcterms:created>
  <dcterms:modified xsi:type="dcterms:W3CDTF">2026-07-02T21:07:00Z</dcterms:modified>
</cp:coreProperties>
</file>