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Theory</w:t>
      </w:r>
    </w:p>
    <w:bookmarkStart w:id="25" w:name="X101a49722b46945b805634bbdb8b28ccf9e9921"/>
    <w:p>
      <w:pPr>
        <w:pStyle w:val="Heading2"/>
      </w:pPr>
      <w:r>
        <w:t xml:space="preserve">Proportional-hazards models and intra-class correlation</w:t>
      </w:r>
    </w:p>
    <w:p>
      <w:pPr>
        <w:pStyle w:val="FirstParagraph"/>
      </w:pPr>
      <w:r>
        <w:t xml:space="preserve">Cox proportional-hazards models (or Cox regression) estimate the hazard (rate) of an event occurring in relation to predictor variables with time-to-event data (i.e., time taken till the event or censoring; Cox 1972). The hazard is a rate (or risk) of which an event occurring at time</w:t>
      </w:r>
      <w:r>
        <w:t xml:space="preserve"> </w:t>
      </w:r>
      <m:oMath>
        <m:r>
          <m:t>t</m:t>
        </m:r>
      </m:oMath>
      <w:r>
        <w:t xml:space="preserve">. The hazard rate is defined in a Cox model as:</w:t>
      </w:r>
    </w:p>
    <w:p>
      <w:pPr>
        <w:pStyle w:val="BodyText"/>
      </w:pPr>
      <w:bookmarkStart w:id="20" w:name="eq-cox1"/>
      <m:oMathPara>
        <m:oMathParaPr>
          <m:jc m:val="center"/>
        </m:oMathParaPr>
        <m:oMath>
          <m:sSub>
            <m:e>
              <m:r>
                <m:t>λ</m:t>
              </m:r>
            </m:e>
            <m:sub>
              <m:r>
                <m:t>i</m:t>
              </m:r>
            </m:sub>
          </m:sSub>
          <m:d>
            <m:dPr>
              <m:begChr m:val="("/>
              <m:endChr m:val=")"/>
              <m:sepChr m:val=""/>
              <m:grow/>
            </m:dPr>
            <m:e>
              <m:r>
                <m:t>t</m:t>
              </m:r>
            </m:e>
          </m:d>
          <m:r>
            <m:rPr>
              <m:sty m:val="p"/>
            </m:rPr>
            <m:t>=</m:t>
          </m:r>
          <m:sSub>
            <m:e>
              <m:r>
                <m:t>λ</m:t>
              </m:r>
            </m:e>
            <m:sub>
              <m:r>
                <m:t>0</m:t>
              </m:r>
            </m:sub>
          </m:sSub>
          <m:d>
            <m:dPr>
              <m:begChr m:val="("/>
              <m:endChr m:val=")"/>
              <m:sepChr m:val=""/>
              <m:grow/>
            </m:dPr>
            <m:e>
              <m:r>
                <m:t>t</m:t>
              </m:r>
            </m:e>
          </m:d>
          <m:r>
            <m:rPr>
              <m:sty m:val="p"/>
            </m:rPr>
            <m:t>exp</m:t>
          </m:r>
          <m:d>
            <m:dPr>
              <m:begChr m:val="("/>
              <m:endChr m:val=")"/>
              <m:sepChr m:val=""/>
              <m:grow/>
            </m:dPr>
            <m:e>
              <m:sSub>
                <m:e>
                  <m:r>
                    <m:t>b</m:t>
                  </m:r>
                </m:e>
                <m:sub>
                  <m:r>
                    <m:t>1</m:t>
                  </m:r>
                </m:sub>
              </m:sSub>
              <m:sSub>
                <m:e>
                  <m:r>
                    <m:t>x</m:t>
                  </m:r>
                </m:e>
                <m:sub>
                  <m:r>
                    <m:t>1</m:t>
                  </m:r>
                </m:sub>
              </m:sSub>
              <m:r>
                <m:rPr>
                  <m:sty m:val="p"/>
                </m:rPr>
                <m:t>+</m:t>
              </m:r>
              <m:sSub>
                <m:e>
                  <m:r>
                    <m:t>b</m:t>
                  </m:r>
                </m:e>
                <m:sub>
                  <m:r>
                    <m:t>2</m:t>
                  </m:r>
                </m:sub>
              </m:sSub>
              <m:sSub>
                <m:e>
                  <m:r>
                    <m:t>x</m:t>
                  </m:r>
                </m:e>
                <m:sub>
                  <m:r>
                    <m:t>2</m:t>
                  </m:r>
                </m:sub>
              </m:sSub>
              <m:r>
                <m:rPr>
                  <m:sty m:val="p"/>
                </m:rPr>
                <m:t>+</m:t>
              </m:r>
              <m:r>
                <m:rPr>
                  <m:sty m:val="p"/>
                </m:rPr>
                <m:t>…</m:t>
              </m:r>
              <m:r>
                <m:rPr>
                  <m:sty m:val="p"/>
                </m:rPr>
                <m:t>+</m:t>
              </m:r>
              <m:sSub>
                <m:e>
                  <m:r>
                    <m:t>b</m:t>
                  </m:r>
                </m:e>
                <m:sub>
                  <m:r>
                    <m:t>m</m:t>
                  </m:r>
                </m:sub>
              </m:sSub>
              <m:sSub>
                <m:e>
                  <m:r>
                    <m:t>x</m:t>
                  </m:r>
                </m:e>
                <m:sub>
                  <m:r>
                    <m:t>m</m:t>
                  </m:r>
                </m:sub>
              </m:sSub>
            </m:e>
          </m:d>
          <m:r>
            <m:rPr>
              <m:sty m:val="p"/>
            </m:rPr>
            <m:t>,</m:t>
          </m:r>
          <m:r>
            <m:t>  </m:t>
          </m:r>
          <m:d>
            <m:dPr>
              <m:begChr m:val="("/>
              <m:endChr m:val=")"/>
              <m:sepChr m:val=""/>
              <m:grow/>
            </m:dPr>
            <m:e>
              <m:r>
                <m:t>1</m:t>
              </m:r>
            </m:e>
          </m:d>
        </m:oMath>
      </m:oMathPara>
      <w:bookmarkEnd w:id="20"/>
    </w:p>
    <w:p>
      <w:pPr>
        <w:pStyle w:val="FirstParagraph"/>
      </w:pPr>
      <w:r>
        <w:t xml:space="preserve">where</w:t>
      </w:r>
      <w:r>
        <w:t xml:space="preserve"> </w:t>
      </w:r>
      <m:oMath>
        <m:r>
          <m:t>λ</m:t>
        </m:r>
        <m:d>
          <m:dPr>
            <m:begChr m:val="("/>
            <m:endChr m:val=")"/>
            <m:sepChr m:val=""/>
            <m:grow/>
          </m:dPr>
          <m:e>
            <m:r>
              <m:t>t</m:t>
            </m:r>
          </m:e>
        </m:d>
      </m:oMath>
      <w:r>
        <w:t xml:space="preserve"> </w:t>
      </w:r>
      <w:r>
        <w:t xml:space="preserve">is the hazard rate at time</w:t>
      </w:r>
      <w:r>
        <w:t xml:space="preserve"> </w:t>
      </w:r>
      <m:oMath>
        <m:r>
          <m:t>t</m:t>
        </m:r>
      </m:oMath>
      <w:r>
        <w:t xml:space="preserve"> </w:t>
      </w:r>
      <w:r>
        <w:t xml:space="preserve">for the</w:t>
      </w:r>
      <w:r>
        <w:t xml:space="preserve"> </w:t>
      </w:r>
      <w:r>
        <w:rPr>
          <w:iCs/>
          <w:i/>
        </w:rPr>
        <w:t xml:space="preserve">i</w:t>
      </w:r>
      <w:r>
        <w:t xml:space="preserve">th subject (individual),</w:t>
      </w:r>
      <w:r>
        <w:t xml:space="preserve"> </w:t>
      </w:r>
      <m:oMath>
        <m:sSub>
          <m:e>
            <m:r>
              <m:t>λ</m:t>
            </m:r>
          </m:e>
          <m:sub>
            <m:r>
              <m:t>0</m:t>
            </m:r>
          </m:sub>
        </m:sSub>
        <m:d>
          <m:dPr>
            <m:begChr m:val="("/>
            <m:endChr m:val=")"/>
            <m:sepChr m:val=""/>
            <m:grow/>
          </m:dPr>
          <m:e>
            <m:r>
              <m:t>t</m:t>
            </m:r>
          </m:e>
        </m:d>
      </m:oMath>
      <w:r>
        <w:t xml:space="preserve"> </w:t>
      </w:r>
      <w:r>
        <w:t xml:space="preserve">is the baseline hazard rate,</w:t>
      </w:r>
      <w:r>
        <w:t xml:space="preserve"> </w:t>
      </w:r>
      <m:oMath>
        <m:sSub>
          <m:e>
            <m:r>
              <m:t>β</m:t>
            </m:r>
          </m:e>
          <m:sub>
            <m:r>
              <m:t>1</m:t>
            </m:r>
          </m:sub>
        </m:sSub>
        <m:r>
          <m:rPr>
            <m:sty m:val="p"/>
          </m:rPr>
          <m:t>,</m:t>
        </m:r>
        <m:sSub>
          <m:e>
            <m:r>
              <m:t>β</m:t>
            </m:r>
          </m:e>
          <m:sub>
            <m:r>
              <m:t>2</m:t>
            </m:r>
          </m:sub>
        </m:sSub>
        <m:r>
          <m:rPr>
            <m:sty m:val="p"/>
          </m:rPr>
          <m:t>,</m:t>
        </m:r>
        <m:r>
          <m:rPr>
            <m:sty m:val="p"/>
          </m:rPr>
          <m:t>…</m:t>
        </m:r>
        <m:r>
          <m:rPr>
            <m:sty m:val="p"/>
          </m:rPr>
          <m:t>,</m:t>
        </m:r>
        <m:sSub>
          <m:e>
            <m:r>
              <m:t>β</m:t>
            </m:r>
          </m:e>
          <m:sub>
            <m:r>
              <m:t>m</m:t>
            </m:r>
          </m:sub>
        </m:sSub>
      </m:oMath>
      <w:r>
        <w:t xml:space="preserve"> </w:t>
      </w:r>
      <w:r>
        <w:t xml:space="preserve">are the regression coefficients, and</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m</m:t>
            </m:r>
          </m:sub>
        </m:sSub>
      </m:oMath>
      <w:r>
        <w:t xml:space="preserve"> </w:t>
      </w:r>
      <w:r>
        <w:t xml:space="preserve">are the predictor variables. Note</w:t>
      </w:r>
      <w:r>
        <w:t xml:space="preserve"> </w:t>
      </w:r>
      <m:oMath>
        <m:sSub>
          <m:e>
            <m:r>
              <m:t>λ</m:t>
            </m:r>
          </m:e>
          <m:sub>
            <m:r>
              <m:t>0</m:t>
            </m:r>
          </m:sub>
        </m:sSub>
        <m:d>
          <m:dPr>
            <m:begChr m:val="("/>
            <m:endChr m:val=")"/>
            <m:sepChr m:val=""/>
            <m:grow/>
          </m:dPr>
          <m:e>
            <m:r>
              <m:t>t</m:t>
            </m:r>
          </m:e>
        </m:d>
      </m:oMath>
      <w:r>
        <w:t xml:space="preserve"> </w:t>
      </w:r>
      <w:r>
        <w:t xml:space="preserve">take the place of the intercept as</w:t>
      </w:r>
      <w:r>
        <w:t xml:space="preserve"> </w:t>
      </w:r>
      <m:oMath>
        <m:r>
          <m:rPr>
            <m:sty m:val="p"/>
          </m:rPr>
          <m:t>exp</m:t>
        </m:r>
        <m:r>
          <m:rPr>
            <m:sty m:val="p"/>
          </m:rPr>
          <m:t>(</m:t>
        </m:r>
        <m:r>
          <m:rPr>
            <m:sty m:val="p"/>
          </m:rPr>
          <m:t>ln</m:t>
        </m:r>
        <m:d>
          <m:dPr>
            <m:begChr m:val="("/>
            <m:endChr m:val=")"/>
            <m:sepChr m:val=""/>
            <m:grow/>
          </m:dPr>
          <m:e>
            <m:sSub>
              <m:e>
                <m:r>
                  <m:t>λ</m:t>
                </m:r>
              </m:e>
              <m:sub>
                <m:r>
                  <m:t>0</m:t>
                </m:r>
              </m:sub>
            </m:sSub>
            <m:d>
              <m:dPr>
                <m:begChr m:val="("/>
                <m:endChr m:val=")"/>
                <m:sepChr m:val=""/>
                <m:grow/>
              </m:dPr>
              <m:e>
                <m:r>
                  <m:t>t</m:t>
                </m:r>
              </m:e>
            </m:d>
          </m:e>
        </m:d>
        <m:r>
          <m:rPr>
            <m:sty m:val="p"/>
          </m:rPr>
          <m:t>+</m:t>
        </m:r>
        <m:sSub>
          <m:e>
            <m:r>
              <m:t>b</m:t>
            </m:r>
          </m:e>
          <m:sub>
            <m:r>
              <m:t>1</m:t>
            </m:r>
          </m:sub>
        </m:sSub>
        <m:sSub>
          <m:e>
            <m:r>
              <m:t>x</m:t>
            </m:r>
          </m:e>
          <m:sub>
            <m:r>
              <m:t>1</m:t>
            </m:r>
          </m:sub>
        </m:sSub>
        <m:r>
          <m:rPr>
            <m:sty m:val="p"/>
          </m:rPr>
          <m:t>+</m:t>
        </m:r>
        <m:sSub>
          <m:e>
            <m:r>
              <m:rPr>
                <m:sty m:val="p"/>
              </m:rPr>
              <m:t>…</m:t>
            </m:r>
          </m:e>
          <m:sub>
            <m:r>
              <m:rPr>
                <m:sty m:val="p"/>
              </m:rPr>
              <m:t>)</m:t>
            </m:r>
          </m:sub>
        </m:sSub>
      </m:oMath>
      <w:r>
        <w:t xml:space="preserve"> </w:t>
      </w:r>
      <w:r>
        <w:t xml:space="preserve">or</w:t>
      </w:r>
      <w:r>
        <w:t xml:space="preserve"> </w:t>
      </w:r>
      <m:oMath>
        <m:r>
          <m:rPr>
            <m:sty m:val="p"/>
          </m:rPr>
          <m:t>exp</m:t>
        </m:r>
        <m:r>
          <m:rPr>
            <m:sty m:val="p"/>
          </m:rPr>
          <m:t>(</m:t>
        </m:r>
        <m:sSub>
          <m:e>
            <m:r>
              <m:t>b</m:t>
            </m:r>
          </m:e>
          <m:sub>
            <m:r>
              <m:t>0</m:t>
            </m:r>
          </m:sub>
        </m:sSub>
        <m:r>
          <m:rPr>
            <m:sty m:val="p"/>
          </m:rPr>
          <m:t>+</m:t>
        </m:r>
        <m:sSub>
          <m:e>
            <m:r>
              <m:t>b</m:t>
            </m:r>
          </m:e>
          <m:sub>
            <m:r>
              <m:t>1</m:t>
            </m:r>
          </m:sub>
        </m:sSub>
        <m:sSub>
          <m:e>
            <m:r>
              <m:t>x</m:t>
            </m:r>
          </m:e>
          <m:sub>
            <m:r>
              <m:t>1</m:t>
            </m:r>
          </m:sub>
        </m:sSub>
        <m:r>
          <m:rPr>
            <m:sty m:val="p"/>
          </m:rPr>
          <m:t>+</m:t>
        </m:r>
        <m:sSub>
          <m:e>
            <m:r>
              <m:rPr>
                <m:sty m:val="p"/>
              </m:rPr>
              <m:t>…</m:t>
            </m:r>
          </m:e>
          <m:sub>
            <m:r>
              <m:rPr>
                <m:sty m:val="p"/>
              </m:rPr>
              <m:t>)</m:t>
            </m:r>
          </m:sub>
        </m:sSub>
      </m:oMath>
      <w:r>
        <w:t xml:space="preserve"> </w:t>
      </w:r>
      <w:r>
        <w:t xml:space="preserve">where</w:t>
      </w:r>
      <w:r>
        <w:t xml:space="preserve"> </w:t>
      </w:r>
      <m:oMath>
        <m:r>
          <m:rPr>
            <m:sty m:val="p"/>
          </m:rPr>
          <m:t>ln</m:t>
        </m:r>
        <m:d>
          <m:dPr>
            <m:begChr m:val="("/>
            <m:endChr m:val=")"/>
            <m:sepChr m:val=""/>
            <m:grow/>
          </m:dPr>
          <m:e>
            <m:sSub>
              <m:e>
                <m:r>
                  <m:t>λ</m:t>
                </m:r>
              </m:e>
              <m:sub>
                <m:r>
                  <m:t>0</m:t>
                </m:r>
              </m:sub>
            </m:sSub>
            <m:d>
              <m:dPr>
                <m:begChr m:val="("/>
                <m:endChr m:val=")"/>
                <m:sepChr m:val=""/>
                <m:grow/>
              </m:dPr>
              <m:e>
                <m:r>
                  <m:t>t</m:t>
                </m:r>
              </m:e>
            </m:d>
          </m:e>
        </m:d>
        <m:r>
          <m:rPr>
            <m:sty m:val="p"/>
          </m:rPr>
          <m:t>=</m:t>
        </m:r>
        <m:r>
          <m:t>b</m:t>
        </m:r>
        <m:r>
          <m:t>0</m:t>
        </m:r>
      </m:oMath>
      <w:r>
        <w:t xml:space="preserve"> </w:t>
      </w:r>
      <w:r>
        <w:t xml:space="preserve">(</w:t>
      </w:r>
      <w:r>
        <w:t xml:space="preserve">‘</w:t>
      </w:r>
      <w:r>
        <w:t xml:space="preserve">ln</w:t>
      </w:r>
      <w:r>
        <w:t xml:space="preserve">’</w:t>
      </w:r>
      <w:r>
        <w:t xml:space="preserve"> </w:t>
      </w:r>
      <w:r>
        <w:t xml:space="preserve">is a natural logarithm). Equation 1 can be rearranged to:</w:t>
      </w:r>
    </w:p>
    <w:p>
      <w:pPr>
        <w:pStyle w:val="BodyText"/>
      </w:pPr>
      <w:bookmarkStart w:id="21" w:name="eq-cox2"/>
      <m:oMathPara>
        <m:oMathParaPr>
          <m:jc m:val="center"/>
        </m:oMathParaPr>
        <m:oMath>
          <m:r>
            <m:rPr>
              <m:sty m:val="p"/>
            </m:rPr>
            <m:t>ln</m:t>
          </m:r>
          <m:d>
            <m:dPr>
              <m:begChr m:val="("/>
              <m:endChr m:val=")"/>
              <m:sepChr m:val=""/>
              <m:grow/>
            </m:dPr>
            <m:e>
              <m:f>
                <m:fPr>
                  <m:type m:val="bar"/>
                </m:fPr>
                <m:num>
                  <m:sSub>
                    <m:e>
                      <m:r>
                        <m:t>λ</m:t>
                      </m:r>
                    </m:e>
                    <m:sub>
                      <m:r>
                        <m:t>i</m:t>
                      </m:r>
                    </m:sub>
                  </m:sSub>
                  <m:d>
                    <m:dPr>
                      <m:begChr m:val="("/>
                      <m:endChr m:val=")"/>
                      <m:sepChr m:val=""/>
                      <m:grow/>
                    </m:dPr>
                    <m:e>
                      <m:r>
                        <m:t>t</m:t>
                      </m:r>
                    </m:e>
                  </m:d>
                </m:num>
                <m:den>
                  <m:sSub>
                    <m:e>
                      <m:r>
                        <m:t>λ</m:t>
                      </m:r>
                    </m:e>
                    <m:sub>
                      <m:r>
                        <m:t>0</m:t>
                      </m:r>
                    </m:sub>
                  </m:sSub>
                  <m:d>
                    <m:dPr>
                      <m:begChr m:val="("/>
                      <m:endChr m:val=")"/>
                      <m:sepChr m:val=""/>
                      <m:grow/>
                    </m:dPr>
                    <m:e>
                      <m:r>
                        <m:t>t</m:t>
                      </m:r>
                    </m:e>
                  </m:d>
                </m:den>
              </m:f>
            </m:e>
          </m:d>
          <m:r>
            <m:rPr>
              <m:sty m:val="p"/>
            </m:rPr>
            <m:t>=</m:t>
          </m:r>
          <m:sSub>
            <m:e>
              <m:r>
                <m:t>b</m:t>
              </m:r>
            </m:e>
            <m:sub>
              <m:r>
                <m:t>1</m:t>
              </m:r>
            </m:sub>
          </m:sSub>
          <m:sSub>
            <m:e>
              <m:r>
                <m:t>x</m:t>
              </m:r>
            </m:e>
            <m:sub>
              <m:r>
                <m:t>1</m:t>
              </m:r>
            </m:sub>
          </m:sSub>
          <m:r>
            <m:rPr>
              <m:sty m:val="p"/>
            </m:rPr>
            <m:t>+</m:t>
          </m:r>
          <m:sSub>
            <m:e>
              <m:r>
                <m:t>b</m:t>
              </m:r>
            </m:e>
            <m:sub>
              <m:r>
                <m:t>2</m:t>
              </m:r>
            </m:sub>
          </m:sSub>
          <m:sSub>
            <m:e>
              <m:r>
                <m:t>x</m:t>
              </m:r>
            </m:e>
            <m:sub>
              <m:r>
                <m:t>2</m:t>
              </m:r>
            </m:sub>
          </m:sSub>
          <m:r>
            <m:rPr>
              <m:sty m:val="p"/>
            </m:rPr>
            <m:t>+</m:t>
          </m:r>
          <m:r>
            <m:rPr>
              <m:sty m:val="p"/>
            </m:rPr>
            <m:t>…</m:t>
          </m:r>
          <m:r>
            <m:rPr>
              <m:sty m:val="p"/>
            </m:rPr>
            <m:t>+</m:t>
          </m:r>
          <m:sSub>
            <m:e>
              <m:r>
                <m:t>b</m:t>
              </m:r>
            </m:e>
            <m:sub>
              <m:r>
                <m:t>m</m:t>
              </m:r>
            </m:sub>
          </m:sSub>
          <m:sSub>
            <m:e>
              <m:r>
                <m:t>x</m:t>
              </m:r>
            </m:e>
            <m:sub>
              <m:r>
                <m:t>m</m:t>
              </m:r>
            </m:sub>
          </m:sSub>
          <m:r>
            <m:rPr>
              <m:sty m:val="p"/>
            </m:rPr>
            <m:t>,</m:t>
          </m:r>
          <m:r>
            <m:t>  </m:t>
          </m:r>
          <m:d>
            <m:dPr>
              <m:begChr m:val="("/>
              <m:endChr m:val=")"/>
              <m:sepChr m:val=""/>
              <m:grow/>
            </m:dPr>
            <m:e>
              <m:r>
                <m:t>2</m:t>
              </m:r>
            </m:e>
          </m:d>
        </m:oMath>
      </m:oMathPara>
      <w:bookmarkEnd w:id="21"/>
    </w:p>
    <w:p>
      <w:pPr>
        <w:pStyle w:val="FirstParagraph"/>
      </w:pPr>
      <w:r>
        <w:t xml:space="preserve">for the right hand side to take a linear form, which is more familiar for many readers although it does not have the intercept (i.e.,</w:t>
      </w:r>
      <w:r>
        <w:t xml:space="preserve"> </w:t>
      </w:r>
      <m:oMath>
        <m:sSub>
          <m:e>
            <m:r>
              <m:t>b</m:t>
            </m:r>
          </m:e>
          <m:sub>
            <m:r>
              <m:t>0</m:t>
            </m:r>
          </m:sub>
        </m:sSub>
      </m:oMath>
      <w:r>
        <w:t xml:space="preserve">) and the residual term (i.e.,</w:t>
      </w:r>
      <w:r>
        <w:t xml:space="preserve"> </w:t>
      </w:r>
      <m:oMath>
        <m:r>
          <m:t>ε</m:t>
        </m:r>
      </m:oMath>
      <w:r>
        <w:t xml:space="preserve">). To fit such a model using, for example, R, one needs to provide the time-to-event data in the form of a</w:t>
      </w:r>
      <w:r>
        <w:t xml:space="preserve"> </w:t>
      </w:r>
      <w:r>
        <w:rPr>
          <w:rStyle w:val="VerbatimChar"/>
        </w:rPr>
        <w:t xml:space="preserve">Surv</w:t>
      </w:r>
      <w:r>
        <w:t xml:space="preserve"> </w:t>
      </w:r>
      <w:r>
        <w:t xml:space="preserve">object (e.g.,</w:t>
      </w:r>
      <w:r>
        <w:t xml:space="preserve"> </w:t>
      </w:r>
      <w:r>
        <w:rPr>
          <w:rStyle w:val="VerbatimChar"/>
        </w:rPr>
        <w:t xml:space="preserve">Surv(time, event)</w:t>
      </w:r>
      <w:r>
        <w:t xml:space="preserve"> </w:t>
      </w:r>
      <w:r>
        <w:t xml:space="preserve">where</w:t>
      </w:r>
      <w:r>
        <w:t xml:space="preserve"> </w:t>
      </w:r>
      <w:r>
        <w:rPr>
          <w:rStyle w:val="VerbatimChar"/>
        </w:rPr>
        <w:t xml:space="preserve">time</w:t>
      </w:r>
      <w:r>
        <w:t xml:space="preserve"> </w:t>
      </w:r>
      <w:r>
        <w:t xml:space="preserve">is time taken till an event or censoring and</w:t>
      </w:r>
      <w:r>
        <w:t xml:space="preserve"> </w:t>
      </w:r>
      <w:r>
        <w:rPr>
          <w:rStyle w:val="VerbatimChar"/>
        </w:rPr>
        <w:t xml:space="preserve">event</w:t>
      </w:r>
      <w:r>
        <w:t xml:space="preserve"> </w:t>
      </w:r>
      <w:r>
        <w:t xml:space="preserve">is usually 0 or 1, indicating whether the event occurred or not). The Cox model can be fitted using the</w:t>
      </w:r>
      <w:r>
        <w:t xml:space="preserve"> </w:t>
      </w:r>
      <w:r>
        <w:rPr>
          <w:rStyle w:val="VerbatimChar"/>
        </w:rPr>
        <w:t xml:space="preserve">coxph</w:t>
      </w:r>
      <w:r>
        <w:t xml:space="preserve"> </w:t>
      </w:r>
      <w:r>
        <w:t xml:space="preserve">in the</w:t>
      </w:r>
      <w:r>
        <w:t xml:space="preserve"> </w:t>
      </w:r>
      <w:r>
        <w:rPr>
          <w:rStyle w:val="VerbatimChar"/>
        </w:rPr>
        <w:t xml:space="preserve">survival</w:t>
      </w:r>
      <w:r>
        <w:t xml:space="preserve"> </w:t>
      </w:r>
      <w:r>
        <w:t xml:space="preserve">package (Therneau et al. 2015).</w:t>
      </w:r>
    </w:p>
    <w:p>
      <w:pPr>
        <w:pStyle w:val="BodyText"/>
      </w:pPr>
      <w:r>
        <w:t xml:space="preserve">Now let us assume that we have a single predictor variable, sex,</w:t>
      </w:r>
      <w:r>
        <w:t xml:space="preserve"> </w:t>
      </w:r>
      <m:oMath>
        <m:sSub>
          <m:e>
            <m:r>
              <m:t>x</m:t>
            </m:r>
          </m:e>
          <m:sub>
            <m:r>
              <m:t>s</m:t>
            </m:r>
            <m:r>
              <m:t>e</m:t>
            </m:r>
            <m:r>
              <m:t>x</m:t>
            </m:r>
          </m:sub>
        </m:sSub>
      </m:oMath>
      <w:r>
        <w:t xml:space="preserve"> </w:t>
      </w:r>
      <w:r>
        <w:t xml:space="preserve">for a time-to-event data set (e.g. a latency to solve a task), and we have a single random effect (or cluster)</w:t>
      </w:r>
      <w:r>
        <w:t xml:space="preserve"> </w:t>
      </w:r>
      <m:oMath>
        <m:r>
          <m:t>α</m:t>
        </m:r>
      </m:oMath>
      <w:r>
        <w:t xml:space="preserve"> </w:t>
      </w:r>
      <w:r>
        <w:t xml:space="preserve">(e.g. individuals or populations). The Cox proportional-hazards model can be extended to include a random effect (individual identify), which is often referred to as the</w:t>
      </w:r>
      <w:r>
        <w:t xml:space="preserve"> </w:t>
      </w:r>
      <w:r>
        <w:t xml:space="preserve">‘</w:t>
      </w:r>
      <w:r>
        <w:t xml:space="preserve">frailty</w:t>
      </w:r>
      <w:r>
        <w:t xml:space="preserve">’</w:t>
      </w:r>
      <w:r>
        <w:t xml:space="preserve"> </w:t>
      </w:r>
      <w:r>
        <w:t xml:space="preserve">term (Cox regressions with a single random effect is known as the frailty model):</w:t>
      </w:r>
    </w:p>
    <w:p>
      <w:pPr>
        <w:pStyle w:val="BodyText"/>
      </w:pPr>
      <w:bookmarkStart w:id="22" w:name="eq-cox3"/>
      <m:oMathPara>
        <m:oMathParaPr>
          <m:jc m:val="center"/>
        </m:oMathParaPr>
        <m:oMath>
          <m:r>
            <m:rPr>
              <m:sty m:val="p"/>
            </m:rPr>
            <m:t>ln</m:t>
          </m:r>
          <m:d>
            <m:dPr>
              <m:begChr m:val="("/>
              <m:endChr m:val=")"/>
              <m:sepChr m:val=""/>
              <m:grow/>
            </m:dPr>
            <m:e>
              <m:f>
                <m:fPr>
                  <m:type m:val="bar"/>
                </m:fPr>
                <m:num>
                  <m:sSub>
                    <m:e>
                      <m:r>
                        <m:t>λ</m:t>
                      </m:r>
                    </m:e>
                    <m:sub>
                      <m:r>
                        <m:t>i</m:t>
                      </m:r>
                      <m:r>
                        <m:t>j</m:t>
                      </m:r>
                    </m:sub>
                  </m:sSub>
                  <m:d>
                    <m:dPr>
                      <m:begChr m:val="("/>
                      <m:endChr m:val=")"/>
                      <m:sepChr m:val=""/>
                      <m:grow/>
                    </m:dPr>
                    <m:e>
                      <m:r>
                        <m:t>t</m:t>
                      </m:r>
                    </m:e>
                  </m:d>
                </m:num>
                <m:den>
                  <m:sSub>
                    <m:e>
                      <m:r>
                        <m:t>λ</m:t>
                      </m:r>
                    </m:e>
                    <m:sub>
                      <m:r>
                        <m:t>0</m:t>
                      </m:r>
                    </m:sub>
                  </m:sSub>
                  <m:d>
                    <m:dPr>
                      <m:begChr m:val="("/>
                      <m:endChr m:val=")"/>
                      <m:sepChr m:val=""/>
                      <m:grow/>
                    </m:dPr>
                    <m:e>
                      <m:r>
                        <m:t>t</m:t>
                      </m:r>
                    </m:e>
                  </m:d>
                </m:den>
              </m:f>
            </m:e>
          </m:d>
          <m:r>
            <m:rPr>
              <m:sty m:val="p"/>
            </m:rPr>
            <m:t>=</m:t>
          </m:r>
          <m:sSub>
            <m:e>
              <m:r>
                <m:t>b</m:t>
              </m:r>
            </m:e>
            <m:sub>
              <m:r>
                <m:t>s</m:t>
              </m:r>
              <m:r>
                <m:t>e</m:t>
              </m:r>
              <m:r>
                <m:t>x</m:t>
              </m:r>
            </m:sub>
          </m:sSub>
          <m:sSub>
            <m:e>
              <m:r>
                <m:t>x</m:t>
              </m:r>
            </m:e>
            <m:sub>
              <m:r>
                <m:t>s</m:t>
              </m:r>
              <m:r>
                <m:t>e</m:t>
              </m:r>
              <m:r>
                <m:t>x</m:t>
              </m:r>
            </m:sub>
          </m:sSub>
          <m:r>
            <m:rPr>
              <m:sty m:val="p"/>
            </m:rPr>
            <m:t>+</m:t>
          </m:r>
          <m:sSub>
            <m:e>
              <m:r>
                <m:t>α</m:t>
              </m:r>
            </m:e>
            <m:sub>
              <m:r>
                <m:t>i</m:t>
              </m:r>
            </m:sub>
          </m:sSub>
          <m:r>
            <m:rPr>
              <m:sty m:val="p"/>
            </m:rPr>
            <m:t>,</m:t>
          </m:r>
          <m:r>
            <m:t>  </m:t>
          </m:r>
          <m:d>
            <m:dPr>
              <m:begChr m:val="("/>
              <m:endChr m:val=")"/>
              <m:sepChr m:val=""/>
              <m:grow/>
            </m:dPr>
            <m:e>
              <m:r>
                <m:t>3</m:t>
              </m:r>
            </m:e>
          </m:d>
        </m:oMath>
      </m:oMathPara>
      <w:bookmarkEnd w:id="22"/>
    </w:p>
    <w:p>
      <w:pPr>
        <w:pStyle w:val="FirstParagraph"/>
      </w:pPr>
      <m:oMathPara>
        <m:oMathParaPr>
          <m:jc m:val="center"/>
        </m:oMathParaPr>
        <m:oMath>
          <m:sSub>
            <m:e>
              <m:r>
                <m:t>α</m:t>
              </m:r>
            </m:e>
            <m:sub>
              <m:r>
                <m:t>i</m:t>
              </m:r>
            </m:sub>
          </m:sSub>
          <m:r>
            <m:rPr>
              <m:sty m:val="p"/>
            </m:rPr>
            <m:t>∼</m:t>
          </m:r>
          <m:r>
            <m:t>N</m:t>
          </m:r>
          <m:d>
            <m:dPr>
              <m:begChr m:val="("/>
              <m:endChr m:val=")"/>
              <m:sepChr m:val=""/>
              <m:grow/>
            </m:dPr>
            <m:e>
              <m:r>
                <m:t>0</m:t>
              </m:r>
              <m:r>
                <m:rPr>
                  <m:sty m:val="p"/>
                </m:rPr>
                <m:t>,</m:t>
              </m:r>
              <m:sSubSup>
                <m:e>
                  <m:r>
                    <m:t>σ</m:t>
                  </m:r>
                </m:e>
                <m:sub>
                  <m:r>
                    <m:t>α</m:t>
                  </m:r>
                </m:sub>
                <m:sup>
                  <m:r>
                    <m:t>2</m:t>
                  </m:r>
                </m:sup>
              </m:sSubSup>
            </m:e>
          </m:d>
          <m:r>
            <m:rPr>
              <m:sty m:val="p"/>
            </m:rPr>
            <m:t>,</m:t>
          </m:r>
        </m:oMath>
      </m:oMathPara>
    </w:p>
    <w:p>
      <w:pPr>
        <w:pStyle w:val="FirstParagraph"/>
      </w:pPr>
      <w:r>
        <w:t xml:space="preserve">where</w:t>
      </w:r>
      <w:r>
        <w:t xml:space="preserve"> </w:t>
      </w:r>
      <m:oMath>
        <m:sSub>
          <m:e>
            <m:r>
              <m:t>λ</m:t>
            </m:r>
          </m:e>
          <m:sub>
            <m:r>
              <m:t>i</m:t>
            </m:r>
            <m:r>
              <m:t>j</m:t>
            </m:r>
          </m:sub>
        </m:sSub>
        <m:d>
          <m:dPr>
            <m:begChr m:val="("/>
            <m:endChr m:val=")"/>
            <m:sepChr m:val=""/>
            <m:grow/>
          </m:dPr>
          <m:e>
            <m:r>
              <m:t>t</m:t>
            </m:r>
          </m:e>
        </m:d>
      </m:oMath>
      <w:r>
        <w:t xml:space="preserve"> </w:t>
      </w:r>
      <w:r>
        <w:t xml:space="preserve">is the hazard rate at time</w:t>
      </w:r>
      <w:r>
        <w:t xml:space="preserve"> </w:t>
      </w:r>
      <m:oMath>
        <m:r>
          <m:t>t</m:t>
        </m:r>
      </m:oMath>
      <w:r>
        <w:t xml:space="preserve"> </w:t>
      </w:r>
      <w:r>
        <w:t xml:space="preserve">for the</w:t>
      </w:r>
      <w:r>
        <w:t xml:space="preserve"> </w:t>
      </w:r>
      <w:r>
        <w:rPr>
          <w:iCs/>
          <w:i/>
        </w:rPr>
        <w:t xml:space="preserve">i</w:t>
      </w:r>
      <w:r>
        <w:t xml:space="preserve">th individual for the</w:t>
      </w:r>
      <w:r>
        <w:t xml:space="preserve"> </w:t>
      </w:r>
      <w:r>
        <w:rPr>
          <w:iCs/>
          <w:i/>
        </w:rPr>
        <w:t xml:space="preserve">j</w:t>
      </w:r>
      <w:r>
        <w:t xml:space="preserve">th occasion (observation). This model (frailty model) can be fitted using the</w:t>
      </w:r>
      <w:r>
        <w:t xml:space="preserve"> </w:t>
      </w:r>
      <w:r>
        <w:rPr>
          <w:rStyle w:val="VerbatimChar"/>
        </w:rPr>
        <w:t xml:space="preserve">coxme</w:t>
      </w:r>
      <w:r>
        <w:t xml:space="preserve"> </w:t>
      </w:r>
      <w:r>
        <w:t xml:space="preserve">function in the R package</w:t>
      </w:r>
      <w:r>
        <w:t xml:space="preserve"> </w:t>
      </w:r>
      <w:r>
        <w:rPr>
          <w:rStyle w:val="VerbatimChar"/>
        </w:rPr>
        <w:t xml:space="preserve">coxme</w:t>
      </w:r>
      <w:r>
        <w:t xml:space="preserve"> </w:t>
      </w:r>
      <w:r>
        <w:t xml:space="preserve">(Therneau 2015) as well as</w:t>
      </w:r>
      <w:r>
        <w:t xml:space="preserve"> </w:t>
      </w:r>
      <w:r>
        <w:rPr>
          <w:rStyle w:val="VerbatimChar"/>
        </w:rPr>
        <w:t xml:space="preserve">coxph</w:t>
      </w:r>
      <w:r>
        <w:t xml:space="preserve">.</w:t>
      </w:r>
    </w:p>
    <w:p>
      <w:pPr>
        <w:pStyle w:val="BodyText"/>
      </w:pPr>
      <w:r>
        <w:t xml:space="preserve">Now we have defined the Cox model so let us define repeatably or intra-class correlations (ICC) in its simplest form when the trait of interest (the response variable) is a Gaussian variable (i.e. having normally distributed residuals):</w:t>
      </w:r>
    </w:p>
    <w:p>
      <w:pPr>
        <w:pStyle w:val="BodyText"/>
      </w:pPr>
      <w:bookmarkStart w:id="23" w:name="eq-icc1"/>
      <m:oMathPara>
        <m:oMathParaPr>
          <m:jc m:val="center"/>
        </m:oMathParaPr>
        <m:oMath>
          <m:r>
            <m:rPr>
              <m:nor/>
              <m:sty m:val="p"/>
            </m:rPr>
            <m:t>ICC</m:t>
          </m:r>
          <m:r>
            <m:rPr>
              <m:sty m:val="p"/>
            </m:rPr>
            <m:t>=</m:t>
          </m:r>
          <m:f>
            <m:fPr>
              <m:type m:val="bar"/>
            </m:fPr>
            <m:num>
              <m:sSubSup>
                <m:e>
                  <m:r>
                    <m:t>σ</m:t>
                  </m:r>
                </m:e>
                <m:sub>
                  <m:r>
                    <m:t>α</m:t>
                  </m:r>
                </m:sub>
                <m:sup>
                  <m:r>
                    <m:t>2</m:t>
                  </m:r>
                </m:sup>
              </m:sSubSup>
            </m:num>
            <m:den>
              <m:sSubSup>
                <m:e>
                  <m:r>
                    <m:t>σ</m:t>
                  </m:r>
                </m:e>
                <m:sub>
                  <m:r>
                    <m:t>α</m:t>
                  </m:r>
                </m:sub>
                <m:sup>
                  <m:r>
                    <m:t>2</m:t>
                  </m:r>
                </m:sup>
              </m:sSubSup>
              <m:r>
                <m:rPr>
                  <m:sty m:val="p"/>
                </m:rPr>
                <m:t>+</m:t>
              </m:r>
              <m:sSubSup>
                <m:e>
                  <m:r>
                    <m:t>σ</m:t>
                  </m:r>
                </m:e>
                <m:sub>
                  <m:r>
                    <m:t>ε</m:t>
                  </m:r>
                </m:sub>
                <m:sup>
                  <m:r>
                    <m:t>2</m:t>
                  </m:r>
                </m:sup>
              </m:sSubSup>
            </m:den>
          </m:f>
          <m:r>
            <m:rPr>
              <m:sty m:val="p"/>
            </m:rPr>
            <m:t>,</m:t>
          </m:r>
          <m:r>
            <m:t>  </m:t>
          </m:r>
          <m:d>
            <m:dPr>
              <m:begChr m:val="("/>
              <m:endChr m:val=")"/>
              <m:sepChr m:val=""/>
              <m:grow/>
            </m:dPr>
            <m:e>
              <m:r>
                <m:t>4</m:t>
              </m:r>
            </m:e>
          </m:d>
        </m:oMath>
      </m:oMathPara>
      <w:bookmarkEnd w:id="23"/>
    </w:p>
    <w:p>
      <w:pPr>
        <w:pStyle w:val="FirstParagraph"/>
      </w:pPr>
      <w:r>
        <w:t xml:space="preserve">where</w:t>
      </w:r>
      <w:r>
        <w:t xml:space="preserve"> </w:t>
      </w:r>
      <m:oMath>
        <m:sSubSup>
          <m:e>
            <m:r>
              <m:t>σ</m:t>
            </m:r>
          </m:e>
          <m:sub>
            <m:r>
              <m:t>α</m:t>
            </m:r>
          </m:sub>
          <m:sup>
            <m:r>
              <m:t>2</m:t>
            </m:r>
          </m:sup>
        </m:sSubSup>
      </m:oMath>
      <w:r>
        <w:t xml:space="preserve"> </w:t>
      </w:r>
      <w:r>
        <w:t xml:space="preserve">is the variance of the random effect (identity for a cluster: e.g. individuals so the between-cluster variance) and</w:t>
      </w:r>
      <w:r>
        <w:t xml:space="preserve"> </w:t>
      </w:r>
      <m:oMath>
        <m:sSubSup>
          <m:e>
            <m:r>
              <m:t>σ</m:t>
            </m:r>
          </m:e>
          <m:sub>
            <m:r>
              <m:t>ϵ</m:t>
            </m:r>
          </m:sub>
          <m:sup>
            <m:r>
              <m:t>2</m:t>
            </m:r>
          </m:sup>
        </m:sSubSup>
      </m:oMath>
      <w:r>
        <w:t xml:space="preserve"> </w:t>
      </w:r>
      <w:r>
        <w:t xml:space="preserve">is the variance of the residuals (or within-cluster variance; Nakagawa &amp; Schielzeth 2010). The ICC can be interpreted as the proportion of the total variance that is due to the between-cluster variance. The ICC can be calculated for (generalized) linear mixed-effect models (LMMS or GLMMs). For example, the R pacakge,</w:t>
      </w:r>
      <w:r>
        <w:t xml:space="preserve"> </w:t>
      </w:r>
      <w:r>
        <w:rPr>
          <w:rStyle w:val="VerbatimChar"/>
        </w:rPr>
        <w:t xml:space="preserve">rptR</w:t>
      </w:r>
      <w:r>
        <w:t xml:space="preserve"> </w:t>
      </w:r>
      <w:r>
        <w:t xml:space="preserve">can be used to calculate the ICC for a GLMM, via</w:t>
      </w:r>
      <w:r>
        <w:t xml:space="preserve"> </w:t>
      </w:r>
      <w:r>
        <w:rPr>
          <w:rStyle w:val="VerbatimChar"/>
        </w:rPr>
        <w:t xml:space="preserve">lmer</w:t>
      </w:r>
      <w:r>
        <w:t xml:space="preserve"> </w:t>
      </w:r>
      <w:r>
        <w:t xml:space="preserve">and</w:t>
      </w:r>
      <w:r>
        <w:t xml:space="preserve"> </w:t>
      </w:r>
      <w:r>
        <w:rPr>
          <w:rStyle w:val="VerbatimChar"/>
        </w:rPr>
        <w:t xml:space="preserve">glmer</w:t>
      </w:r>
      <w:r>
        <w:t xml:space="preserve"> </w:t>
      </w:r>
      <w:r>
        <w:t xml:space="preserve">function in the</w:t>
      </w:r>
      <w:r>
        <w:t xml:space="preserve"> </w:t>
      </w:r>
      <w:r>
        <w:rPr>
          <w:rStyle w:val="VerbatimChar"/>
        </w:rPr>
        <w:t xml:space="preserve">lme4</w:t>
      </w:r>
      <w:r>
        <w:t xml:space="preserve"> </w:t>
      </w:r>
      <w:r>
        <w:t xml:space="preserve">package.</w:t>
      </w:r>
    </w:p>
    <w:p>
      <w:pPr>
        <w:pStyle w:val="BodyText"/>
      </w:pPr>
      <w:r>
        <w:t xml:space="preserve">Nakagawa &amp; Schielzeth (2010) suggest that for non-Guassian data (e.g. binomial or Poisson), the within-cluster variance can be determined by what distributional assumptions GLMM makes (e.g. binomial or Poisson). For example, to obtain ICC for binary GLMMs on the latest (link/transformed) scale,</w:t>
      </w:r>
      <w:r>
        <w:t xml:space="preserve"> </w:t>
      </w:r>
      <m:oMath>
        <m:sSubSup>
          <m:e>
            <m:r>
              <m:t>σ</m:t>
            </m:r>
          </m:e>
          <m:sub>
            <m:r>
              <m:t>ε</m:t>
            </m:r>
          </m:sub>
          <m:sup>
            <m:r>
              <m:t>2</m:t>
            </m:r>
          </m:sup>
        </m:sSubSup>
      </m:oMath>
      <w:r>
        <w:t xml:space="preserve"> </w:t>
      </w:r>
      <w:r>
        <w:t xml:space="preserve">can be assumed to be</w:t>
      </w:r>
      <w:r>
        <w:t xml:space="preserve"> </w:t>
      </w:r>
      <m:oMath>
        <m:sSup>
          <m:e>
            <m:r>
              <m:t>π</m:t>
            </m:r>
          </m:e>
          <m:sup>
            <m:r>
              <m:t>2</m:t>
            </m:r>
          </m:sup>
        </m:sSup>
        <m:r>
          <m:rPr>
            <m:sty m:val="p"/>
          </m:rPr>
          <m:t>/</m:t>
        </m:r>
        <m:r>
          <m:t>3</m:t>
        </m:r>
      </m:oMath>
      <w:r>
        <w:t xml:space="preserve"> </w:t>
      </w:r>
      <w:r>
        <w:t xml:space="preserve">(they call</w:t>
      </w:r>
      <w:r>
        <w:t xml:space="preserve"> </w:t>
      </w:r>
      <m:oMath>
        <m:sSubSup>
          <m:e>
            <m:r>
              <m:t>σ</m:t>
            </m:r>
          </m:e>
          <m:sub>
            <m:r>
              <m:t>ε</m:t>
            </m:r>
          </m:sub>
          <m:sup>
            <m:r>
              <m:t>2</m:t>
            </m:r>
          </m:sup>
        </m:sSubSup>
      </m:oMath>
      <w:r>
        <w:t xml:space="preserve"> </w:t>
      </w:r>
      <w:r>
        <w:t xml:space="preserve">as the distributional specific variance; for more details, see Nakagawa &amp; Schielzeth 2010. Nakagawa et al. 2017). However, Cox models make no distributional assumptions about the hazard rate (i.e., non-parametric; Equation 1 &amp; 2) although frailty models (Equation 3) has a random effect of a Gaussian distribution (this is why, this model is known as semi-parametric. Therefore, we could not calculate the ICC for Cox models.</w:t>
      </w:r>
    </w:p>
    <w:p>
      <w:pPr>
        <w:pStyle w:val="BodyText"/>
      </w:pPr>
      <w:r>
        <w:t xml:space="preserve">Yet, in the statistical literature, a formula for parametric version of ICC (</w:t>
      </w:r>
      <m:oMath>
        <m:sSub>
          <m:e>
            <m:r>
              <m:rPr>
                <m:nor/>
                <m:sty m:val="p"/>
              </m:rPr>
              <m:t>ICC</m:t>
            </m:r>
          </m:e>
          <m:sub>
            <m:r>
              <m:rPr>
                <m:nor/>
                <m:sty m:val="p"/>
              </m:rPr>
              <m:t>np</m:t>
            </m:r>
          </m:sub>
        </m:sSub>
      </m:oMath>
      <w:r>
        <w:t xml:space="preserve">) for the frailty model is known when we make the random effect is disbursed as a Gamma distribution on the exponential scale. If we denote the variance from a Gamma distribution as</w:t>
      </w:r>
      <w:r>
        <w:t xml:space="preserve"> </w:t>
      </w:r>
      <m:oMath>
        <m:sSub>
          <m:e>
            <m:r>
              <m:t>θ</m:t>
            </m:r>
          </m:e>
          <m:sub>
            <m:r>
              <m:t>α</m:t>
            </m:r>
          </m:sub>
        </m:sSub>
      </m:oMath>
      <w:r>
        <w:t xml:space="preserve"> </w:t>
      </w:r>
      <w:r>
        <w:t xml:space="preserve">under Equation 3,</w:t>
      </w:r>
      <w:r>
        <w:t xml:space="preserve"> </w:t>
      </w:r>
      <m:oMath>
        <m:sSub>
          <m:e>
            <m:r>
              <m:rPr>
                <m:nor/>
                <m:sty m:val="p"/>
              </m:rPr>
              <m:t>ICC</m:t>
            </m:r>
          </m:e>
          <m:sub>
            <m:r>
              <m:rPr>
                <m:nor/>
                <m:sty m:val="p"/>
              </m:rPr>
              <m:t>np</m:t>
            </m:r>
          </m:sub>
        </m:sSub>
      </m:oMath>
      <w:r>
        <w:t xml:space="preserve"> </w:t>
      </w:r>
      <w:r>
        <w:t xml:space="preserve">can be written as:</w:t>
      </w:r>
    </w:p>
    <w:p>
      <w:pPr>
        <w:pStyle w:val="BodyText"/>
      </w:pPr>
      <w:bookmarkStart w:id="24" w:name="eq-icc2"/>
      <m:oMathPara>
        <m:oMathParaPr>
          <m:jc m:val="center"/>
        </m:oMathParaPr>
        <m:oMath>
          <m:sSub>
            <m:e>
              <m:r>
                <m:rPr>
                  <m:nor/>
                  <m:sty m:val="p"/>
                </m:rPr>
                <m:t>ICC</m:t>
              </m:r>
            </m:e>
            <m:sub>
              <m:r>
                <m:rPr>
                  <m:nor/>
                  <m:sty m:val="p"/>
                </m:rPr>
                <m:t>np</m:t>
              </m:r>
            </m:sub>
          </m:sSub>
          <m:r>
            <m:rPr>
              <m:sty m:val="p"/>
            </m:rPr>
            <m:t>=</m:t>
          </m:r>
          <m:f>
            <m:fPr>
              <m:type m:val="bar"/>
            </m:fPr>
            <m:num>
              <m:sSub>
                <m:e>
                  <m:r>
                    <m:t>θ</m:t>
                  </m:r>
                </m:e>
                <m:sub>
                  <m:r>
                    <m:t>α</m:t>
                  </m:r>
                </m:sub>
              </m:sSub>
            </m:num>
            <m:den>
              <m:sSub>
                <m:e>
                  <m:r>
                    <m:t>θ</m:t>
                  </m:r>
                </m:e>
                <m:sub>
                  <m:r>
                    <m:t>α</m:t>
                  </m:r>
                </m:sub>
              </m:sSub>
              <m:r>
                <m:rPr>
                  <m:sty m:val="p"/>
                </m:rPr>
                <m:t>+</m:t>
              </m:r>
              <m:r>
                <m:t>2</m:t>
              </m:r>
            </m:den>
          </m:f>
          <m:r>
            <m:rPr>
              <m:sty m:val="p"/>
            </m:rPr>
            <m:t>,</m:t>
          </m:r>
          <m:r>
            <m:t>  </m:t>
          </m:r>
          <m:d>
            <m:dPr>
              <m:begChr m:val="("/>
              <m:endChr m:val=")"/>
              <m:sepChr m:val=""/>
              <m:grow/>
            </m:dPr>
            <m:e>
              <m:r>
                <m:t>5</m:t>
              </m:r>
            </m:e>
          </m:d>
        </m:oMath>
      </m:oMathPara>
      <w:bookmarkEnd w:id="24"/>
    </w:p>
    <w:p>
      <w:pPr>
        <w:pStyle w:val="FirstParagraph"/>
      </w:pPr>
      <m:oMathPara>
        <m:oMathParaPr>
          <m:jc m:val="center"/>
        </m:oMathParaPr>
        <m:oMath>
          <m:r>
            <m:rPr>
              <m:sty m:val="p"/>
            </m:rPr>
            <m:t>exp</m:t>
          </m:r>
          <m:d>
            <m:dPr>
              <m:begChr m:val="("/>
              <m:endChr m:val=")"/>
              <m:sepChr m:val=""/>
              <m:grow/>
            </m:dPr>
            <m:e>
              <m:sSub>
                <m:e>
                  <m:r>
                    <m:t>α</m:t>
                  </m:r>
                </m:e>
                <m:sub>
                  <m:r>
                    <m:t>i</m:t>
                  </m:r>
                </m:sub>
              </m:sSub>
            </m:e>
          </m:d>
          <m:r>
            <m:rPr>
              <m:sty m:val="p"/>
            </m:rPr>
            <m:t>∼</m:t>
          </m:r>
          <m:r>
            <m:t>G</m:t>
          </m:r>
          <m:d>
            <m:dPr>
              <m:begChr m:val="("/>
              <m:endChr m:val=")"/>
              <m:sepChr m:val=""/>
              <m:grow/>
            </m:dPr>
            <m:e>
              <m:f>
                <m:fPr>
                  <m:type m:val="bar"/>
                </m:fPr>
                <m:num>
                  <m:r>
                    <m:t>1</m:t>
                  </m:r>
                </m:num>
                <m:den>
                  <m:sSub>
                    <m:e>
                      <m:r>
                        <m:t>θ</m:t>
                      </m:r>
                    </m:e>
                    <m:sub>
                      <m:r>
                        <m:t>α</m:t>
                      </m:r>
                    </m:sub>
                  </m:sSub>
                </m:den>
              </m:f>
              <m:r>
                <m:rPr>
                  <m:sty m:val="p"/>
                </m:rPr>
                <m:t>,</m:t>
              </m:r>
              <m:f>
                <m:fPr>
                  <m:type m:val="bar"/>
                </m:fPr>
                <m:num>
                  <m:r>
                    <m:t>1</m:t>
                  </m:r>
                </m:num>
                <m:den>
                  <m:sSub>
                    <m:e>
                      <m:r>
                        <m:t>θ</m:t>
                      </m:r>
                    </m:e>
                    <m:sub>
                      <m:r>
                        <m:t>α</m:t>
                      </m:r>
                    </m:sub>
                  </m:sSub>
                </m:den>
              </m:f>
            </m:e>
          </m:d>
          <m:r>
            <m:rPr>
              <m:sty m:val="p"/>
            </m:rPr>
            <m:t>,</m:t>
          </m:r>
        </m:oMath>
      </m:oMathPara>
    </w:p>
    <w:p>
      <w:pPr>
        <w:pStyle w:val="FirstParagraph"/>
      </w:pPr>
      <w:r>
        <w:t xml:space="preserve">where the first</w:t>
      </w:r>
      <w:r>
        <w:t xml:space="preserve"> </w:t>
      </w:r>
      <m:oMath>
        <m:r>
          <m:t>1</m:t>
        </m:r>
        <m:r>
          <m:rPr>
            <m:sty m:val="p"/>
          </m:rPr>
          <m:t>/</m:t>
        </m:r>
        <m:sSub>
          <m:e>
            <m:r>
              <m:t>θ</m:t>
            </m:r>
          </m:e>
          <m:sub>
            <m:r>
              <m:t>α</m:t>
            </m:r>
          </m:sub>
        </m:sSub>
      </m:oMath>
      <w:r>
        <w:t xml:space="preserve"> </w:t>
      </w:r>
      <w:r>
        <w:t xml:space="preserve">and the second are</w:t>
      </w:r>
      <w:r>
        <w:t xml:space="preserve"> </w:t>
      </w:r>
      <m:oMath>
        <m:r>
          <m:t>1</m:t>
        </m:r>
        <m:r>
          <m:rPr>
            <m:sty m:val="p"/>
          </m:rPr>
          <m:t>/</m:t>
        </m:r>
        <m:sSub>
          <m:e>
            <m:r>
              <m:t>θ</m:t>
            </m:r>
          </m:e>
          <m:sub>
            <m:r>
              <m:t>α</m:t>
            </m:r>
          </m:sub>
        </m:sSub>
      </m:oMath>
      <w:r>
        <w:t xml:space="preserve">, the shape and the rate parameter of the Gamma distribution, respectively (such parameterization results in the mean,</w:t>
      </w:r>
      <w:r>
        <w:t xml:space="preserve"> </w:t>
      </w:r>
      <m:oMath>
        <m:r>
          <m:rPr>
            <m:nor/>
            <m:sty m:val="p"/>
          </m:rPr>
          <m:t>E</m:t>
        </m:r>
        <m:d>
          <m:dPr>
            <m:begChr m:val="("/>
            <m:endChr m:val=")"/>
            <m:sepChr m:val=""/>
            <m:grow/>
          </m:dPr>
          <m:e>
            <m:r>
              <m:rPr>
                <m:sty m:val="p"/>
              </m:rPr>
              <m:t>exp</m:t>
            </m:r>
            <m:d>
              <m:dPr>
                <m:begChr m:val="("/>
                <m:endChr m:val=")"/>
                <m:sepChr m:val=""/>
                <m:grow/>
              </m:dPr>
              <m:e>
                <m:sSub>
                  <m:e>
                    <m:r>
                      <m:t>α</m:t>
                    </m:r>
                  </m:e>
                  <m:sub>
                    <m:r>
                      <m:t>i</m:t>
                    </m:r>
                  </m:sub>
                </m:sSub>
              </m:e>
            </m:d>
          </m:e>
        </m:d>
        <m:r>
          <m:rPr>
            <m:sty m:val="p"/>
          </m:rPr>
          <m:t>=</m:t>
        </m:r>
        <m:r>
          <m:t>1</m:t>
        </m:r>
      </m:oMath>
      <w:r>
        <w:t xml:space="preserve"> </w:t>
      </w:r>
      <w:r>
        <w:t xml:space="preserve">and variance,</w:t>
      </w:r>
      <w:r>
        <w:t xml:space="preserve"> </w:t>
      </w:r>
      <m:oMath>
        <m:r>
          <m:rPr>
            <m:nor/>
            <m:sty m:val="p"/>
          </m:rPr>
          <m:t>Var</m:t>
        </m:r>
        <m:d>
          <m:dPr>
            <m:begChr m:val="("/>
            <m:endChr m:val=")"/>
            <m:sepChr m:val=""/>
            <m:grow/>
          </m:dPr>
          <m:e>
            <m:r>
              <m:rPr>
                <m:sty m:val="p"/>
              </m:rPr>
              <m:t>exp</m:t>
            </m:r>
            <m:d>
              <m:dPr>
                <m:begChr m:val="("/>
                <m:endChr m:val=")"/>
                <m:sepChr m:val=""/>
                <m:grow/>
              </m:dPr>
              <m:e>
                <m:sSub>
                  <m:e>
                    <m:r>
                      <m:t>α</m:t>
                    </m:r>
                  </m:e>
                  <m:sub>
                    <m:r>
                      <m:t>i</m:t>
                    </m:r>
                  </m:sub>
                </m:sSub>
              </m:e>
            </m:d>
          </m:e>
        </m:d>
        <m:r>
          <m:rPr>
            <m:sty m:val="p"/>
          </m:rPr>
          <m:t>=</m:t>
        </m:r>
        <m:sSub>
          <m:e>
            <m:r>
              <m:t>θ</m:t>
            </m:r>
          </m:e>
          <m:sub>
            <m:r>
              <m:t>α</m:t>
            </m:r>
          </m:sub>
        </m:sSub>
      </m:oMath>
      <w:r>
        <w:t xml:space="preserve">).</w:t>
      </w:r>
    </w:p>
    <w:p>
      <w:pPr>
        <w:pStyle w:val="BodyText"/>
      </w:pPr>
      <w:r>
        <w:t xml:space="preserve">The estimate,</w:t>
      </w:r>
      <w:r>
        <w:t xml:space="preserve"> </w:t>
      </w:r>
      <m:oMath>
        <m:sSub>
          <m:e>
            <m:r>
              <m:rPr>
                <m:nor/>
                <m:sty m:val="p"/>
              </m:rPr>
              <m:t>ICC</m:t>
            </m:r>
          </m:e>
          <m:sub>
            <m:r>
              <m:rPr>
                <m:nor/>
                <m:sty m:val="p"/>
              </m:rPr>
              <m:t>np</m:t>
            </m:r>
          </m:sub>
        </m:sSub>
      </m:oMath>
      <w:r>
        <w:t xml:space="preserve"> </w:t>
      </w:r>
      <w:r>
        <w:t xml:space="preserve">is Kendall’s</w:t>
      </w:r>
      <w:r>
        <w:t xml:space="preserve"> </w:t>
      </w:r>
      <m:oMath>
        <m:r>
          <m:t>τ</m:t>
        </m:r>
      </m:oMath>
      <w:r>
        <w:t xml:space="preserve"> </w:t>
      </w:r>
      <w:r>
        <w:t xml:space="preserve">(the rank correlation or concordance for within-cluster observations) for the frailty model (Hougaard 2000). Unfortunately, there is no closed formula when assuming a Gaussian distribution for the random effect as in Equation 3. Yet,</w:t>
      </w:r>
      <w:r>
        <w:t xml:space="preserve"> </w:t>
      </w:r>
      <m:oMath>
        <m:sSub>
          <m:e>
            <m:r>
              <m:rPr>
                <m:nor/>
                <m:sty m:val="p"/>
              </m:rPr>
              <m:t>ICC</m:t>
            </m:r>
          </m:e>
          <m:sub>
            <m:r>
              <m:rPr>
                <m:nor/>
                <m:sty m:val="p"/>
              </m:rPr>
              <m:t>np</m:t>
            </m:r>
          </m:sub>
        </m:sSub>
      </m:oMath>
      <w:r>
        <w:t xml:space="preserve"> </w:t>
      </w:r>
      <w:r>
        <w:t xml:space="preserve">can be obtained numerically and we provide an R function based on the</w:t>
      </w:r>
      <w:r>
        <w:t xml:space="preserve"> </w:t>
      </w:r>
      <w:r>
        <w:rPr>
          <w:rStyle w:val="VerbatimChar"/>
        </w:rPr>
        <w:t xml:space="preserve">tau</w:t>
      </w:r>
      <w:r>
        <w:t xml:space="preserve"> </w:t>
      </w:r>
      <w:r>
        <w:t xml:space="preserve">function from the R package,</w:t>
      </w:r>
      <w:r>
        <w:t xml:space="preserve"> </w:t>
      </w:r>
      <w:r>
        <w:rPr>
          <w:rStyle w:val="VerbatimChar"/>
        </w:rPr>
        <w:t xml:space="preserve">parfm</w:t>
      </w:r>
      <w:r>
        <w:t xml:space="preserve"> </w:t>
      </w:r>
      <w:r>
        <w:t xml:space="preserve">(Munda et al. 2012). We note that and are unlikely to be the same but</w:t>
      </w:r>
      <w:r>
        <w:t xml:space="preserve"> </w:t>
      </w:r>
      <m:oMath>
        <m:sSub>
          <m:e>
            <m:r>
              <m:rPr>
                <m:nor/>
                <m:sty m:val="p"/>
              </m:rPr>
              <m:t>ICC</m:t>
            </m:r>
          </m:e>
          <m:sub>
            <m:r>
              <m:rPr>
                <m:nor/>
                <m:sty m:val="p"/>
              </m:rPr>
              <m:t>np</m:t>
            </m:r>
          </m:sub>
        </m:sSub>
      </m:oMath>
      <w:r>
        <w:t xml:space="preserve"> </w:t>
      </w:r>
      <w:r>
        <w:t xml:space="preserve">values, which we show in the simulation below.</w:t>
      </w:r>
    </w:p>
    <w:p>
      <w:pPr>
        <w:pStyle w:val="BodyText"/>
      </w:pPr>
      <w:r>
        <w:t xml:space="preserve">An issue with the</w:t>
      </w:r>
      <w:r>
        <w:t xml:space="preserve"> </w:t>
      </w:r>
      <m:oMath>
        <m:sSub>
          <m:e>
            <m:r>
              <m:rPr>
                <m:nor/>
                <m:sty m:val="p"/>
              </m:rPr>
              <m:t>ICC</m:t>
            </m:r>
          </m:e>
          <m:sub>
            <m:r>
              <m:rPr>
                <m:nor/>
                <m:sty m:val="p"/>
              </m:rPr>
              <m:t>np</m:t>
            </m:r>
          </m:sub>
        </m:sSub>
      </m:oMath>
      <w:r>
        <w:t xml:space="preserve"> </w:t>
      </w:r>
      <w:r>
        <w:t xml:space="preserve">is that it is not a parametric version of ICC and more importantly, it is not clear whether this method can be extended where a Cox model has more than one random effect (at least, piratically speaking). Therefore, we need to use a trick to turn a time-to-event data for Cox models into a data set where we could fit a GLMM so that we can obtain parametric versions of ICCs.</w:t>
      </w:r>
    </w:p>
    <w:bookmarkEnd w:id="25"/>
    <w:bookmarkStart w:id="32" w:name="Xbbcbaa6a01b046fc65db4804ebe9112cc5c61ca"/>
    <w:p>
      <w:pPr>
        <w:pStyle w:val="Heading2"/>
      </w:pPr>
      <w:r>
        <w:t xml:space="preserve">Cox proportional-hazards models and generalized linear mixed models</w:t>
      </w:r>
    </w:p>
    <w:p>
      <w:pPr>
        <w:pStyle w:val="FirstParagraph"/>
      </w:pPr>
      <w:r>
        <w:t xml:space="preserve">In the statistical literature, it seems to be well known that the frailty model (Equation 3) can be fitted as a Poisson GLMM (known as, the piece-wise exponential model; e.g., Hirsh et al. 2016) or a binomial GLMM (the discrete-time model; Finkelstein 1986; for an accessible non-technical account, see Austin 2017). Here, we show the discrete-time model, more specifically, the binomial GLMM with the complementary log-log (cloglog) link can be used to fit a comparable model as Equation 3 by</w:t>
      </w:r>
      <w:r>
        <w:t xml:space="preserve"> </w:t>
      </w:r>
      <w:r>
        <w:t xml:space="preserve">“</w:t>
      </w:r>
      <w:r>
        <w:t xml:space="preserve">exploding</w:t>
      </w:r>
      <w:r>
        <w:t xml:space="preserve">”</w:t>
      </w:r>
      <w:r>
        <w:t xml:space="preserve"> </w:t>
      </w:r>
      <w:r>
        <w:t xml:space="preserve">the time-to-even data set by defining arbitrary discrete time intervals (Fig XXX shows an example of such a exploded data set compared to the original). If we assume we have three (arbitrary discrete) time intervals (</w:t>
      </w:r>
      <w:r>
        <w:rPr>
          <w:iCs/>
          <w:i/>
        </w:rPr>
        <w:t xml:space="preserve">t1</w:t>
      </w:r>
      <w:r>
        <w:t xml:space="preserve">,</w:t>
      </w:r>
      <w:r>
        <w:t xml:space="preserve"> </w:t>
      </w:r>
      <w:r>
        <w:rPr>
          <w:iCs/>
          <w:i/>
        </w:rPr>
        <w:t xml:space="preserve">t2</w:t>
      </w:r>
      <w:r>
        <w:t xml:space="preserve"> </w:t>
      </w:r>
      <w:r>
        <w:t xml:space="preserve">&amp;</w:t>
      </w:r>
      <w:r>
        <w:t xml:space="preserve"> </w:t>
      </w:r>
      <w:r>
        <w:rPr>
          <w:iCs/>
          <w:i/>
        </w:rPr>
        <w:t xml:space="preserve">t3</w:t>
      </w:r>
      <w:r>
        <w:t xml:space="preserve">) This binomial GLMM (without the intercept) is defined as:</w:t>
      </w:r>
    </w:p>
    <w:p>
      <w:pPr>
        <w:pStyle w:val="BodyText"/>
      </w:pPr>
      <w:bookmarkStart w:id="26" w:name="eq-glmm1"/>
      <m:oMathPara>
        <m:oMathParaPr>
          <m:jc m:val="center"/>
        </m:oMathParaPr>
        <m:oMath>
          <m:r>
            <m:rPr>
              <m:sty m:val="p"/>
            </m:rPr>
            <m:t>ln</m:t>
          </m:r>
          <m:d>
            <m:dPr>
              <m:begChr m:val="("/>
              <m:endChr m:val=")"/>
              <m:sepChr m:val=""/>
              <m:grow/>
            </m:dPr>
            <m:e>
              <m:f>
                <m:fPr>
                  <m:type m:val="bar"/>
                </m:fPr>
                <m:num>
                  <m:r>
                    <m:rPr>
                      <m:sty m:val="p"/>
                    </m:rPr>
                    <m:t>−</m:t>
                  </m:r>
                  <m:r>
                    <m:rPr>
                      <m:sty m:val="p"/>
                    </m:rPr>
                    <m:t>ln</m:t>
                  </m:r>
                  <m:d>
                    <m:dPr>
                      <m:begChr m:val="("/>
                      <m:endChr m:val=")"/>
                      <m:sepChr m:val=""/>
                      <m:grow/>
                    </m:dPr>
                    <m:e>
                      <m:r>
                        <m:t>1</m:t>
                      </m:r>
                      <m:r>
                        <m:rPr>
                          <m:sty m:val="p"/>
                        </m:rPr>
                        <m:t>−</m:t>
                      </m:r>
                      <m:sSub>
                        <m:e>
                          <m:r>
                            <m:t>λ</m:t>
                          </m:r>
                        </m:e>
                        <m:sub>
                          <m:r>
                            <m:t>i</m:t>
                          </m:r>
                          <m:r>
                            <m:t>j</m:t>
                          </m:r>
                          <m:r>
                            <m:t>k</m:t>
                          </m:r>
                        </m:sub>
                      </m:sSub>
                      <m:d>
                        <m:dPr>
                          <m:begChr m:val="("/>
                          <m:endChr m:val=")"/>
                          <m:sepChr m:val=""/>
                          <m:grow/>
                        </m:dPr>
                        <m:e>
                          <m:r>
                            <m:t>t</m:t>
                          </m:r>
                        </m:e>
                      </m:d>
                    </m:e>
                  </m:d>
                </m:num>
                <m:den>
                  <m:r>
                    <m:rPr>
                      <m:sty m:val="p"/>
                    </m:rPr>
                    <m:t>−</m:t>
                  </m:r>
                  <m:r>
                    <m:rPr>
                      <m:sty m:val="p"/>
                    </m:rPr>
                    <m:t>ln</m:t>
                  </m:r>
                  <m:d>
                    <m:dPr>
                      <m:begChr m:val="("/>
                      <m:endChr m:val=")"/>
                      <m:sepChr m:val=""/>
                      <m:grow/>
                    </m:dPr>
                    <m:e>
                      <m:r>
                        <m:t>1</m:t>
                      </m:r>
                      <m:r>
                        <m:rPr>
                          <m:sty m:val="p"/>
                        </m:rPr>
                        <m:t>−</m:t>
                      </m:r>
                      <m:sSub>
                        <m:e>
                          <m:r>
                            <m:t>λ</m:t>
                          </m:r>
                        </m:e>
                        <m:sub>
                          <m:r>
                            <m:t>0</m:t>
                          </m:r>
                          <m:r>
                            <m:t>k</m:t>
                          </m:r>
                        </m:sub>
                      </m:sSub>
                      <m:d>
                        <m:dPr>
                          <m:begChr m:val="("/>
                          <m:endChr m:val=")"/>
                          <m:sepChr m:val=""/>
                          <m:grow/>
                        </m:dPr>
                        <m:e>
                          <m:r>
                            <m:t>t</m:t>
                          </m:r>
                        </m:e>
                      </m:d>
                    </m:e>
                  </m:d>
                </m:den>
              </m:f>
            </m:e>
          </m:d>
          <m:r>
            <m:rPr>
              <m:sty m:val="p"/>
            </m:rPr>
            <m:t>=</m:t>
          </m:r>
          <m:sSub>
            <m:e>
              <m:r>
                <m:t>b</m:t>
              </m:r>
            </m:e>
            <m:sub>
              <m:r>
                <m:t>s</m:t>
              </m:r>
              <m:r>
                <m:t>e</m:t>
              </m:r>
              <m:r>
                <m:t>x</m:t>
              </m:r>
            </m:sub>
          </m:sSub>
          <m:sSub>
            <m:e>
              <m:r>
                <m:t>x</m:t>
              </m:r>
            </m:e>
            <m:sub>
              <m:r>
                <m:t>s</m:t>
              </m:r>
              <m:r>
                <m:t>e</m:t>
              </m:r>
              <m:r>
                <m:t>x</m:t>
              </m:r>
            </m:sub>
          </m:sSub>
          <m:r>
            <m:rPr>
              <m:sty m:val="p"/>
            </m:rPr>
            <m:t>+</m:t>
          </m:r>
          <m:sSub>
            <m:e>
              <m:r>
                <m:t>b</m:t>
              </m:r>
            </m:e>
            <m:sub>
              <m:r>
                <m:t>t</m:t>
              </m:r>
              <m:r>
                <m:t>1</m:t>
              </m:r>
            </m:sub>
          </m:sSub>
          <m:sSub>
            <m:e>
              <m:r>
                <m:t>x</m:t>
              </m:r>
            </m:e>
            <m:sub>
              <m:r>
                <m:t>t</m:t>
              </m:r>
              <m:r>
                <m:t>1</m:t>
              </m:r>
            </m:sub>
          </m:sSub>
          <m:r>
            <m:rPr>
              <m:sty m:val="p"/>
            </m:rPr>
            <m:t>+</m:t>
          </m:r>
          <m:sSub>
            <m:e>
              <m:r>
                <m:t>b</m:t>
              </m:r>
            </m:e>
            <m:sub>
              <m:r>
                <m:t>t</m:t>
              </m:r>
              <m:r>
                <m:t>2</m:t>
              </m:r>
            </m:sub>
          </m:sSub>
          <m:sSub>
            <m:e>
              <m:r>
                <m:t>x</m:t>
              </m:r>
            </m:e>
            <m:sub>
              <m:r>
                <m:t>t</m:t>
              </m:r>
              <m:r>
                <m:t>2</m:t>
              </m:r>
            </m:sub>
          </m:sSub>
          <m:r>
            <m:rPr>
              <m:sty m:val="p"/>
            </m:rPr>
            <m:t>+</m:t>
          </m:r>
          <m:sSub>
            <m:e>
              <m:r>
                <m:t>b</m:t>
              </m:r>
            </m:e>
            <m:sub>
              <m:r>
                <m:t>t</m:t>
              </m:r>
              <m:r>
                <m:t>3</m:t>
              </m:r>
            </m:sub>
          </m:sSub>
          <m:sSub>
            <m:e>
              <m:r>
                <m:t>x</m:t>
              </m:r>
            </m:e>
            <m:sub>
              <m:r>
                <m:t>t</m:t>
              </m:r>
              <m:r>
                <m:t>3</m:t>
              </m:r>
            </m:sub>
          </m:sSub>
          <m:r>
            <m:rPr>
              <m:sty m:val="p"/>
            </m:rPr>
            <m:t>+</m:t>
          </m:r>
          <m:sSub>
            <m:e>
              <m:r>
                <m:t>α</m:t>
              </m:r>
            </m:e>
            <m:sub>
              <m:r>
                <m:t>i</m:t>
              </m:r>
            </m:sub>
          </m:sSub>
          <m:r>
            <m:rPr>
              <m:sty m:val="p"/>
            </m:rPr>
            <m:t>,</m:t>
          </m:r>
          <m:r>
            <m:t>  </m:t>
          </m:r>
          <m:d>
            <m:dPr>
              <m:begChr m:val="("/>
              <m:endChr m:val=")"/>
              <m:sepChr m:val=""/>
              <m:grow/>
            </m:dPr>
            <m:e>
              <m:r>
                <m:t>6</m:t>
              </m:r>
            </m:e>
          </m:d>
        </m:oMath>
      </m:oMathPara>
      <w:bookmarkEnd w:id="26"/>
    </w:p>
    <w:p>
      <w:pPr>
        <w:pStyle w:val="FirstParagraph"/>
      </w:pPr>
      <w:r>
        <w:t xml:space="preserve">where</w:t>
      </w:r>
      <w:r>
        <w:t xml:space="preserve"> </w:t>
      </w:r>
      <m:oMath>
        <m:sSub>
          <m:e>
            <m:r>
              <m:t>λ</m:t>
            </m:r>
          </m:e>
          <m:sub>
            <m:r>
              <m:t>i</m:t>
            </m:r>
            <m:r>
              <m:t>j</m:t>
            </m:r>
            <m:r>
              <m:t>k</m:t>
            </m:r>
          </m:sub>
        </m:sSub>
        <m:d>
          <m:dPr>
            <m:begChr m:val="("/>
            <m:endChr m:val=")"/>
            <m:sepChr m:val=""/>
            <m:grow/>
          </m:dPr>
          <m:e>
            <m:r>
              <m:t>t</m:t>
            </m:r>
          </m:e>
        </m:d>
      </m:oMath>
      <w:r>
        <w:t xml:space="preserve"> </w:t>
      </w:r>
      <w:r>
        <w:t xml:space="preserve">is the hazard rate at time</w:t>
      </w:r>
      <w:r>
        <w:t xml:space="preserve"> </w:t>
      </w:r>
      <m:oMath>
        <m:r>
          <m:t>t</m:t>
        </m:r>
      </m:oMath>
      <w:r>
        <w:t xml:space="preserve"> </w:t>
      </w:r>
      <w:r>
        <w:t xml:space="preserve">for the</w:t>
      </w:r>
      <w:r>
        <w:t xml:space="preserve"> </w:t>
      </w:r>
      <w:r>
        <w:rPr>
          <w:iCs/>
          <w:i/>
        </w:rPr>
        <w:t xml:space="preserve">i</w:t>
      </w:r>
      <w:r>
        <w:t xml:space="preserve">th subject for the</w:t>
      </w:r>
      <w:r>
        <w:t xml:space="preserve"> </w:t>
      </w:r>
      <w:r>
        <w:rPr>
          <w:iCs/>
          <w:i/>
        </w:rPr>
        <w:t xml:space="preserve">j</w:t>
      </w:r>
      <w:r>
        <w:t xml:space="preserve">the occasions for the</w:t>
      </w:r>
      <w:r>
        <w:t xml:space="preserve"> </w:t>
      </w:r>
      <w:r>
        <w:rPr>
          <w:iCs/>
          <w:i/>
        </w:rPr>
        <w:t xml:space="preserve">k</w:t>
      </w:r>
      <w:r>
        <w:t xml:space="preserve">th time interval (</w:t>
      </w:r>
      <m:oMath>
        <m:r>
          <m:t>k</m:t>
        </m:r>
        <m:r>
          <m:rPr>
            <m:sty m:val="p"/>
          </m:rPr>
          <m:t>=</m:t>
        </m:r>
        <m:r>
          <m:t>t</m:t>
        </m:r>
        <m:r>
          <m:t>1</m:t>
        </m:r>
        <m:r>
          <m:rPr>
            <m:sty m:val="p"/>
          </m:rPr>
          <m:t>,</m:t>
        </m:r>
        <m:r>
          <m:t>t</m:t>
        </m:r>
        <m:r>
          <m:t>2</m:t>
        </m:r>
        <m:r>
          <m:rPr>
            <m:sty m:val="p"/>
          </m:rPr>
          <m:t>,</m:t>
        </m:r>
        <m:r>
          <m:t>t</m:t>
        </m:r>
        <m:r>
          <m:t>3</m:t>
        </m:r>
      </m:oMath>
      <w:r>
        <w:t xml:space="preserve">),</w:t>
      </w:r>
      <w:r>
        <w:t xml:space="preserve"> </w:t>
      </w:r>
      <m:oMath>
        <m:sSub>
          <m:e>
            <m:r>
              <m:t>λ</m:t>
            </m:r>
          </m:e>
          <m:sub>
            <m:r>
              <m:t>0</m:t>
            </m:r>
            <m:r>
              <m:t>k</m:t>
            </m:r>
          </m:sub>
        </m:sSub>
        <m:d>
          <m:dPr>
            <m:begChr m:val="("/>
            <m:endChr m:val=")"/>
            <m:sepChr m:val=""/>
            <m:grow/>
          </m:dPr>
          <m:e>
            <m:r>
              <m:t>t</m:t>
            </m:r>
          </m:e>
        </m:d>
      </m:oMath>
      <w:r>
        <w:t xml:space="preserve"> </w:t>
      </w:r>
      <w:r>
        <w:t xml:space="preserve">is the baseline hazard rate for</w:t>
      </w:r>
      <w:r>
        <w:t xml:space="preserve"> </w:t>
      </w:r>
      <m:oMath>
        <m:r>
          <m:t>k</m:t>
        </m:r>
      </m:oMath>
      <w:r>
        <w:t xml:space="preserve"> </w:t>
      </w:r>
      <w:r>
        <w:t xml:space="preserve">is the time interval,</w:t>
      </w:r>
      <w:r>
        <w:t xml:space="preserve"> </w:t>
      </w:r>
      <m:oMath>
        <m:sSub>
          <m:e>
            <m:r>
              <m:t>x</m:t>
            </m:r>
          </m:e>
          <m:sub>
            <m:r>
              <m:t>t</m:t>
            </m:r>
            <m:r>
              <m:t>1</m:t>
            </m:r>
          </m:sub>
        </m:sSub>
        <m:r>
          <m:rPr>
            <m:sty m:val="p"/>
          </m:rPr>
          <m:t>,</m:t>
        </m:r>
        <m:sSub>
          <m:e>
            <m:r>
              <m:t>x</m:t>
            </m:r>
          </m:e>
          <m:sub>
            <m:r>
              <m:t>t</m:t>
            </m:r>
            <m:r>
              <m:t>2</m:t>
            </m:r>
          </m:sub>
        </m:sSub>
        <m:r>
          <m:rPr>
            <m:sty m:val="p"/>
          </m:rPr>
          <m:t>,</m:t>
        </m:r>
        <m:sSub>
          <m:e>
            <m:r>
              <m:t>x</m:t>
            </m:r>
          </m:e>
          <m:sub>
            <m:r>
              <m:t>t</m:t>
            </m:r>
            <m:r>
              <m:t>3</m:t>
            </m:r>
          </m:sub>
        </m:sSub>
      </m:oMath>
      <w:r>
        <w:t xml:space="preserve"> </w:t>
      </w:r>
      <w:r>
        <w:t xml:space="preserve">are the indicator variables for the time intervals, and</w:t>
      </w:r>
      <w:r>
        <w:t xml:space="preserve"> </w:t>
      </w:r>
      <m:oMath>
        <m:sSub>
          <m:e>
            <m:r>
              <m:t>b</m:t>
            </m:r>
          </m:e>
          <m:sub>
            <m:r>
              <m:t>t</m:t>
            </m:r>
            <m:r>
              <m:t>1</m:t>
            </m:r>
          </m:sub>
        </m:sSub>
        <m:r>
          <m:rPr>
            <m:sty m:val="p"/>
          </m:rPr>
          <m:t>,</m:t>
        </m:r>
        <m:sSub>
          <m:e>
            <m:r>
              <m:t>b</m:t>
            </m:r>
          </m:e>
          <m:sub>
            <m:r>
              <m:t>t</m:t>
            </m:r>
            <m:r>
              <m:t>2</m:t>
            </m:r>
          </m:sub>
        </m:sSub>
        <m:r>
          <m:rPr>
            <m:sty m:val="p"/>
          </m:rPr>
          <m:t>,</m:t>
        </m:r>
        <m:sSub>
          <m:e>
            <m:r>
              <m:t>b</m:t>
            </m:r>
          </m:e>
          <m:sub>
            <m:r>
              <m:t>t</m:t>
            </m:r>
            <m:r>
              <m:t>3</m:t>
            </m:r>
          </m:sub>
        </m:sSub>
      </m:oMath>
      <w:r>
        <w:t xml:space="preserve"> </w:t>
      </w:r>
      <w:r>
        <w:t xml:space="preserve">are the regression coefficients for the time intervals. Note that the cloglog link is</w:t>
      </w:r>
      <w:r>
        <w:t xml:space="preserve"> </w:t>
      </w:r>
      <m:oMath>
        <m:r>
          <m:rPr>
            <m:sty m:val="p"/>
          </m:rPr>
          <m:t>ln</m:t>
        </m:r>
        <m:d>
          <m:dPr>
            <m:begChr m:val="("/>
            <m:endChr m:val=")"/>
            <m:sepChr m:val=""/>
            <m:grow/>
          </m:dPr>
          <m:e>
            <m:r>
              <m:rPr>
                <m:sty m:val="p"/>
              </m:rPr>
              <m:t>−</m:t>
            </m:r>
            <m:r>
              <m:rPr>
                <m:sty m:val="p"/>
              </m:rPr>
              <m:t>ln</m:t>
            </m:r>
            <m:d>
              <m:dPr>
                <m:begChr m:val="("/>
                <m:endChr m:val=")"/>
                <m:sepChr m:val=""/>
                <m:grow/>
              </m:dPr>
              <m:e>
                <m:r>
                  <m:t>1</m:t>
                </m:r>
                <m:r>
                  <m:rPr>
                    <m:sty m:val="p"/>
                  </m:rPr>
                  <m:t>−</m:t>
                </m:r>
                <m:r>
                  <m:t>p</m:t>
                </m:r>
              </m:e>
            </m:d>
          </m:e>
        </m:d>
      </m:oMath>
      <w:r>
        <w:t xml:space="preserve"> </w:t>
      </w:r>
      <w:r>
        <w:t xml:space="preserve">where</w:t>
      </w:r>
      <w:r>
        <w:t xml:space="preserve"> </w:t>
      </w:r>
      <m:oMath>
        <m:r>
          <m:t>p</m:t>
        </m:r>
      </m:oMath>
      <w:r>
        <w:t xml:space="preserve"> </w:t>
      </w:r>
      <w:r>
        <w:t xml:space="preserve">is the probability of the event occurring so that the left hand side of Equation 6 consists of the cloglog-transformed hazard rate (</w:t>
      </w:r>
      <m:oMath>
        <m:sSub>
          <m:e>
            <m:r>
              <m:t>λ</m:t>
            </m:r>
          </m:e>
          <m:sub>
            <m:r>
              <m:t>i</m:t>
            </m:r>
            <m:r>
              <m:t>j</m:t>
            </m:r>
            <m:r>
              <m:t>k</m:t>
            </m:r>
          </m:sub>
        </m:sSub>
        <m:d>
          <m:dPr>
            <m:begChr m:val="("/>
            <m:endChr m:val=")"/>
            <m:sepChr m:val=""/>
            <m:grow/>
          </m:dPr>
          <m:e>
            <m:r>
              <m:t>t</m:t>
            </m:r>
          </m:e>
        </m:d>
      </m:oMath>
      <w:r>
        <w:t xml:space="preserve">) and base hazard rate (</w:t>
      </w:r>
      <m:oMath>
        <m:sSub>
          <m:e>
            <m:r>
              <m:t>λ</m:t>
            </m:r>
          </m:e>
          <m:sub>
            <m:r>
              <m:t>0</m:t>
            </m:r>
            <m:r>
              <m:t>k</m:t>
            </m:r>
          </m:sub>
        </m:sSub>
        <m:d>
          <m:dPr>
            <m:begChr m:val="("/>
            <m:endChr m:val=")"/>
            <m:sepChr m:val=""/>
            <m:grow/>
          </m:dPr>
          <m:e>
            <m:r>
              <m:t>t</m:t>
            </m:r>
          </m:e>
        </m:d>
      </m:oMath>
      <w:r>
        <w:t xml:space="preserve">).</w:t>
      </w:r>
    </w:p>
    <w:p>
      <w:pPr>
        <w:pStyle w:val="BodyText"/>
      </w:pPr>
      <w:r>
        <w:t xml:space="preserve">Rather remarkably,</w:t>
      </w:r>
      <w:r>
        <w:t xml:space="preserve"> </w:t>
      </w:r>
      <m:oMath>
        <m:sSub>
          <m:e>
            <m:r>
              <m:t>b</m:t>
            </m:r>
          </m:e>
          <m:sub>
            <m:r>
              <m:t>s</m:t>
            </m:r>
            <m:r>
              <m:t>e</m:t>
            </m:r>
            <m:r>
              <m:t>x</m:t>
            </m:r>
          </m:sub>
        </m:sSub>
      </m:oMath>
      <w:r>
        <w:t xml:space="preserve"> </w:t>
      </w:r>
      <w:r>
        <w:t xml:space="preserve">and</w:t>
      </w:r>
      <w:r>
        <w:t xml:space="preserve"> </w:t>
      </w:r>
      <m:oMath>
        <m:sSubSup>
          <m:e>
            <m:r>
              <m:t>σ</m:t>
            </m:r>
          </m:e>
          <m:sub>
            <m:r>
              <m:t>α</m:t>
            </m:r>
          </m:sub>
          <m:sup>
            <m:r>
              <m:t>2</m:t>
            </m:r>
          </m:sup>
        </m:sSubSup>
      </m:oMath>
      <w:r>
        <w:t xml:space="preserve"> </w:t>
      </w:r>
      <w:r>
        <w:t xml:space="preserve">in Equation 6 are</w:t>
      </w:r>
      <w:r>
        <w:t xml:space="preserve"> </w:t>
      </w:r>
      <w:r>
        <w:t xml:space="preserve">“</w:t>
      </w:r>
      <w:r>
        <w:t xml:space="preserve">the same</w:t>
      </w:r>
      <w:r>
        <w:t xml:space="preserve">”</w:t>
      </w:r>
      <w:r>
        <w:t xml:space="preserve"> </w:t>
      </w:r>
      <w:r>
        <w:t xml:space="preserve">as those in Equation 3 although data structures used for two models are very different (i.e., time-to-event data vs. exploded data; Fig XXX). Using a simple simulation, we show the equivalence of</w:t>
      </w:r>
      <w:r>
        <w:t xml:space="preserve"> </w:t>
      </w:r>
      <m:oMath>
        <m:sSub>
          <m:e>
            <m:r>
              <m:t>b</m:t>
            </m:r>
          </m:e>
          <m:sub>
            <m:r>
              <m:t>s</m:t>
            </m:r>
            <m:r>
              <m:t>e</m:t>
            </m:r>
            <m:r>
              <m:t>x</m:t>
            </m:r>
          </m:sub>
        </m:sSub>
      </m:oMath>
      <w:r>
        <w:t xml:space="preserve"> </w:t>
      </w:r>
      <w:r>
        <w:t xml:space="preserve">and</w:t>
      </w:r>
      <w:r>
        <w:t xml:space="preserve"> </w:t>
      </w:r>
      <m:oMath>
        <m:sSubSup>
          <m:e>
            <m:r>
              <m:t>σ</m:t>
            </m:r>
          </m:e>
          <m:sub>
            <m:r>
              <m:t>α</m:t>
            </m:r>
          </m:sub>
          <m:sup>
            <m:r>
              <m:t>2</m:t>
            </m:r>
          </m:sup>
        </m:sSubSup>
      </m:oMath>
      <w:r>
        <w:t xml:space="preserve"> </w:t>
      </w:r>
      <w:r>
        <w:t xml:space="preserve">between the Cox (frailty) model (fitted with</w:t>
      </w:r>
      <w:r>
        <w:t xml:space="preserve"> </w:t>
      </w:r>
      <w:r>
        <w:rPr>
          <w:rStyle w:val="VerbatimChar"/>
        </w:rPr>
        <w:t xml:space="preserve">coxph</w:t>
      </w:r>
      <w:r>
        <w:t xml:space="preserve"> </w:t>
      </w:r>
      <w:r>
        <w:t xml:space="preserve">and</w:t>
      </w:r>
      <w:r>
        <w:t xml:space="preserve"> </w:t>
      </w:r>
      <w:r>
        <w:rPr>
          <w:rStyle w:val="VerbatimChar"/>
        </w:rPr>
        <w:t xml:space="preserve">coxme</w:t>
      </w:r>
      <w:r>
        <w:t xml:space="preserve">) and the binomial GLMM (fitted with</w:t>
      </w:r>
      <w:r>
        <w:t xml:space="preserve"> </w:t>
      </w:r>
      <w:r>
        <w:rPr>
          <w:rStyle w:val="VerbatimChar"/>
        </w:rPr>
        <w:t xml:space="preserve">glmer</w:t>
      </w:r>
      <w:r>
        <w:t xml:space="preserve"> </w:t>
      </w:r>
      <w:r>
        <w:t xml:space="preserve">with</w:t>
      </w:r>
      <w:r>
        <w:t xml:space="preserve"> </w:t>
      </w:r>
      <w:r>
        <w:rPr>
          <w:rStyle w:val="VerbatimChar"/>
        </w:rPr>
        <w:t xml:space="preserve">event</w:t>
      </w:r>
      <w:r>
        <w:t xml:space="preserve"> </w:t>
      </w:r>
      <w:r>
        <w:t xml:space="preserve">– binary data e.g., 0 or 1 – as the response. ; see below). Note that the number of intervals do not affect these estimates from the binomial GLMM.</w:t>
      </w:r>
    </w:p>
    <w:p>
      <w:pPr>
        <w:pStyle w:val="BodyText"/>
      </w:pPr>
      <w:r>
        <w:t xml:space="preserve">Therefore, we can use variance components obtained from Cox models to estimate ICC under a binomial GLMM with the complementary log-log link where</w:t>
      </w:r>
      <w:r>
        <w:t xml:space="preserve"> </w:t>
      </w:r>
      <m:oMath>
        <m:sSubSup>
          <m:e>
            <m:r>
              <m:t>σ</m:t>
            </m:r>
          </m:e>
          <m:sub>
            <m:r>
              <m:t>ε</m:t>
            </m:r>
          </m:sub>
          <m:sup>
            <m:r>
              <m:t>2</m:t>
            </m:r>
          </m:sup>
        </m:sSubSup>
      </m:oMath>
      <w:r>
        <w:t xml:space="preserve"> </w:t>
      </w:r>
      <w:r>
        <w:t xml:space="preserve">(or the distributional-specific variance; Equation 4) is</w:t>
      </w:r>
      <w:r>
        <w:t xml:space="preserve"> </w:t>
      </w:r>
      <m:oMath>
        <m:sSup>
          <m:e>
            <m:r>
              <m:t>π</m:t>
            </m:r>
          </m:e>
          <m:sup>
            <m:r>
              <m:t>2</m:t>
            </m:r>
          </m:sup>
        </m:sSup>
        <m:r>
          <m:rPr>
            <m:sty m:val="p"/>
          </m:rPr>
          <m:t>/</m:t>
        </m:r>
        <m:r>
          <m:t>6</m:t>
        </m:r>
      </m:oMath>
      <w:r>
        <w:t xml:space="preserve"> </w:t>
      </w:r>
      <w:r>
        <w:t xml:space="preserve">on the latent scale. This means we can define ICC for Equation 3 and 6 as (Nakagawa et al. 2017):</w:t>
      </w:r>
    </w:p>
    <w:p>
      <w:pPr>
        <w:pStyle w:val="BodyText"/>
      </w:pPr>
      <w:bookmarkStart w:id="27" w:name="eq-icc3"/>
      <m:oMathPara>
        <m:oMathParaPr>
          <m:jc m:val="center"/>
        </m:oMathParaPr>
        <m:oMath>
          <m:r>
            <m:rPr>
              <m:nor/>
              <m:sty m:val="p"/>
            </m:rPr>
            <m:t>ICC</m:t>
          </m:r>
          <m:r>
            <m:rPr>
              <m:sty m:val="p"/>
            </m:rPr>
            <m:t>=</m:t>
          </m:r>
          <m:f>
            <m:fPr>
              <m:type m:val="bar"/>
            </m:fPr>
            <m:num>
              <m:sSubSup>
                <m:e>
                  <m:r>
                    <m:t>σ</m:t>
                  </m:r>
                </m:e>
                <m:sub>
                  <m:r>
                    <m:t>α</m:t>
                  </m:r>
                </m:sub>
                <m:sup>
                  <m:r>
                    <m:t>2</m:t>
                  </m:r>
                </m:sup>
              </m:sSubSup>
            </m:num>
            <m:den>
              <m:sSubSup>
                <m:e>
                  <m:r>
                    <m:t>σ</m:t>
                  </m:r>
                </m:e>
                <m:sub>
                  <m:r>
                    <m:t>α</m:t>
                  </m:r>
                </m:sub>
                <m:sup>
                  <m:r>
                    <m:t>2</m:t>
                  </m:r>
                </m:sup>
              </m:sSubSup>
              <m:r>
                <m:rPr>
                  <m:sty m:val="p"/>
                </m:rPr>
                <m:t>+</m:t>
              </m:r>
              <m:sSup>
                <m:e>
                  <m:r>
                    <m:t>π</m:t>
                  </m:r>
                </m:e>
                <m:sup>
                  <m:r>
                    <m:t>2</m:t>
                  </m:r>
                </m:sup>
              </m:sSup>
              <m:r>
                <m:rPr>
                  <m:sty m:val="p"/>
                </m:rPr>
                <m:t>/</m:t>
              </m:r>
              <m:r>
                <m:t>6</m:t>
              </m:r>
            </m:den>
          </m:f>
          <m:r>
            <m:rPr>
              <m:sty m:val="p"/>
            </m:rPr>
            <m:t>.</m:t>
          </m:r>
          <m:r>
            <m:t>  </m:t>
          </m:r>
          <m:d>
            <m:dPr>
              <m:begChr m:val="("/>
              <m:endChr m:val=")"/>
              <m:sepChr m:val=""/>
              <m:grow/>
            </m:dPr>
            <m:e>
              <m:r>
                <m:t>7</m:t>
              </m:r>
            </m:e>
          </m:d>
        </m:oMath>
      </m:oMathPara>
      <w:bookmarkEnd w:id="27"/>
    </w:p>
    <w:p>
      <w:pPr>
        <w:pStyle w:val="FirstParagraph"/>
      </w:pPr>
      <w:r>
        <w:t xml:space="preserve">In the simulation below, we show the parametric version of ICC and the non-parametric version (</w:t>
      </w:r>
      <m:oMath>
        <m:sSub>
          <m:e>
            <m:r>
              <m:rPr>
                <m:nor/>
                <m:sty m:val="p"/>
              </m:rPr>
              <m:t>ICC</m:t>
            </m:r>
          </m:e>
          <m:sub>
            <m:r>
              <m:rPr>
                <m:nor/>
                <m:sty m:val="p"/>
              </m:rPr>
              <m:t>np</m:t>
            </m:r>
          </m:sub>
        </m:sSub>
      </m:oMath>
      <w:r>
        <w:t xml:space="preserve">) are well correlated but not equivalent (analogous to the relationship between Pearson’s</w:t>
      </w:r>
      <w:r>
        <w:t xml:space="preserve"> </w:t>
      </w:r>
      <w:r>
        <w:rPr>
          <w:iCs/>
          <w:i/>
        </w:rPr>
        <w:t xml:space="preserve">r</w:t>
      </w:r>
      <w:r>
        <w:t xml:space="preserve"> </w:t>
      </w:r>
      <w:r>
        <w:t xml:space="preserve">and Kendall’s</w:t>
      </w:r>
      <w:r>
        <w:t xml:space="preserve"> </w:t>
      </w:r>
      <m:oMath>
        <m:r>
          <m:t>τ</m:t>
        </m:r>
      </m:oMath>
      <w:r>
        <w:t xml:space="preserve">. We prefer the use of ICC as in Equation 7 over</w:t>
      </w:r>
      <w:r>
        <w:t xml:space="preserve"> </w:t>
      </w:r>
      <m:oMath>
        <m:sSub>
          <m:e>
            <m:r>
              <m:rPr>
                <m:nor/>
                <m:sty m:val="p"/>
              </m:rPr>
              <m:t>ICC</m:t>
            </m:r>
          </m:e>
          <m:sub>
            <m:r>
              <m:rPr>
                <m:nor/>
                <m:sty m:val="p"/>
              </m:rPr>
              <m:t>np</m:t>
            </m:r>
          </m:sub>
        </m:sSub>
      </m:oMath>
      <w:r>
        <w:t xml:space="preserve"> </w:t>
      </w:r>
      <w:r>
        <w:t xml:space="preserve">because the parametric version is more comparable to other ICC estimates (on the latent/link scale) derived from GLMMs (e.g. Poisson and binomial data), which are now commonly used in ecology and evolution (Nakagawa et al. 2017).</w:t>
      </w:r>
    </w:p>
    <w:p>
      <w:pPr>
        <w:pStyle w:val="BodyText"/>
      </w:pPr>
      <w:r>
        <w:t xml:space="preserve">Furthermore, the advantage of this approach is for us to add more than one random effect, which was eluded above. For example, imagine we have another cluster (a random effect), adding it to Equation 3 and then:</w:t>
      </w:r>
    </w:p>
    <w:p>
      <w:pPr>
        <w:pStyle w:val="BodyText"/>
      </w:pPr>
      <w:bookmarkStart w:id="28" w:name="eq-cox4"/>
      <m:oMathPara>
        <m:oMathParaPr>
          <m:jc m:val="center"/>
        </m:oMathParaPr>
        <m:oMath>
          <m:r>
            <m:rPr>
              <m:sty m:val="p"/>
            </m:rPr>
            <m:t>ln</m:t>
          </m:r>
          <m:d>
            <m:dPr>
              <m:begChr m:val="("/>
              <m:endChr m:val=")"/>
              <m:sepChr m:val=""/>
              <m:grow/>
            </m:dPr>
            <m:e>
              <m:f>
                <m:fPr>
                  <m:type m:val="bar"/>
                </m:fPr>
                <m:num>
                  <m:sSub>
                    <m:e>
                      <m:r>
                        <m:t>λ</m:t>
                      </m:r>
                    </m:e>
                    <m:sub>
                      <m:r>
                        <m:t>i</m:t>
                      </m:r>
                      <m:r>
                        <m:t>j</m:t>
                      </m:r>
                      <m:r>
                        <m:t>l</m:t>
                      </m:r>
                    </m:sub>
                  </m:sSub>
                  <m:d>
                    <m:dPr>
                      <m:begChr m:val="("/>
                      <m:endChr m:val=")"/>
                      <m:sepChr m:val=""/>
                      <m:grow/>
                    </m:dPr>
                    <m:e>
                      <m:r>
                        <m:t>t</m:t>
                      </m:r>
                    </m:e>
                  </m:d>
                </m:num>
                <m:den>
                  <m:sSub>
                    <m:e>
                      <m:r>
                        <m:t>λ</m:t>
                      </m:r>
                    </m:e>
                    <m:sub>
                      <m:r>
                        <m:t>0</m:t>
                      </m:r>
                    </m:sub>
                  </m:sSub>
                  <m:d>
                    <m:dPr>
                      <m:begChr m:val="("/>
                      <m:endChr m:val=")"/>
                      <m:sepChr m:val=""/>
                      <m:grow/>
                    </m:dPr>
                    <m:e>
                      <m:r>
                        <m:t>t</m:t>
                      </m:r>
                    </m:e>
                  </m:d>
                </m:den>
              </m:f>
            </m:e>
          </m:d>
          <m:r>
            <m:rPr>
              <m:sty m:val="p"/>
            </m:rPr>
            <m:t>=</m:t>
          </m:r>
          <m:sSub>
            <m:e>
              <m:r>
                <m:t>b</m:t>
              </m:r>
            </m:e>
            <m:sub>
              <m:r>
                <m:t>s</m:t>
              </m:r>
              <m:r>
                <m:t>e</m:t>
              </m:r>
              <m:r>
                <m:t>x</m:t>
              </m:r>
            </m:sub>
          </m:sSub>
          <m:sSub>
            <m:e>
              <m:r>
                <m:t>x</m:t>
              </m:r>
            </m:e>
            <m:sub>
              <m:r>
                <m:t>s</m:t>
              </m:r>
              <m:r>
                <m:t>e</m:t>
              </m:r>
              <m:r>
                <m:t>x</m:t>
              </m:r>
            </m:sub>
          </m:sSub>
          <m:r>
            <m:rPr>
              <m:sty m:val="p"/>
            </m:rPr>
            <m:t>+</m:t>
          </m:r>
          <m:sSub>
            <m:e>
              <m:r>
                <m:t>α</m:t>
              </m:r>
            </m:e>
            <m:sub>
              <m:r>
                <m:t>i</m:t>
              </m:r>
            </m:sub>
          </m:sSub>
          <m:r>
            <m:rPr>
              <m:sty m:val="p"/>
            </m:rPr>
            <m:t>+</m:t>
          </m:r>
          <m:sSub>
            <m:e>
              <m:r>
                <m:t>γ</m:t>
              </m:r>
            </m:e>
            <m:sub>
              <m:r>
                <m:t>l</m:t>
              </m:r>
            </m:sub>
          </m:sSub>
          <m:r>
            <m:rPr>
              <m:sty m:val="p"/>
            </m:rPr>
            <m:t>,</m:t>
          </m:r>
          <m:r>
            <m:t>  </m:t>
          </m:r>
          <m:d>
            <m:dPr>
              <m:begChr m:val="("/>
              <m:endChr m:val=")"/>
              <m:sepChr m:val=""/>
              <m:grow/>
            </m:dPr>
            <m:e>
              <m:r>
                <m:t>8</m:t>
              </m:r>
            </m:e>
          </m:d>
        </m:oMath>
      </m:oMathPara>
      <w:bookmarkEnd w:id="28"/>
    </w:p>
    <w:p>
      <w:pPr>
        <w:pStyle w:val="FirstParagraph"/>
      </w:pPr>
      <m:oMathPara>
        <m:oMathParaPr>
          <m:jc m:val="center"/>
        </m:oMathParaPr>
        <m:oMath>
          <m:sSub>
            <m:e>
              <m:r>
                <m:t>γ</m:t>
              </m:r>
            </m:e>
            <m:sub>
              <m:r>
                <m:t>l</m:t>
              </m:r>
            </m:sub>
          </m:sSub>
          <m:r>
            <m:rPr>
              <m:sty m:val="p"/>
            </m:rPr>
            <m:t>∼</m:t>
          </m:r>
          <m:r>
            <m:t>N</m:t>
          </m:r>
          <m:d>
            <m:dPr>
              <m:begChr m:val="("/>
              <m:endChr m:val=")"/>
              <m:sepChr m:val=""/>
              <m:grow/>
            </m:dPr>
            <m:e>
              <m:r>
                <m:t>0</m:t>
              </m:r>
              <m:r>
                <m:rPr>
                  <m:sty m:val="p"/>
                </m:rPr>
                <m:t>,</m:t>
              </m:r>
              <m:sSubSup>
                <m:e>
                  <m:r>
                    <m:t>σ</m:t>
                  </m:r>
                </m:e>
                <m:sub>
                  <m:r>
                    <m:t>γ</m:t>
                  </m:r>
                </m:sub>
                <m:sup>
                  <m:r>
                    <m:t>2</m:t>
                  </m:r>
                </m:sup>
              </m:sSubSup>
            </m:e>
          </m:d>
          <m:r>
            <m:rPr>
              <m:sty m:val="p"/>
            </m:rPr>
            <m:t>,</m:t>
          </m:r>
        </m:oMath>
      </m:oMathPara>
    </w:p>
    <w:p>
      <w:pPr>
        <w:pStyle w:val="FirstParagraph"/>
      </w:pPr>
      <w:r>
        <w:t xml:space="preserve">where</w:t>
      </w:r>
      <w:r>
        <w:t xml:space="preserve"> </w:t>
      </w:r>
      <m:oMath>
        <m:sSub>
          <m:e>
            <m:r>
              <m:t>γ</m:t>
            </m:r>
          </m:e>
          <m:sub>
            <m:r>
              <m:t>l</m:t>
            </m:r>
          </m:sub>
        </m:sSub>
      </m:oMath>
      <w:r>
        <w:t xml:space="preserve"> </w:t>
      </w:r>
      <w:r>
        <w:t xml:space="preserve">is the random effect for the</w:t>
      </w:r>
      <w:r>
        <w:t xml:space="preserve"> </w:t>
      </w:r>
      <m:oMath>
        <m:r>
          <m:t>l</m:t>
        </m:r>
      </m:oMath>
      <w:r>
        <w:t xml:space="preserve">th level of the second cluster, which is normally distributed with the mean of zero and the variane of</w:t>
      </w:r>
      <w:r>
        <w:t xml:space="preserve"> </w:t>
      </w:r>
      <m:oMath>
        <m:sSubSup>
          <m:e>
            <m:r>
              <m:t>σ</m:t>
            </m:r>
          </m:e>
          <m:sub>
            <m:r>
              <m:t>γ</m:t>
            </m:r>
          </m:sub>
          <m:sup>
            <m:r>
              <m:t>2</m:t>
            </m:r>
          </m:sup>
        </m:sSubSup>
      </m:oMath>
      <w:r>
        <w:t xml:space="preserve">. It is interesting to notice that the two random effects can be</w:t>
      </w:r>
      <w:r>
        <w:t xml:space="preserve"> </w:t>
      </w:r>
      <w:r>
        <w:t xml:space="preserve">‘</w:t>
      </w:r>
      <w:r>
        <w:t xml:space="preserve">nested</w:t>
      </w:r>
      <w:r>
        <w:t xml:space="preserve">’</w:t>
      </w:r>
      <w:r>
        <w:t xml:space="preserve"> </w:t>
      </w:r>
      <w:r>
        <w:t xml:space="preserve">or</w:t>
      </w:r>
      <w:r>
        <w:t xml:space="preserve"> </w:t>
      </w:r>
      <w:r>
        <w:t xml:space="preserve">‘</w:t>
      </w:r>
      <w:r>
        <w:t xml:space="preserve">crossed</w:t>
      </w:r>
      <w:r>
        <w:t xml:space="preserve">’</w:t>
      </w:r>
      <w:r>
        <w:t xml:space="preserve"> </w:t>
      </w:r>
      <w:r>
        <w:t xml:space="preserve">(Schielzeth and Nakagawa, 2013).</w:t>
      </w:r>
    </w:p>
    <w:p>
      <w:pPr>
        <w:pStyle w:val="BodyText"/>
      </w:pPr>
      <w:r>
        <w:t xml:space="preserve">An example of the nested random effects are individual (</w:t>
      </w:r>
      <m:oMath>
        <m:sSub>
          <m:e>
            <m:r>
              <m:t>α</m:t>
            </m:r>
          </m:e>
          <m:sub>
            <m:r>
              <m:t>i</m:t>
            </m:r>
          </m:sub>
        </m:sSub>
      </m:oMath>
      <w:r>
        <w:t xml:space="preserve">) and population (</w:t>
      </w:r>
      <m:oMath>
        <m:sSub>
          <m:e>
            <m:r>
              <m:t>γ</m:t>
            </m:r>
          </m:e>
          <m:sub>
            <m:r>
              <m:t>l</m:t>
            </m:r>
          </m:sub>
        </m:sSub>
      </m:oMath>
      <w:r>
        <w:t xml:space="preserve">) where individuals are nested within populations. In this case, the ICC for individuals can be defined as:</w:t>
      </w:r>
    </w:p>
    <w:p>
      <w:pPr>
        <w:pStyle w:val="BodyText"/>
      </w:pPr>
      <w:bookmarkStart w:id="29" w:name="eq-icc4"/>
      <m:oMathPara>
        <m:oMathParaPr>
          <m:jc m:val="center"/>
        </m:oMathParaPr>
        <m:oMath>
          <m:sSub>
            <m:e>
              <m:r>
                <m:rPr>
                  <m:nor/>
                  <m:sty m:val="p"/>
                </m:rPr>
                <m:t>ICC</m:t>
              </m:r>
            </m:e>
            <m:sub>
              <m:r>
                <m:rPr>
                  <m:nor/>
                  <m:sty m:val="p"/>
                </m:rPr>
                <m:t>ind1</m:t>
              </m:r>
            </m:sub>
          </m:sSub>
          <m:r>
            <m:rPr>
              <m:sty m:val="p"/>
            </m:rPr>
            <m:t>=</m:t>
          </m:r>
          <m:f>
            <m:fPr>
              <m:type m:val="bar"/>
            </m:fPr>
            <m:num>
              <m:sSubSup>
                <m:e>
                  <m:r>
                    <m:t>σ</m:t>
                  </m:r>
                </m:e>
                <m:sub>
                  <m:r>
                    <m:t>α</m:t>
                  </m:r>
                </m:sub>
                <m:sup>
                  <m:r>
                    <m:t>2</m:t>
                  </m:r>
                </m:sup>
              </m:sSubSup>
              <m:r>
                <m:rPr>
                  <m:sty m:val="p"/>
                </m:rPr>
                <m:t>+</m:t>
              </m:r>
              <m:sSubSup>
                <m:e>
                  <m:r>
                    <m:t>σ</m:t>
                  </m:r>
                </m:e>
                <m:sub>
                  <m:r>
                    <m:t>γ</m:t>
                  </m:r>
                </m:sub>
                <m:sup>
                  <m:r>
                    <m:t>2</m:t>
                  </m:r>
                </m:sup>
              </m:sSubSup>
            </m:num>
            <m:den>
              <m:sSubSup>
                <m:e>
                  <m:r>
                    <m:t>σ</m:t>
                  </m:r>
                </m:e>
                <m:sub>
                  <m:r>
                    <m:t>α</m:t>
                  </m:r>
                </m:sub>
                <m:sup>
                  <m:r>
                    <m:t>2</m:t>
                  </m:r>
                </m:sup>
              </m:sSubSup>
              <m:r>
                <m:rPr>
                  <m:sty m:val="p"/>
                </m:rPr>
                <m:t>+</m:t>
              </m:r>
              <m:sSubSup>
                <m:e>
                  <m:r>
                    <m:t>σ</m:t>
                  </m:r>
                </m:e>
                <m:sub>
                  <m:r>
                    <m:t>γ</m:t>
                  </m:r>
                </m:sub>
                <m:sup>
                  <m:r>
                    <m:t>2</m:t>
                  </m:r>
                </m:sup>
              </m:sSubSup>
              <m:r>
                <m:rPr>
                  <m:sty m:val="p"/>
                </m:rPr>
                <m:t>+</m:t>
              </m:r>
              <m:sSup>
                <m:e>
                  <m:r>
                    <m:t>π</m:t>
                  </m:r>
                </m:e>
                <m:sup>
                  <m:r>
                    <m:t>2</m:t>
                  </m:r>
                </m:sup>
              </m:sSup>
              <m:r>
                <m:rPr>
                  <m:sty m:val="p"/>
                </m:rPr>
                <m:t>/</m:t>
              </m:r>
              <m:r>
                <m:t>6</m:t>
              </m:r>
            </m:den>
          </m:f>
          <m:r>
            <m:rPr>
              <m:sty m:val="p"/>
            </m:rPr>
            <m:t>.</m:t>
          </m:r>
          <m:r>
            <m:t>  </m:t>
          </m:r>
          <m:d>
            <m:dPr>
              <m:begChr m:val="("/>
              <m:endChr m:val=")"/>
              <m:sepChr m:val=""/>
              <m:grow/>
            </m:dPr>
            <m:e>
              <m:r>
                <m:t>9</m:t>
              </m:r>
            </m:e>
          </m:d>
        </m:oMath>
      </m:oMathPara>
      <w:bookmarkEnd w:id="29"/>
    </w:p>
    <w:p>
      <w:pPr>
        <w:pStyle w:val="FirstParagraph"/>
      </w:pPr>
      <w:r>
        <w:t xml:space="preserve">The reason both variance components are required for ICC for individuals is that some of similarities of a pair of individuals come from belonging to the same population. An example of the crossed random effects are individual (</w:t>
      </w:r>
      <m:oMath>
        <m:sSub>
          <m:e>
            <m:r>
              <m:t>α</m:t>
            </m:r>
          </m:e>
          <m:sub>
            <m:r>
              <m:t>i</m:t>
            </m:r>
          </m:sub>
        </m:sSub>
      </m:oMath>
      <w:r>
        <w:t xml:space="preserve">) and year (</w:t>
      </w:r>
      <m:oMath>
        <m:sSub>
          <m:e>
            <m:r>
              <m:t>γ</m:t>
            </m:r>
          </m:e>
          <m:sub>
            <m:r>
              <m:t>l</m:t>
            </m:r>
          </m:sub>
        </m:sSub>
      </m:oMath>
      <w:r>
        <w:t xml:space="preserve">) where individuals are not nested within years. This time, the ICC for individuals can be written as:</w:t>
      </w:r>
    </w:p>
    <w:p>
      <w:pPr>
        <w:pStyle w:val="BodyText"/>
      </w:pPr>
      <w:bookmarkStart w:id="30" w:name="eq-icc5"/>
      <m:oMathPara>
        <m:oMathParaPr>
          <m:jc m:val="center"/>
        </m:oMathParaPr>
        <m:oMath>
          <m:sSub>
            <m:e>
              <m:r>
                <m:rPr>
                  <m:nor/>
                  <m:sty m:val="p"/>
                </m:rPr>
                <m:t>ICC</m:t>
              </m:r>
            </m:e>
            <m:sub>
              <m:r>
                <m:rPr>
                  <m:nor/>
                  <m:sty m:val="p"/>
                </m:rPr>
                <m:t>ind2</m:t>
              </m:r>
            </m:sub>
          </m:sSub>
          <m:r>
            <m:rPr>
              <m:sty m:val="p"/>
            </m:rPr>
            <m:t>=</m:t>
          </m:r>
          <m:f>
            <m:fPr>
              <m:type m:val="bar"/>
            </m:fPr>
            <m:num>
              <m:sSubSup>
                <m:e>
                  <m:r>
                    <m:t>σ</m:t>
                  </m:r>
                </m:e>
                <m:sub>
                  <m:r>
                    <m:t>α</m:t>
                  </m:r>
                </m:sub>
                <m:sup>
                  <m:r>
                    <m:t>2</m:t>
                  </m:r>
                </m:sup>
              </m:sSubSup>
            </m:num>
            <m:den>
              <m:sSubSup>
                <m:e>
                  <m:r>
                    <m:t>σ</m:t>
                  </m:r>
                </m:e>
                <m:sub>
                  <m:r>
                    <m:t>α</m:t>
                  </m:r>
                </m:sub>
                <m:sup>
                  <m:r>
                    <m:t>2</m:t>
                  </m:r>
                </m:sup>
              </m:sSubSup>
              <m:r>
                <m:rPr>
                  <m:sty m:val="p"/>
                </m:rPr>
                <m:t>+</m:t>
              </m:r>
              <m:sSubSup>
                <m:e>
                  <m:r>
                    <m:t>σ</m:t>
                  </m:r>
                </m:e>
                <m:sub>
                  <m:r>
                    <m:t>γ</m:t>
                  </m:r>
                </m:sub>
                <m:sup>
                  <m:r>
                    <m:t>2</m:t>
                  </m:r>
                </m:sup>
              </m:sSubSup>
              <m:r>
                <m:rPr>
                  <m:sty m:val="p"/>
                </m:rPr>
                <m:t>+</m:t>
              </m:r>
              <m:sSup>
                <m:e>
                  <m:r>
                    <m:t>π</m:t>
                  </m:r>
                </m:e>
                <m:sup>
                  <m:r>
                    <m:t>2</m:t>
                  </m:r>
                </m:sup>
              </m:sSup>
              <m:r>
                <m:rPr>
                  <m:sty m:val="p"/>
                </m:rPr>
                <m:t>/</m:t>
              </m:r>
              <m:r>
                <m:t>6</m:t>
              </m:r>
            </m:den>
          </m:f>
          <m:r>
            <m:rPr>
              <m:sty m:val="p"/>
            </m:rPr>
            <m:t>.</m:t>
          </m:r>
          <m:r>
            <m:t>  </m:t>
          </m:r>
          <m:d>
            <m:dPr>
              <m:begChr m:val="("/>
              <m:endChr m:val=")"/>
              <m:sepChr m:val=""/>
              <m:grow/>
            </m:dPr>
            <m:e>
              <m:r>
                <m:t>10</m:t>
              </m:r>
            </m:e>
          </m:d>
        </m:oMath>
      </m:oMathPara>
      <w:bookmarkEnd w:id="30"/>
    </w:p>
    <w:p>
      <w:pPr>
        <w:pStyle w:val="FirstParagraph"/>
      </w:pPr>
      <w:r>
        <w:t xml:space="preserve">If one wants to remove or adjusting the effect of year, and then, ICC for individuals simplifies to Equation 7. Speaking of adjusting, all the ICC formulas presented above represents</w:t>
      </w:r>
      <w:r>
        <w:t xml:space="preserve"> </w:t>
      </w:r>
      <w:r>
        <w:t xml:space="preserve">‘</w:t>
      </w:r>
      <w:r>
        <w:t xml:space="preserve">adjusted</w:t>
      </w:r>
      <w:r>
        <w:t xml:space="preserve">’</w:t>
      </w:r>
      <w:r>
        <w:t xml:space="preserve"> </w:t>
      </w:r>
      <w:r>
        <w:t xml:space="preserve">repeatablity (ICC;</w:t>
      </w:r>
      <w:r>
        <w:t xml:space="preserve"> </w:t>
      </w:r>
      <w:r>
        <w:rPr>
          <w:iCs/>
          <w:i/>
        </w:rPr>
        <w:t xml:space="preserve">sensu</w:t>
      </w:r>
      <w:r>
        <w:t xml:space="preserve"> </w:t>
      </w:r>
      <w:r>
        <w:t xml:space="preserve">Nakagawa and Schielzeth, 2010) because the effect of sex is accounted for in these models above. We can obtain</w:t>
      </w:r>
      <w:r>
        <w:t xml:space="preserve"> </w:t>
      </w:r>
      <w:r>
        <w:t xml:space="preserve">‘</w:t>
      </w:r>
      <w:r>
        <w:t xml:space="preserve">unadjusted</w:t>
      </w:r>
      <w:r>
        <w:t xml:space="preserve">’</w:t>
      </w:r>
      <w:r>
        <w:t xml:space="preserve"> </w:t>
      </w:r>
      <w:r>
        <w:t xml:space="preserve">repeatablity (ICC) by fitting the model without the fixed effect (sex), for example by changing Equation 3:</w:t>
      </w:r>
    </w:p>
    <w:p>
      <w:pPr>
        <w:pStyle w:val="BodyText"/>
      </w:pPr>
      <w:bookmarkStart w:id="31" w:name="eq-cox5"/>
      <m:oMathPara>
        <m:oMathParaPr>
          <m:jc m:val="center"/>
        </m:oMathParaPr>
        <m:oMath>
          <m:r>
            <m:rPr>
              <m:sty m:val="p"/>
            </m:rPr>
            <m:t>ln</m:t>
          </m:r>
          <m:d>
            <m:dPr>
              <m:begChr m:val="("/>
              <m:endChr m:val=")"/>
              <m:sepChr m:val=""/>
              <m:grow/>
            </m:dPr>
            <m:e>
              <m:f>
                <m:fPr>
                  <m:type m:val="bar"/>
                </m:fPr>
                <m:num>
                  <m:sSub>
                    <m:e>
                      <m:r>
                        <m:t>λ</m:t>
                      </m:r>
                    </m:e>
                    <m:sub>
                      <m:r>
                        <m:t>i</m:t>
                      </m:r>
                      <m:r>
                        <m:t>j</m:t>
                      </m:r>
                    </m:sub>
                  </m:sSub>
                  <m:d>
                    <m:dPr>
                      <m:begChr m:val="("/>
                      <m:endChr m:val=")"/>
                      <m:sepChr m:val=""/>
                      <m:grow/>
                    </m:dPr>
                    <m:e>
                      <m:r>
                        <m:t>t</m:t>
                      </m:r>
                    </m:e>
                  </m:d>
                </m:num>
                <m:den>
                  <m:sSub>
                    <m:e>
                      <m:r>
                        <m:t>λ</m:t>
                      </m:r>
                    </m:e>
                    <m:sub>
                      <m:r>
                        <m:t>0</m:t>
                      </m:r>
                    </m:sub>
                  </m:sSub>
                  <m:d>
                    <m:dPr>
                      <m:begChr m:val="("/>
                      <m:endChr m:val=")"/>
                      <m:sepChr m:val=""/>
                      <m:grow/>
                    </m:dPr>
                    <m:e>
                      <m:r>
                        <m:t>t</m:t>
                      </m:r>
                    </m:e>
                  </m:d>
                </m:den>
              </m:f>
            </m:e>
          </m:d>
          <m:r>
            <m:rPr>
              <m:sty m:val="p"/>
            </m:rPr>
            <m:t>=</m:t>
          </m:r>
          <m:sSub>
            <m:e>
              <m:r>
                <m:t>α</m:t>
              </m:r>
            </m:e>
            <m:sub>
              <m:r>
                <m:t>i</m:t>
              </m:r>
            </m:sub>
          </m:sSub>
          <m:r>
            <m:rPr>
              <m:sty m:val="p"/>
            </m:rPr>
            <m:t>.</m:t>
          </m:r>
          <m:r>
            <m:t>  </m:t>
          </m:r>
          <m:d>
            <m:dPr>
              <m:begChr m:val="("/>
              <m:endChr m:val=")"/>
              <m:sepChr m:val=""/>
              <m:grow/>
            </m:dPr>
            <m:e>
              <m:r>
                <m:t>11</m:t>
              </m:r>
            </m:e>
          </m:d>
        </m:oMath>
      </m:oMathPara>
      <w:bookmarkEnd w:id="31"/>
    </w:p>
    <w:p>
      <w:pPr>
        <w:pStyle w:val="FirstParagraph"/>
      </w:pPr>
      <w:r>
        <w:t xml:space="preserve">Importantly,</w:t>
      </w:r>
      <w:r>
        <w:t xml:space="preserve"> </w:t>
      </w:r>
      <m:oMath>
        <m:sSubSup>
          <m:e>
            <m:r>
              <m:t>σ</m:t>
            </m:r>
          </m:e>
          <m:sub>
            <m:r>
              <m:t>α</m:t>
            </m:r>
          </m:sub>
          <m:sup>
            <m:r>
              <m:t>2</m:t>
            </m:r>
          </m:sup>
        </m:sSubSup>
      </m:oMath>
      <w:r>
        <w:t xml:space="preserve"> </w:t>
      </w:r>
      <w:r>
        <w:t xml:space="preserve">and so ICC values should be larger obtained from this model (Equation 11) than those obtained from Equation 3 given the fixed effect explains non-zero variance. On the online page (www.github….xxxx), we show how to fit models and obtain ICC estimates, described above.</w:t>
      </w:r>
    </w:p>
    <w:bookmarkEnd w:id="32"/>
    <w:bookmarkStart w:id="33" w:name="simulation-results"/>
    <w:p>
      <w:pPr>
        <w:pStyle w:val="Heading2"/>
      </w:pPr>
      <w:r>
        <w:t xml:space="preserve">Simulation results</w:t>
      </w:r>
    </w:p>
    <w:p>
      <w:pPr>
        <w:pStyle w:val="FirstParagraph"/>
      </w:pPr>
      <w:r>
        <w:t xml:space="preserve">Note - I do not think we need a section for simulation???</w:t>
      </w:r>
    </w:p>
    <w:bookmarkEnd w:id="33"/>
    <w:bookmarkStart w:id="34" w:name="case-studies"/>
    <w:p>
      <w:pPr>
        <w:pStyle w:val="Heading2"/>
      </w:pPr>
      <w:r>
        <w:t xml:space="preserve">Case studies</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dc:title>
  <dc:creator/>
  <cp:keywords/>
  <dcterms:created xsi:type="dcterms:W3CDTF">2024-05-07T19:56:02Z</dcterms:created>
  <dcterms:modified xsi:type="dcterms:W3CDTF">2024-05-07T19:56:02Z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