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(rate) of an event occurring in relation to predictor variables with time-to-event data (i.e., time taken till the event or censoring; Cox 1972). The hazard is a rate (or risk) of which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Note</w:t>
      </w:r>
      <w:r>
        <w:t xml:space="preserve"> </w:t>
      </w:r>
      <m:oMath>
        <m:sSub>
          <m:e>
            <m:r>
              <m:t>λ</m:t>
            </m:r>
          </m:e>
          <m:sub>
            <m:r>
              <m:t>0</m:t>
            </m:r>
          </m:sub>
        </m:sSub>
        <m:d>
          <m:dPr>
            <m:begChr m:val="("/>
            <m:endChr m:val=")"/>
            <m:sepChr m:val=""/>
            <m:grow/>
          </m:dPr>
          <m:e>
            <m:r>
              <m:t>t</m:t>
            </m:r>
          </m:e>
        </m:d>
      </m:oMath>
      <w:r>
        <w:t xml:space="preserve"> </w:t>
      </w:r>
      <w:r>
        <w:t xml:space="preserve">take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r>
          <m:t>b</m:t>
        </m:r>
        <m:r>
          <m:t>0</m:t>
        </m:r>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identify), which is often referred to as the</w:t>
      </w:r>
      <w:r>
        <w:t xml:space="preserve"> </w:t>
      </w:r>
      <w:r>
        <w:t xml:space="preserve">‘</w:t>
      </w:r>
      <w:r>
        <w:t xml:space="preserve">frailty</w:t>
      </w:r>
      <w:r>
        <w:t xml:space="preserve">’</w:t>
      </w:r>
      <w:r>
        <w:t xml:space="preserve"> </w:t>
      </w:r>
      <w:r>
        <w:t xml:space="preserve">term (Cox regressions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(identity for a cluster: e.g. individuals so the between-cluster variance)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pacakge,</w:t>
      </w:r>
      <w:r>
        <w:t xml:space="preserve"> </w:t>
      </w:r>
      <w:r>
        <w:rPr>
          <w:rStyle w:val="VerbatimChar"/>
        </w:rPr>
        <w:t xml:space="preserve">rptR</w:t>
      </w:r>
      <w:r>
        <w:t xml:space="preserve"> </w:t>
      </w:r>
      <w:r>
        <w:t xml:space="preserve">can be used to calculate the ICC for a GLMM, via</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non-Guassian data (e.g. binomial or Poisson), the within-cluster variance can be determined by what distributional assumptions GLMM makes (e.g. binomial or Poisson). For example, to obtain ICC for binary GLMMs on the latest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make no distributional assumptions about the hazard rate (i.e., non-parametric; Equation 1 &amp; 2) although frailty models (Equation 3) has a random effect of a Gaussian distribution (this is why, this model is known as semi-parametric. Therefore, we could not calculate the ICC for Cox models.</w:t>
      </w:r>
    </w:p>
    <w:p>
      <w:pPr>
        <w:pStyle w:val="BodyText"/>
      </w:pPr>
      <w:r>
        <w:t xml:space="preserve">Yet, in the statistical literature, a formula for parametric version of ICC (</w:t>
      </w:r>
      <m:oMath>
        <m:sSub>
          <m:e>
            <m:r>
              <m:rPr>
                <m:nor/>
                <m:sty m:val="p"/>
              </m:rPr>
              <m:t>ICC</m:t>
            </m:r>
          </m:e>
          <m:sub>
            <m:r>
              <m:rPr>
                <m:nor/>
                <m:sty m:val="p"/>
              </m:rPr>
              <m:t>np</m:t>
            </m:r>
          </m:sub>
        </m:sSub>
      </m:oMath>
      <w:r>
        <w:t xml:space="preserve">) for the frailty model is known when we make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 are</w:t>
      </w:r>
      <w:r>
        <w:t xml:space="preserve"> </w:t>
      </w:r>
      <m:oMath>
        <m:r>
          <m:t>1</m:t>
        </m:r>
        <m:r>
          <m:rPr>
            <m:sty m:val="p"/>
          </m:rPr>
          <m:t>/</m:t>
        </m:r>
        <m:sSub>
          <m:e>
            <m:r>
              <m:t>θ</m:t>
            </m:r>
          </m:e>
          <m:sub>
            <m:r>
              <m:t>α</m:t>
            </m:r>
          </m:sub>
        </m:sSub>
      </m:oMath>
      <w:r>
        <w:t xml:space="preserv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 and are unlikely to be the same but</w:t>
      </w:r>
      <w:r>
        <w:t xml:space="preserve"> </w:t>
      </w:r>
      <m:oMath>
        <m:sSub>
          <m:e>
            <m:r>
              <m:rPr>
                <m:nor/>
                <m:sty m:val="p"/>
              </m:rPr>
              <m:t>ICC</m:t>
            </m:r>
          </m:e>
          <m:sub>
            <m:r>
              <m:rPr>
                <m:nor/>
                <m:sty m:val="p"/>
              </m:rPr>
              <m:t>np</m:t>
            </m:r>
          </m:sub>
        </m:sSub>
      </m:oMath>
      <w:r>
        <w:t xml:space="preserve"> </w:t>
      </w:r>
      <w:r>
        <w:t xml:space="preserve">values, which we show in the simulation below.</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piratically speaking). Therefore, we need to use a trick to turn a time-to-event data for Cox models into a data set where we could fit a GLMM so that we can obtain parametric versions of ICCs.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for an accessible non-technical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 data set by defining arbitrary discrete time intervals (Fig XXX shows an example of such a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s</m:t>
              </m:r>
              <m:r>
                <m:t>e</m:t>
              </m:r>
              <m:r>
                <m:t>x</m:t>
              </m:r>
            </m:sub>
          </m:sSub>
          <m:sSub>
            <m:e>
              <m:r>
                <m:t>x</m:t>
              </m:r>
            </m:e>
            <m:sub>
              <m:r>
                <m:t>s</m:t>
              </m:r>
              <m:r>
                <m:t>e</m:t>
              </m:r>
              <m:r>
                <m:t>x</m:t>
              </m:r>
            </m:sub>
          </m:sSub>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w:t>
      </w:r>
      <w:r>
        <w:t xml:space="preserve"> </w:t>
      </w:r>
      <m:oMath>
        <m:r>
          <m:t>k</m:t>
        </m:r>
      </m:oMath>
      <w:r>
        <w:t xml:space="preserve"> </w:t>
      </w:r>
      <w:r>
        <w:t xml:space="preserve">is the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consistes of the cloglog-transformed hazard rate (</w:t>
      </w:r>
      <m:oMath>
        <m:sSub>
          <m:e>
            <m:r>
              <m:t>λ</m:t>
            </m:r>
          </m:e>
          <m:sub>
            <m:r>
              <m:t>i</m:t>
            </m:r>
            <m:r>
              <m:t>j</m:t>
            </m:r>
            <m:r>
              <m:t>k</m:t>
            </m:r>
          </m:sub>
        </m:sSub>
        <m:d>
          <m:dPr>
            <m:begChr m:val="("/>
            <m:endChr m:val=")"/>
            <m:sepChr m:val=""/>
            <m:grow/>
          </m:dPr>
          <m:e>
            <m:r>
              <m:t>t</m:t>
            </m:r>
          </m:e>
        </m:d>
      </m:oMath>
      <w:r>
        <w:t xml:space="preserve">) and base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are</w:t>
      </w:r>
      <w:r>
        <w:t xml:space="preserve"> </w:t>
      </w:r>
      <w:r>
        <w:t xml:space="preserve">“</w:t>
      </w:r>
      <w:r>
        <w:t xml:space="preserve">the same</w:t>
      </w:r>
      <w:r>
        <w:t xml:space="preserve">”</w:t>
      </w:r>
      <w:r>
        <w:t xml:space="preserve"> </w:t>
      </w:r>
      <w:r>
        <w:t xml:space="preserve">as in Equation 3 although the data structures used for two models are very different (i.e., time-to-event data vs. exploded data; Fig XXX). Using a simple simulation,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;see below). Note that the number of intervals do not affect these estimates from the binomial GLMM.</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the simulation below,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w:t>
      </w:r>
    </w:p>
    <w:p>
      <w:pPr>
        <w:pStyle w:val="BodyText"/>
      </w:pPr>
      <w:r>
        <w:t xml:space="preserve">Furthermore, the advantage of this approach is for us to add more than one random effect, which was eluded above. For example, imagine we have another cluster (a random effect), adding it to Equation 3 and then:</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variane of</w:t>
      </w:r>
      <w:r>
        <w:t xml:space="preserve"> </w:t>
      </w:r>
      <m:oMath>
        <m:sSubSup>
          <m:e>
            <m:r>
              <m:t>σ</m:t>
            </m:r>
          </m:e>
          <m:sub>
            <m:r>
              <m:t>γ</m:t>
            </m:r>
          </m:sub>
          <m:sup>
            <m:r>
              <m:t>2</m:t>
            </m:r>
          </m:sup>
        </m:sSubSup>
      </m:oMath>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we need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adjusting the effect of year, and then, ICC for individuals simplifes to Equation 7. Speaking of adjusting, all the ICC formulas presented above represents</w:t>
      </w:r>
      <w:r>
        <w:t xml:space="preserve"> </w:t>
      </w:r>
      <w:r>
        <w:t xml:space="preserve">‘</w:t>
      </w:r>
      <w:r>
        <w:t xml:space="preserve">adjusted</w:t>
      </w:r>
      <w:r>
        <w:t xml:space="preserve">’</w:t>
      </w:r>
      <w:r>
        <w:t xml:space="preserve"> </w:t>
      </w:r>
      <w:r>
        <w:t xml:space="preserve">repeatablity (ICC;</w:t>
      </w:r>
      <w:r>
        <w:t xml:space="preserve"> </w:t>
      </w:r>
      <w:r>
        <w:rPr>
          <w:iCs/>
          <w:i/>
        </w:rPr>
        <w:t xml:space="preserve">sensu</w:t>
      </w:r>
      <w:r>
        <w:t xml:space="preserve"> </w:t>
      </w:r>
      <w:r>
        <w:t xml:space="preserve">Nakagawa and Schielzeth, 2010) because the effect of sex is accounted for in these models above.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w:t>
      </w:r>
      <w:r>
        <w:t xml:space="preserve"> </w:t>
      </w:r>
      <m:oMath>
        <m:sSubSup>
          <m:e>
            <m:r>
              <m:t>σ</m:t>
            </m:r>
          </m:e>
          <m:sub>
            <m:r>
              <m:t>α</m:t>
            </m:r>
          </m:sub>
          <m:sup>
            <m:r>
              <m:t>2</m:t>
            </m:r>
          </m:sup>
        </m:sSubSup>
      </m:oMath>
      <w:r>
        <w:t xml:space="preserve"> </w:t>
      </w:r>
      <w:r>
        <w:t xml:space="preserve">and so ICC values should be larger obtained from this model (Equation 11) than those obtained from Equation 3 given the fixed effect explains non-zero variance. On the online page (www.github….xxxx), we show how to fit models and ICC estimates, described above.</w:t>
      </w:r>
    </w:p>
    <w:bookmarkEnd w:id="32"/>
    <w:bookmarkStart w:id="33" w:name="methods-for-simulaiton"/>
    <w:p>
      <w:pPr>
        <w:pStyle w:val="Heading2"/>
      </w:pPr>
      <w:r>
        <w:t xml:space="preserve">Methods (for simulaiton)</w:t>
      </w:r>
    </w:p>
    <w:p>
      <w:pPr>
        <w:pStyle w:val="FirstParagraph"/>
      </w:pPr>
      <w:r>
        <w:t xml:space="preserve">Note - I do not think we need a section for simulation???</w:t>
      </w:r>
    </w:p>
    <w:bookmarkEnd w:id="33"/>
    <w:bookmarkStart w:id="34" w:name="case-studies"/>
    <w:p>
      <w:pPr>
        <w:pStyle w:val="Heading2"/>
      </w:pPr>
      <w:r>
        <w:t xml:space="preserve">Case studies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2024-05-07T06:50:15Z</dcterms:created>
  <dcterms:modified xsi:type="dcterms:W3CDTF">2024-05-07T06:50:15Z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