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06"/>
        <w:tblBorders>
          <w:top w:val="none" w:color="FFFFFF" w:sz="0"/>
          <w:left w:val="none" w:color="FFFFFF" w:sz="0"/>
          <w:bottom w:val="none" w:color="FFFFFF" w:sz="0"/>
          <w:right w:val="none" w:color="FFFFFF" w:sz="0"/>
          <w:insideH w:val="single" w:color="auto" w:sz="4"/>
          <w:insideV w:val="single" w:color="auto" w:sz="4"/>
        </w:tblBorders>
      </w:tblPr>
      <w:tblGrid>
        <w:gridCol w:w="1500"/>
        <w:gridCol w:w="5400"/>
        <w:gridCol w:w="3406"/>
      </w:tblGrid>
      <w:tr>
        <w:tc>
          <w:tcPr>
            <w:tcW w:type="dxa" w:w="15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0" w:before="0"/>
            </w:pPr>
            <w:r>
              <w:rPr>
                <w:rFonts w:ascii="Calibri" w:cs="Calibri" w:eastAsia="Calibri" w:hAnsi="Calibri"/>
                <w:b w:val="false"/>
                <w:bCs w:val="false"/>
                <w:i w:val="false"/>
                <w:iCs w:val="false"/>
                <w:caps w:val="false"/>
                <w:color w:val="7B8496"/>
                <w:spacing w:val="8"/>
                <w:sz w:val="13"/>
                <w:szCs w:val="13"/>
              </w:rPr>
              <w:t xml:space="preserve">SCHOOL CREST</w:t>
            </w:r>
          </w:p>
          <w:p>
            <w:pPr>
              <w:spacing w:after="0" w:before="0"/>
            </w:pPr>
            <w:r>
              <w:rPr>
                <w:rFonts w:ascii="Calibri" w:cs="Calibri" w:eastAsia="Calibri" w:hAnsi="Calibri"/>
                <w:b w:val="false"/>
                <w:bCs w:val="false"/>
                <w:i w:val="false"/>
                <w:iCs w:val="false"/>
                <w:caps w:val="false"/>
                <w:color w:val="7B8496"/>
                <w:sz w:val="13"/>
                <w:szCs w:val="13"/>
              </w:rPr>
              <w:t xml:space="preserve">[ logo here ]</w:t>
            </w:r>
          </w:p>
        </w:tc>
        <w:tc>
          <w:tcPr>
            <w:tcW w:type="dxa" w:w="54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pBdr>
                <w:bottom w:val="single" w:color="E4E8EF" w:sz="4"/>
              </w:pBdr>
              <w:spacing w:after="20"/>
            </w:pPr>
            <w:r>
              <w:rPr>
                <w:rFonts w:ascii="Calibri" w:cs="Calibri" w:eastAsia="Calibri" w:hAnsi="Calibri"/>
                <w:b w:val="false"/>
                <w:bCs w:val="false"/>
                <w:i w:val="false"/>
                <w:iCs w:val="false"/>
                <w:caps w:val="false"/>
                <w:color w:val="7B8496"/>
                <w:sz w:val="20"/>
                <w:szCs w:val="20"/>
              </w:rPr>
              <w:t xml:space="preserve">[ Issuing institution name ]</w:t>
            </w:r>
          </w:p>
          <w:p>
            <w:pPr>
              <w:spacing w:after="0" w:before="0"/>
            </w:pPr>
            <w:r>
              <w:rPr>
                <w:rFonts w:ascii="Calibri" w:cs="Calibri" w:eastAsia="Calibri" w:hAnsi="Calibri"/>
                <w:b w:val="false"/>
                <w:bCs w:val="false"/>
                <w:i w:val="false"/>
                <w:iCs w:val="false"/>
                <w:caps/>
                <w:color w:val="7B8496"/>
                <w:spacing w:val="12"/>
                <w:sz w:val="16"/>
                <w:szCs w:val="16"/>
              </w:rPr>
              <w:t xml:space="preserve">Office of the Registrar</w:t>
            </w:r>
          </w:p>
        </w:tc>
        <w:tc>
          <w:tcPr>
            <w:tcW w:type="dxa" w:w="3406"/>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0" w:before="0"/>
              <w:jc w:val="right"/>
            </w:pPr>
            <w:r>
              <w:rPr>
                <w:rFonts w:ascii="Calibri" w:cs="Calibri" w:eastAsia="Calibri" w:hAnsi="Calibri"/>
                <w:b/>
                <w:bCs/>
                <w:i w:val="false"/>
                <w:iCs w:val="false"/>
                <w:caps w:val="false"/>
                <w:color w:val="4A5468"/>
                <w:sz w:val="16"/>
                <w:szCs w:val="16"/>
              </w:rPr>
              <w:t xml:space="preserve">Ref. No. </w:t>
            </w:r>
            <w:r>
              <w:rPr>
                <w:rFonts w:ascii="Calibri" w:cs="Calibri" w:eastAsia="Calibri" w:hAnsi="Calibri"/>
                <w:b w:val="false"/>
                <w:bCs w:val="false"/>
                <w:i w:val="false"/>
                <w:iCs w:val="false"/>
                <w:caps w:val="false"/>
                <w:color w:val="7B8496"/>
                <w:sz w:val="16"/>
                <w:szCs w:val="16"/>
              </w:rPr>
              <w:t xml:space="preserve">______________</w:t>
            </w:r>
          </w:p>
          <w:p>
            <w:pPr>
              <w:spacing w:after="0" w:before="0"/>
              <w:jc w:val="right"/>
            </w:pPr>
            <w:r>
              <w:rPr>
                <w:rFonts w:ascii="Calibri" w:cs="Calibri" w:eastAsia="Calibri" w:hAnsi="Calibri"/>
                <w:b/>
                <w:bCs/>
                <w:i w:val="false"/>
                <w:iCs w:val="false"/>
                <w:caps w:val="false"/>
                <w:color w:val="4A5468"/>
                <w:sz w:val="16"/>
                <w:szCs w:val="16"/>
              </w:rPr>
              <w:t xml:space="preserve">Date of issue </w:t>
            </w:r>
            <w:r>
              <w:rPr>
                <w:rFonts w:ascii="Calibri" w:cs="Calibri" w:eastAsia="Calibri" w:hAnsi="Calibri"/>
                <w:b w:val="false"/>
                <w:bCs w:val="false"/>
                <w:i w:val="false"/>
                <w:iCs w:val="false"/>
                <w:caps w:val="false"/>
                <w:color w:val="7B8496"/>
                <w:sz w:val="16"/>
                <w:szCs w:val="16"/>
              </w:rPr>
              <w:t xml:space="preserve">______________</w:t>
            </w:r>
          </w:p>
        </w:tc>
      </w:tr>
    </w:tbl>
    <w:p>
      <w:pPr>
        <w:pBdr>
          <w:bottom w:val="single" w:color="C9D0DC" w:sz="6"/>
        </w:pBdr>
        <w:spacing w:after="60" w:before="0"/>
      </w:pPr>
    </w:p>
    <w:p>
      <w:pPr>
        <w:spacing w:after="0" w:before="60"/>
        <w:jc w:val="center"/>
      </w:pPr>
      <w:r>
        <w:rPr>
          <w:rFonts w:ascii="Georgia" w:cs="Georgia" w:eastAsia="Georgia" w:hAnsi="Georgia"/>
          <w:b/>
          <w:bCs/>
          <w:i w:val="false"/>
          <w:iCs w:val="false"/>
          <w:caps/>
          <w:color w:val="0F3D5C"/>
          <w:spacing w:val="8"/>
          <w:sz w:val="38"/>
          <w:szCs w:val="38"/>
        </w:rPr>
        <w:t xml:space="preserve">Certificate of</w:t>
      </w:r>
    </w:p>
    <w:p>
      <w:pPr>
        <w:spacing w:after="70" w:before="0"/>
        <w:jc w:val="center"/>
      </w:pPr>
      <w:r>
        <w:rPr>
          <w:rFonts w:ascii="Georgia" w:cs="Georgia" w:eastAsia="Georgia" w:hAnsi="Georgia"/>
          <w:b/>
          <w:bCs/>
          <w:i w:val="false"/>
          <w:iCs w:val="false"/>
          <w:caps/>
          <w:color w:val="0F3D5C"/>
          <w:spacing w:val="8"/>
          <w:sz w:val="38"/>
          <w:szCs w:val="38"/>
        </w:rPr>
        <w:t xml:space="preserve">Cumulative Grade Point Average</w:t>
      </w:r>
    </w:p>
    <w:p>
      <w:pPr>
        <w:spacing w:after="50" w:before="0"/>
        <w:jc w:val="center"/>
      </w:pPr>
      <w:r>
        <w:rPr>
          <w:rFonts w:ascii="Calibri" w:cs="Calibri" w:eastAsia="Calibri" w:hAnsi="Calibri"/>
          <w:b w:val="false"/>
          <w:bCs w:val="false"/>
          <w:i w:val="false"/>
          <w:iCs w:val="false"/>
          <w:caps/>
          <w:color w:val="7B8496"/>
          <w:spacing w:val="22"/>
          <w:sz w:val="15"/>
          <w:szCs w:val="15"/>
        </w:rPr>
        <w:t xml:space="preserve">Conversion of Cambridge International Grades to a 4.00 Scale</w:t>
      </w:r>
    </w:p>
    <w:p>
      <w:pPr>
        <w:pBdr>
          <w:bottom w:val="single" w:color="9A7B3F" w:sz="4"/>
        </w:pBdr>
        <w:spacing w:after="150"/>
        <w:ind w:left="3400" w:right="3400"/>
      </w:pPr>
    </w:p>
    <w:p>
      <w:pPr>
        <w:spacing w:after="60" w:before="0"/>
        <w:jc w:val="center"/>
      </w:pPr>
      <w:r>
        <w:rPr>
          <w:rFonts w:ascii="Calibri" w:cs="Calibri" w:eastAsia="Calibri" w:hAnsi="Calibri"/>
          <w:b w:val="false"/>
          <w:bCs w:val="false"/>
          <w:i w:val="false"/>
          <w:iCs w:val="false"/>
          <w:caps w:val="false"/>
          <w:color w:val="4A5468"/>
          <w:sz w:val="19"/>
          <w:szCs w:val="19"/>
        </w:rPr>
        <w:t xml:space="preserve">This is to certify that</w:t>
      </w:r>
    </w:p>
    <w:p>
      <w:pPr>
        <w:spacing w:after="70" w:before="0"/>
        <w:jc w:val="center"/>
      </w:pPr>
      <w:r>
        <w:rPr>
          <w:rFonts w:ascii="Georgia" w:cs="Georgia" w:eastAsia="Georgia" w:hAnsi="Georgia"/>
          <w:b/>
          <w:bCs/>
          <w:i w:val="false"/>
          <w:iCs w:val="false"/>
          <w:caps/>
          <w:color w:val="1C2230"/>
          <w:spacing w:val="12"/>
          <w:sz w:val="28"/>
          <w:szCs w:val="28"/>
        </w:rPr>
        <w:t xml:space="preserve">Xavier Keylane Arianne Vasconcelos</w:t>
      </w:r>
    </w:p>
    <w:p>
      <w:pPr>
        <w:spacing w:after="150" w:line="250"/>
        <w:ind w:left="700" w:right="700"/>
        <w:jc w:val="center"/>
      </w:pPr>
      <w:r>
        <w:rPr>
          <w:rFonts w:ascii="Calibri" w:cs="Calibri" w:eastAsia="Calibri" w:hAnsi="Calibri"/>
          <w:b w:val="false"/>
          <w:bCs w:val="false"/>
          <w:i w:val="false"/>
          <w:iCs w:val="false"/>
          <w:caps w:val="false"/>
          <w:color w:val="4A5468"/>
          <w:sz w:val="19"/>
          <w:szCs w:val="19"/>
        </w:rPr>
        <w:t xml:space="preserve">completed the Cambridge International examinations listed below at Maputo International College, and that the cumulative grade point average derived from those results is as stated in this certificate.</w:t>
      </w:r>
    </w:p>
    <w:tbl>
      <w:tblPr>
        <w:tblW w:type="dxa" w:w="10306"/>
        <w:tblBorders>
          <w:top w:val="none" w:color="FFFFFF" w:sz="0"/>
          <w:left w:val="none" w:color="FFFFFF" w:sz="0"/>
          <w:bottom w:val="none" w:color="FFFFFF" w:sz="0"/>
          <w:right w:val="none" w:color="FFFFFF" w:sz="0"/>
          <w:insideH w:val="single" w:color="auto" w:sz="4"/>
          <w:insideV w:val="single" w:color="auto" w:sz="4"/>
        </w:tblBorders>
      </w:tblPr>
      <w:tblGrid>
        <w:gridCol w:w="2200"/>
        <w:gridCol w:w="3100"/>
        <w:gridCol w:w="2600"/>
        <w:gridCol w:w="2406"/>
      </w:tblGrid>
      <w:tr>
        <w:tc>
          <w:tcPr>
            <w:tcW w:type="dxa" w:w="2200"/>
            <w:tcBorders>
              <w:top w:val="single" w:color="E4E8EF" w:sz="4"/>
              <w:left w:val="single" w:color="E4E8EF" w:sz="4"/>
              <w:bottom w:val="single" w:color="E4E8EF" w:sz="4"/>
              <w:right w:val="single" w:color="E4E8EF" w:sz="4"/>
            </w:tcBorders>
            <w:shd w:fill="FBFCFD" w:color="auto" w:val="clear"/>
            <w:tcMar>
              <w:top w:type="dxa" w:w="60"/>
              <w:left w:type="dxa" w:w="100"/>
              <w:bottom w:type="dxa" w:w="60"/>
              <w:right w:type="dxa" w:w="100"/>
            </w:tcMar>
          </w:tcPr>
          <w:p>
            <w:pPr>
              <w:spacing w:after="10" w:before="0"/>
            </w:pPr>
            <w:r>
              <w:rPr>
                <w:rFonts w:ascii="Calibri" w:cs="Calibri" w:eastAsia="Calibri" w:hAnsi="Calibri"/>
                <w:b w:val="false"/>
                <w:bCs w:val="false"/>
                <w:i w:val="false"/>
                <w:iCs w:val="false"/>
                <w:caps/>
                <w:color w:val="7B8496"/>
                <w:spacing w:val="12"/>
                <w:sz w:val="13"/>
                <w:szCs w:val="13"/>
              </w:rPr>
              <w:t xml:space="preserve">Date of birth</w:t>
            </w:r>
          </w:p>
          <w:p>
            <w:pPr>
              <w:spacing w:after="0" w:before="0"/>
            </w:pPr>
            <w:r>
              <w:rPr>
                <w:rFonts w:ascii="Calibri" w:cs="Calibri" w:eastAsia="Calibri" w:hAnsi="Calibri"/>
                <w:b/>
                <w:bCs/>
                <w:i w:val="false"/>
                <w:iCs w:val="false"/>
                <w:caps w:val="false"/>
                <w:color w:val="1C2230"/>
                <w:sz w:val="18"/>
                <w:szCs w:val="18"/>
              </w:rPr>
              <w:t xml:space="preserve">02 February 2007</w:t>
            </w:r>
          </w:p>
        </w:tc>
        <w:tc>
          <w:tcPr>
            <w:tcW w:type="dxa" w:w="3100"/>
            <w:tcBorders>
              <w:top w:val="single" w:color="E4E8EF" w:sz="4"/>
              <w:left w:val="none" w:color="FFFFFF" w:sz="0"/>
              <w:bottom w:val="single" w:color="E4E8EF" w:sz="4"/>
              <w:right w:val="single" w:color="E4E8EF" w:sz="4"/>
            </w:tcBorders>
            <w:shd w:fill="FBFCFD" w:color="auto" w:val="clear"/>
            <w:tcMar>
              <w:top w:type="dxa" w:w="60"/>
              <w:left w:type="dxa" w:w="100"/>
              <w:bottom w:type="dxa" w:w="60"/>
              <w:right w:type="dxa" w:w="100"/>
            </w:tcMar>
          </w:tcPr>
          <w:p>
            <w:pPr>
              <w:spacing w:after="10" w:before="0"/>
            </w:pPr>
            <w:r>
              <w:rPr>
                <w:rFonts w:ascii="Calibri" w:cs="Calibri" w:eastAsia="Calibri" w:hAnsi="Calibri"/>
                <w:b w:val="false"/>
                <w:bCs w:val="false"/>
                <w:i w:val="false"/>
                <w:iCs w:val="false"/>
                <w:caps/>
                <w:color w:val="7B8496"/>
                <w:spacing w:val="12"/>
                <w:sz w:val="13"/>
                <w:szCs w:val="13"/>
              </w:rPr>
              <w:t xml:space="preserve">Centre</w:t>
            </w:r>
          </w:p>
          <w:p>
            <w:pPr>
              <w:spacing w:after="0" w:before="0"/>
            </w:pPr>
            <w:r>
              <w:rPr>
                <w:rFonts w:ascii="Calibri" w:cs="Calibri" w:eastAsia="Calibri" w:hAnsi="Calibri"/>
                <w:b/>
                <w:bCs/>
                <w:i w:val="false"/>
                <w:iCs w:val="false"/>
                <w:caps w:val="false"/>
                <w:color w:val="1C2230"/>
                <w:sz w:val="18"/>
                <w:szCs w:val="18"/>
              </w:rPr>
              <w:t xml:space="preserve">MZ040 — Maputo Int. College</w:t>
            </w:r>
          </w:p>
        </w:tc>
        <w:tc>
          <w:tcPr>
            <w:tcW w:type="dxa" w:w="2600"/>
            <w:tcBorders>
              <w:top w:val="single" w:color="E4E8EF" w:sz="4"/>
              <w:left w:val="none" w:color="FFFFFF" w:sz="0"/>
              <w:bottom w:val="single" w:color="E4E8EF" w:sz="4"/>
              <w:right w:val="single" w:color="E4E8EF" w:sz="4"/>
            </w:tcBorders>
            <w:shd w:fill="FBFCFD" w:color="auto" w:val="clear"/>
            <w:tcMar>
              <w:top w:type="dxa" w:w="60"/>
              <w:left w:type="dxa" w:w="100"/>
              <w:bottom w:type="dxa" w:w="60"/>
              <w:right w:type="dxa" w:w="100"/>
            </w:tcMar>
          </w:tcPr>
          <w:p>
            <w:pPr>
              <w:spacing w:after="10" w:before="0"/>
            </w:pPr>
            <w:r>
              <w:rPr>
                <w:rFonts w:ascii="Calibri" w:cs="Calibri" w:eastAsia="Calibri" w:hAnsi="Calibri"/>
                <w:b w:val="false"/>
                <w:bCs w:val="false"/>
                <w:i w:val="false"/>
                <w:iCs w:val="false"/>
                <w:caps/>
                <w:color w:val="7B8496"/>
                <w:spacing w:val="12"/>
                <w:sz w:val="13"/>
                <w:szCs w:val="13"/>
              </w:rPr>
              <w:t xml:space="preserve">Examination series</w:t>
            </w:r>
          </w:p>
          <w:p>
            <w:pPr>
              <w:spacing w:after="0" w:before="0"/>
            </w:pPr>
            <w:r>
              <w:rPr>
                <w:rFonts w:ascii="Calibri" w:cs="Calibri" w:eastAsia="Calibri" w:hAnsi="Calibri"/>
                <w:b/>
                <w:bCs/>
                <w:i w:val="false"/>
                <w:iCs w:val="false"/>
                <w:caps w:val="false"/>
                <w:color w:val="1C2230"/>
                <w:sz w:val="18"/>
                <w:szCs w:val="18"/>
              </w:rPr>
              <w:t xml:space="preserve">Jun 2024 – Nov 2025</w:t>
            </w:r>
          </w:p>
        </w:tc>
        <w:tc>
          <w:tcPr>
            <w:tcW w:type="dxa" w:w="2406"/>
            <w:tcBorders>
              <w:top w:val="single" w:color="E4E8EF" w:sz="4"/>
              <w:left w:val="none" w:color="FFFFFF" w:sz="0"/>
              <w:bottom w:val="single" w:color="E4E8EF" w:sz="4"/>
              <w:right w:val="single" w:color="E4E8EF" w:sz="4"/>
            </w:tcBorders>
            <w:shd w:fill="FBFCFD" w:color="auto" w:val="clear"/>
            <w:tcMar>
              <w:top w:type="dxa" w:w="60"/>
              <w:left w:type="dxa" w:w="100"/>
              <w:bottom w:type="dxa" w:w="60"/>
              <w:right w:type="dxa" w:w="100"/>
            </w:tcMar>
          </w:tcPr>
          <w:p>
            <w:pPr>
              <w:spacing w:after="10" w:before="0"/>
            </w:pPr>
            <w:r>
              <w:rPr>
                <w:rFonts w:ascii="Calibri" w:cs="Calibri" w:eastAsia="Calibri" w:hAnsi="Calibri"/>
                <w:b w:val="false"/>
                <w:bCs w:val="false"/>
                <w:i w:val="false"/>
                <w:iCs w:val="false"/>
                <w:caps/>
                <w:color w:val="7B8496"/>
                <w:spacing w:val="12"/>
                <w:sz w:val="13"/>
                <w:szCs w:val="13"/>
              </w:rPr>
              <w:t xml:space="preserve">Syllabuses reported</w:t>
            </w:r>
          </w:p>
          <w:p>
            <w:pPr>
              <w:spacing w:after="0" w:before="0"/>
            </w:pPr>
            <w:r>
              <w:rPr>
                <w:rFonts w:ascii="Calibri" w:cs="Calibri" w:eastAsia="Calibri" w:hAnsi="Calibri"/>
                <w:b/>
                <w:bCs/>
                <w:i w:val="false"/>
                <w:iCs w:val="false"/>
                <w:caps w:val="false"/>
                <w:color w:val="1C2230"/>
                <w:sz w:val="18"/>
                <w:szCs w:val="18"/>
              </w:rPr>
              <w:t xml:space="preserve">11</w:t>
            </w:r>
          </w:p>
        </w:tc>
      </w:tr>
    </w:tbl>
    <w:p>
      <w:pPr>
        <w:spacing w:after="80" w:before="0"/>
      </w:pPr>
    </w:p>
    <w:p>
      <w:pPr>
        <w:keepNext/>
        <w:spacing w:after="60" w:before="120"/>
      </w:pPr>
      <w:r>
        <w:rPr>
          <w:rFonts w:ascii="Calibri" w:cs="Calibri" w:eastAsia="Calibri" w:hAnsi="Calibri"/>
          <w:b/>
          <w:bCs/>
          <w:i w:val="false"/>
          <w:iCs w:val="false"/>
          <w:caps/>
          <w:color w:val="0F3D5C"/>
          <w:spacing w:val="14"/>
          <w:sz w:val="18"/>
          <w:szCs w:val="18"/>
        </w:rPr>
        <w:t xml:space="preserve">Part I — Cambridge IGCSE</w:t>
      </w:r>
      <w:r>
        <w:rPr>
          <w:rFonts w:ascii="Calibri" w:cs="Calibri" w:eastAsia="Calibri" w:hAnsi="Calibri"/>
          <w:color w:val="7B8496"/>
          <w:sz w:val="17"/>
          <w:szCs w:val="17"/>
        </w:rPr>
        <w:ptab w:alignment="right" w:relativeTo="margin" w:leader="none"/>
      </w:r>
      <w:r>
        <w:rPr>
          <w:rFonts w:ascii="Calibri" w:cs="Calibri" w:eastAsia="Calibri" w:hAnsi="Calibri"/>
          <w:b w:val="false"/>
          <w:bCs w:val="false"/>
          <w:i w:val="false"/>
          <w:iCs w:val="false"/>
          <w:caps w:val="false"/>
          <w:color w:val="7B8496"/>
          <w:sz w:val="17"/>
          <w:szCs w:val="17"/>
        </w:rPr>
        <w:t xml:space="preserve">Candidate Nos. MZ040/0036 &amp; MZ040/0016</w:t>
      </w:r>
    </w:p>
    <w:tbl>
      <w:tblPr>
        <w:tblW w:type="dxa" w:w="10306"/>
        <w:tblBorders>
          <w:top w:val="none" w:color="FFFFFF" w:sz="0"/>
          <w:left w:val="none" w:color="FFFFFF" w:sz="0"/>
          <w:bottom w:val="none" w:color="FFFFFF" w:sz="0"/>
          <w:right w:val="none" w:color="FFFFFF" w:sz="0"/>
          <w:insideH w:val="single" w:color="auto" w:sz="4"/>
          <w:insideV w:val="single" w:color="auto" w:sz="4"/>
        </w:tblBorders>
      </w:tblPr>
      <w:tblGrid>
        <w:gridCol w:w="1150"/>
        <w:gridCol w:w="4150"/>
        <w:gridCol w:w="1300"/>
        <w:gridCol w:w="900"/>
        <w:gridCol w:w="1200"/>
        <w:gridCol w:w="1606"/>
      </w:tblGrid>
      <w:tr>
        <w:trPr>
          <w:tblHeader/>
        </w:trPr>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Syllabus</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Subject</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Series</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center"/>
            </w:pPr>
            <w:r>
              <w:rPr>
                <w:rFonts w:ascii="Calibri" w:cs="Calibri" w:eastAsia="Calibri" w:hAnsi="Calibri"/>
                <w:b/>
                <w:bCs/>
                <w:i w:val="false"/>
                <w:iCs w:val="false"/>
                <w:caps/>
                <w:color w:val="7B8496"/>
                <w:spacing w:val="12"/>
                <w:sz w:val="13"/>
                <w:szCs w:val="13"/>
              </w:rPr>
              <w:t xml:space="preserve">Grade</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right"/>
            </w:pPr>
            <w:r>
              <w:rPr>
                <w:rFonts w:ascii="Calibri" w:cs="Calibri" w:eastAsia="Calibri" w:hAnsi="Calibri"/>
                <w:b/>
                <w:bCs/>
                <w:i w:val="false"/>
                <w:iCs w:val="false"/>
                <w:caps/>
                <w:color w:val="7B8496"/>
                <w:spacing w:val="12"/>
                <w:sz w:val="13"/>
                <w:szCs w:val="13"/>
              </w:rPr>
              <w:t xml:space="preserve">PUM</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right"/>
            </w:pPr>
            <w:r>
              <w:rPr>
                <w:rFonts w:ascii="Calibri" w:cs="Calibri" w:eastAsia="Calibri" w:hAnsi="Calibri"/>
                <w:b/>
                <w:bCs/>
                <w:i w:val="false"/>
                <w:iCs w:val="false"/>
                <w:caps/>
                <w:color w:val="7B8496"/>
                <w:spacing w:val="12"/>
                <w:sz w:val="13"/>
                <w:szCs w:val="13"/>
              </w:rPr>
              <w:t xml:space="preserve">Grade pts</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0450</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Business Studies</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Jun 2024</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A</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80%</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4.00</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0460</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Geography</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Jun 2024</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B</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75%</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3.00</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0500</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First Language English</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Jun 2024</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B</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70%</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3.00</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0580</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Mathematics</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Nov 2024</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A</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80%</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4.00</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0452</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Accounting</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Nov 2024</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B</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77%</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3.00</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0455</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Economics</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Nov 2024</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C</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68%</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2.00</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0417</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Information and Communication Technology</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Nov 2024</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C</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64%</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2.00</w:t>
            </w:r>
          </w:p>
        </w:tc>
      </w:tr>
      <w:tr>
        <w:tc>
          <w:tcPr>
            <w:tcW w:type="dxa" w:w="0"/>
            <w:gridSpan w:val="3"/>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left"/>
            </w:pPr>
            <w:r>
              <w:rPr>
                <w:rFonts w:ascii="Calibri" w:cs="Calibri" w:eastAsia="Calibri" w:hAnsi="Calibri"/>
                <w:b/>
                <w:bCs/>
                <w:i w:val="false"/>
                <w:iCs w:val="false"/>
                <w:caps w:val="false"/>
                <w:color w:val="0F3D5C"/>
                <w:sz w:val="18"/>
                <w:szCs w:val="18"/>
              </w:rPr>
              <w:t xml:space="preserve">Seven syllabuses — IGCSE stage average</w:t>
            </w:r>
          </w:p>
        </w:tc>
        <w:tc>
          <w:tcPr>
            <w:tcW w:type="dxa" w:w="0"/>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0F3D5C"/>
                <w:sz w:val="18"/>
                <w:szCs w:val="18"/>
              </w:rPr>
              <w:t xml:space="preserve">—</w:t>
            </w:r>
          </w:p>
        </w:tc>
        <w:tc>
          <w:tcPr>
            <w:tcW w:type="dxa" w:w="0"/>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right"/>
            </w:pPr>
            <w:r>
              <w:rPr>
                <w:rFonts w:ascii="Calibri" w:cs="Calibri" w:eastAsia="Calibri" w:hAnsi="Calibri"/>
                <w:b/>
                <w:bCs/>
                <w:i w:val="false"/>
                <w:iCs w:val="false"/>
                <w:caps w:val="false"/>
                <w:color w:val="0F3D5C"/>
                <w:sz w:val="18"/>
                <w:szCs w:val="18"/>
              </w:rPr>
              <w:t xml:space="preserve">73.4%</w:t>
            </w:r>
          </w:p>
        </w:tc>
        <w:tc>
          <w:tcPr>
            <w:tcW w:type="dxa" w:w="0"/>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right"/>
            </w:pPr>
            <w:r>
              <w:rPr>
                <w:rFonts w:ascii="Calibri" w:cs="Calibri" w:eastAsia="Calibri" w:hAnsi="Calibri"/>
                <w:b/>
                <w:bCs/>
                <w:i w:val="false"/>
                <w:iCs w:val="false"/>
                <w:caps w:val="false"/>
                <w:color w:val="0F3D5C"/>
                <w:sz w:val="18"/>
                <w:szCs w:val="18"/>
              </w:rPr>
              <w:t xml:space="preserve">3.00</w:t>
            </w:r>
          </w:p>
        </w:tc>
      </w:tr>
    </w:tbl>
    <w:p>
      <w:pPr>
        <w:spacing w:after="160" w:before="0"/>
      </w:pPr>
    </w:p>
    <w:p>
      <w:pPr>
        <w:keepNext/>
        <w:spacing w:after="60" w:before="120"/>
      </w:pPr>
      <w:r>
        <w:rPr>
          <w:rFonts w:ascii="Calibri" w:cs="Calibri" w:eastAsia="Calibri" w:hAnsi="Calibri"/>
          <w:b/>
          <w:bCs/>
          <w:i w:val="false"/>
          <w:iCs w:val="false"/>
          <w:caps/>
          <w:color w:val="0F3D5C"/>
          <w:spacing w:val="14"/>
          <w:sz w:val="18"/>
          <w:szCs w:val="18"/>
        </w:rPr>
        <w:t xml:space="preserve">Part II — Cambridge International AS Level</w:t>
      </w:r>
      <w:r>
        <w:rPr>
          <w:rFonts w:ascii="Calibri" w:cs="Calibri" w:eastAsia="Calibri" w:hAnsi="Calibri"/>
          <w:color w:val="7B8496"/>
          <w:sz w:val="17"/>
          <w:szCs w:val="17"/>
        </w:rPr>
        <w:ptab w:alignment="right" w:relativeTo="margin" w:leader="none"/>
      </w:r>
      <w:r>
        <w:rPr>
          <w:rFonts w:ascii="Calibri" w:cs="Calibri" w:eastAsia="Calibri" w:hAnsi="Calibri"/>
          <w:b w:val="false"/>
          <w:bCs w:val="false"/>
          <w:i w:val="false"/>
          <w:iCs w:val="false"/>
          <w:caps w:val="false"/>
          <w:color w:val="7B8496"/>
          <w:sz w:val="17"/>
          <w:szCs w:val="17"/>
        </w:rPr>
        <w:t xml:space="preserve">Candidate No. MZ040/0062</w:t>
      </w:r>
    </w:p>
    <w:tbl>
      <w:tblPr>
        <w:tblW w:type="dxa" w:w="10306"/>
        <w:tblBorders>
          <w:top w:val="none" w:color="FFFFFF" w:sz="0"/>
          <w:left w:val="none" w:color="FFFFFF" w:sz="0"/>
          <w:bottom w:val="none" w:color="FFFFFF" w:sz="0"/>
          <w:right w:val="none" w:color="FFFFFF" w:sz="0"/>
          <w:insideH w:val="single" w:color="auto" w:sz="4"/>
          <w:insideV w:val="single" w:color="auto" w:sz="4"/>
        </w:tblBorders>
      </w:tblPr>
      <w:tblGrid>
        <w:gridCol w:w="1150"/>
        <w:gridCol w:w="4150"/>
        <w:gridCol w:w="1300"/>
        <w:gridCol w:w="900"/>
        <w:gridCol w:w="1200"/>
        <w:gridCol w:w="1606"/>
      </w:tblGrid>
      <w:tr>
        <w:trPr>
          <w:tblHeader/>
        </w:trPr>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Syllabus</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Subject</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Series</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center"/>
            </w:pPr>
            <w:r>
              <w:rPr>
                <w:rFonts w:ascii="Calibri" w:cs="Calibri" w:eastAsia="Calibri" w:hAnsi="Calibri"/>
                <w:b/>
                <w:bCs/>
                <w:i w:val="false"/>
                <w:iCs w:val="false"/>
                <w:caps/>
                <w:color w:val="7B8496"/>
                <w:spacing w:val="12"/>
                <w:sz w:val="13"/>
                <w:szCs w:val="13"/>
              </w:rPr>
              <w:t xml:space="preserve">Grade</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right"/>
            </w:pPr>
            <w:r>
              <w:rPr>
                <w:rFonts w:ascii="Calibri" w:cs="Calibri" w:eastAsia="Calibri" w:hAnsi="Calibri"/>
                <w:b/>
                <w:bCs/>
                <w:i w:val="false"/>
                <w:iCs w:val="false"/>
                <w:caps/>
                <w:color w:val="7B8496"/>
                <w:spacing w:val="12"/>
                <w:sz w:val="13"/>
                <w:szCs w:val="13"/>
              </w:rPr>
              <w:t xml:space="preserve">PUM</w:t>
            </w:r>
          </w:p>
        </w:tc>
        <w:tc>
          <w:tcPr>
            <w:tcW w:type="dxa" w:w="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right"/>
            </w:pPr>
            <w:r>
              <w:rPr>
                <w:rFonts w:ascii="Calibri" w:cs="Calibri" w:eastAsia="Calibri" w:hAnsi="Calibri"/>
                <w:b/>
                <w:bCs/>
                <w:i w:val="false"/>
                <w:iCs w:val="false"/>
                <w:caps/>
                <w:color w:val="7B8496"/>
                <w:spacing w:val="12"/>
                <w:sz w:val="13"/>
                <w:szCs w:val="13"/>
              </w:rPr>
              <w:t xml:space="preserve">Grade pts</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9706</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Accounting</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Nov 2025</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c</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67%</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2.00</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9609</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Business</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Nov 2025</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c</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62%</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2.00</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9708</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Economics</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Nov 2025</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c</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60%</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2.00</w:t>
            </w:r>
          </w:p>
        </w:tc>
      </w:tr>
      <w:tr>
        <w:tc>
          <w:tcPr>
            <w:tcW w:type="dxa" w:w="1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7B8496"/>
                <w:sz w:val="18"/>
                <w:szCs w:val="18"/>
              </w:rPr>
              <w:t xml:space="preserve">9709</w:t>
            </w:r>
          </w:p>
        </w:tc>
        <w:tc>
          <w:tcPr>
            <w:tcW w:type="dxa" w:w="415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Mathematics</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pPr>
            <w:r>
              <w:rPr>
                <w:rFonts w:ascii="Calibri" w:cs="Calibri" w:eastAsia="Calibri" w:hAnsi="Calibri"/>
                <w:b w:val="false"/>
                <w:bCs w:val="false"/>
                <w:i w:val="false"/>
                <w:iCs w:val="false"/>
                <w:caps w:val="false"/>
                <w:color w:val="1C2230"/>
                <w:sz w:val="19"/>
                <w:szCs w:val="19"/>
              </w:rPr>
              <w:t xml:space="preserve">Nov 2025</w:t>
            </w:r>
          </w:p>
        </w:tc>
        <w:tc>
          <w:tcPr>
            <w:tcW w:type="dxa" w:w="9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1C2230"/>
                <w:sz w:val="19"/>
                <w:szCs w:val="19"/>
              </w:rPr>
              <w:t xml:space="preserve">c</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62%</w:t>
            </w:r>
          </w:p>
        </w:tc>
        <w:tc>
          <w:tcPr>
            <w:tcW w:type="dxa" w:w="16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2.00</w:t>
            </w:r>
          </w:p>
        </w:tc>
      </w:tr>
      <w:tr>
        <w:tc>
          <w:tcPr>
            <w:tcW w:type="dxa" w:w="0"/>
            <w:gridSpan w:val="3"/>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left"/>
            </w:pPr>
            <w:r>
              <w:rPr>
                <w:rFonts w:ascii="Calibri" w:cs="Calibri" w:eastAsia="Calibri" w:hAnsi="Calibri"/>
                <w:b/>
                <w:bCs/>
                <w:i w:val="false"/>
                <w:iCs w:val="false"/>
                <w:caps w:val="false"/>
                <w:color w:val="0F3D5C"/>
                <w:sz w:val="18"/>
                <w:szCs w:val="18"/>
              </w:rPr>
              <w:t xml:space="preserve">Four syllabuses — AS Level stage average</w:t>
            </w:r>
          </w:p>
        </w:tc>
        <w:tc>
          <w:tcPr>
            <w:tcW w:type="dxa" w:w="0"/>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center"/>
            </w:pPr>
            <w:r>
              <w:rPr>
                <w:rFonts w:ascii="Calibri" w:cs="Calibri" w:eastAsia="Calibri" w:hAnsi="Calibri"/>
                <w:b/>
                <w:bCs/>
                <w:i w:val="false"/>
                <w:iCs w:val="false"/>
                <w:caps w:val="false"/>
                <w:color w:val="0F3D5C"/>
                <w:sz w:val="18"/>
                <w:szCs w:val="18"/>
              </w:rPr>
              <w:t xml:space="preserve">—</w:t>
            </w:r>
          </w:p>
        </w:tc>
        <w:tc>
          <w:tcPr>
            <w:tcW w:type="dxa" w:w="0"/>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right"/>
            </w:pPr>
            <w:r>
              <w:rPr>
                <w:rFonts w:ascii="Calibri" w:cs="Calibri" w:eastAsia="Calibri" w:hAnsi="Calibri"/>
                <w:b/>
                <w:bCs/>
                <w:i w:val="false"/>
                <w:iCs w:val="false"/>
                <w:caps w:val="false"/>
                <w:color w:val="0F3D5C"/>
                <w:sz w:val="18"/>
                <w:szCs w:val="18"/>
              </w:rPr>
              <w:t xml:space="preserve">62.8%</w:t>
            </w:r>
          </w:p>
        </w:tc>
        <w:tc>
          <w:tcPr>
            <w:tcW w:type="dxa" w:w="0"/>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right"/>
            </w:pPr>
            <w:r>
              <w:rPr>
                <w:rFonts w:ascii="Calibri" w:cs="Calibri" w:eastAsia="Calibri" w:hAnsi="Calibri"/>
                <w:b/>
                <w:bCs/>
                <w:i w:val="false"/>
                <w:iCs w:val="false"/>
                <w:caps w:val="false"/>
                <w:color w:val="0F3D5C"/>
                <w:sz w:val="18"/>
                <w:szCs w:val="18"/>
              </w:rPr>
              <w:t xml:space="preserve">2.00</w:t>
            </w:r>
          </w:p>
        </w:tc>
      </w:tr>
    </w:tbl>
    <w:p>
      <w:pPr>
        <w:spacing w:after="110" w:before="0"/>
      </w:pPr>
    </w:p>
    <w:tbl>
      <w:tblPr>
        <w:tblW w:type="dxa" w:w="10306"/>
        <w:tblBorders>
          <w:top w:val="none" w:color="FFFFFF" w:sz="0"/>
          <w:left w:val="none" w:color="FFFFFF" w:sz="0"/>
          <w:bottom w:val="none" w:color="FFFFFF" w:sz="0"/>
          <w:right w:val="none" w:color="FFFFFF" w:sz="0"/>
          <w:insideH w:val="single" w:color="auto" w:sz="4"/>
          <w:insideV w:val="single" w:color="auto" w:sz="4"/>
        </w:tblBorders>
      </w:tblPr>
      <w:tblGrid>
        <w:gridCol w:w="2900"/>
        <w:gridCol w:w="2900"/>
        <w:gridCol w:w="4506"/>
      </w:tblGrid>
      <w:tr>
        <w:tc>
          <w:tcPr>
            <w:tcW w:type="dxa" w:w="2900"/>
            <w:tcBorders>
              <w:top w:val="single" w:color="0F3D5C" w:sz="12"/>
              <w:left w:val="single" w:color="0F3D5C" w:sz="12"/>
              <w:bottom w:val="single" w:color="0F3D5C" w:sz="12"/>
              <w:right w:val="single" w:color="C9D0DC" w:sz="4"/>
            </w:tcBorders>
            <w:tcMar>
              <w:top w:type="dxa" w:w="90"/>
              <w:left w:type="dxa" w:w="100"/>
              <w:bottom w:type="dxa" w:w="90"/>
              <w:right w:type="dxa" w:w="100"/>
            </w:tcMar>
          </w:tcPr>
          <w:p>
            <w:pPr>
              <w:spacing w:after="30" w:before="0"/>
            </w:pPr>
            <w:r>
              <w:rPr>
                <w:rFonts w:ascii="Calibri" w:cs="Calibri" w:eastAsia="Calibri" w:hAnsi="Calibri"/>
                <w:b w:val="false"/>
                <w:bCs w:val="false"/>
                <w:i w:val="false"/>
                <w:iCs w:val="false"/>
                <w:caps/>
                <w:color w:val="7B8496"/>
                <w:spacing w:val="12"/>
                <w:sz w:val="13"/>
                <w:szCs w:val="13"/>
              </w:rPr>
              <w:t xml:space="preserve">IGCSE stage GPA</w:t>
            </w:r>
          </w:p>
          <w:p>
            <w:pPr>
              <w:spacing w:after="30" w:before="0"/>
            </w:pPr>
            <w:r>
              <w:rPr>
                <w:rFonts w:ascii="Georgia" w:cs="Georgia" w:eastAsia="Georgia" w:hAnsi="Georgia"/>
                <w:b/>
                <w:bCs/>
                <w:i w:val="false"/>
                <w:iCs w:val="false"/>
                <w:caps w:val="false"/>
                <w:color w:val="1C2230"/>
                <w:sz w:val="40"/>
                <w:szCs w:val="40"/>
              </w:rPr>
              <w:t xml:space="preserve">3.00</w:t>
            </w:r>
          </w:p>
          <w:p>
            <w:pPr>
              <w:spacing w:after="0" w:before="0"/>
            </w:pPr>
            <w:r>
              <w:rPr>
                <w:rFonts w:ascii="Calibri" w:cs="Calibri" w:eastAsia="Calibri" w:hAnsi="Calibri"/>
                <w:b w:val="false"/>
                <w:bCs w:val="false"/>
                <w:i w:val="false"/>
                <w:iCs w:val="false"/>
                <w:caps w:val="false"/>
                <w:color w:val="7B8496"/>
                <w:sz w:val="15"/>
                <w:szCs w:val="15"/>
              </w:rPr>
              <w:t xml:space="preserve">21.00 points / 7 subjects</w:t>
            </w:r>
          </w:p>
        </w:tc>
        <w:tc>
          <w:tcPr>
            <w:tcW w:type="dxa" w:w="2900"/>
            <w:tcBorders>
              <w:top w:val="single" w:color="0F3D5C" w:sz="12"/>
              <w:left w:val="none" w:color="FFFFFF" w:sz="0"/>
              <w:bottom w:val="single" w:color="0F3D5C" w:sz="12"/>
              <w:right w:val="single" w:color="C9D0DC" w:sz="4"/>
            </w:tcBorders>
            <w:tcMar>
              <w:top w:type="dxa" w:w="90"/>
              <w:left w:type="dxa" w:w="100"/>
              <w:bottom w:type="dxa" w:w="90"/>
              <w:right w:type="dxa" w:w="100"/>
            </w:tcMar>
          </w:tcPr>
          <w:p>
            <w:pPr>
              <w:spacing w:after="30" w:before="0"/>
            </w:pPr>
            <w:r>
              <w:rPr>
                <w:rFonts w:ascii="Calibri" w:cs="Calibri" w:eastAsia="Calibri" w:hAnsi="Calibri"/>
                <w:b w:val="false"/>
                <w:bCs w:val="false"/>
                <w:i w:val="false"/>
                <w:iCs w:val="false"/>
                <w:caps/>
                <w:color w:val="7B8496"/>
                <w:spacing w:val="12"/>
                <w:sz w:val="13"/>
                <w:szCs w:val="13"/>
              </w:rPr>
              <w:t xml:space="preserve">AS Level stage GPA</w:t>
            </w:r>
          </w:p>
          <w:p>
            <w:pPr>
              <w:spacing w:after="30" w:before="0"/>
            </w:pPr>
            <w:r>
              <w:rPr>
                <w:rFonts w:ascii="Georgia" w:cs="Georgia" w:eastAsia="Georgia" w:hAnsi="Georgia"/>
                <w:b/>
                <w:bCs/>
                <w:i w:val="false"/>
                <w:iCs w:val="false"/>
                <w:caps w:val="false"/>
                <w:color w:val="1C2230"/>
                <w:sz w:val="40"/>
                <w:szCs w:val="40"/>
              </w:rPr>
              <w:t xml:space="preserve">2.00</w:t>
            </w:r>
          </w:p>
          <w:p>
            <w:pPr>
              <w:spacing w:after="0" w:before="0"/>
            </w:pPr>
            <w:r>
              <w:rPr>
                <w:rFonts w:ascii="Calibri" w:cs="Calibri" w:eastAsia="Calibri" w:hAnsi="Calibri"/>
                <w:b w:val="false"/>
                <w:bCs w:val="false"/>
                <w:i w:val="false"/>
                <w:iCs w:val="false"/>
                <w:caps w:val="false"/>
                <w:color w:val="7B8496"/>
                <w:sz w:val="15"/>
                <w:szCs w:val="15"/>
              </w:rPr>
              <w:t xml:space="preserve">8.00 points / 4 subjects</w:t>
            </w:r>
          </w:p>
        </w:tc>
        <w:tc>
          <w:tcPr>
            <w:tcW w:type="dxa" w:w="4506"/>
            <w:tcBorders>
              <w:top w:val="single" w:color="0F3D5C" w:sz="12"/>
              <w:left w:val="none" w:color="FFFFFF" w:sz="0"/>
              <w:bottom w:val="single" w:color="0F3D5C" w:sz="12"/>
              <w:right w:val="single" w:color="0F3D5C" w:sz="12"/>
            </w:tcBorders>
            <w:shd w:fill="0F3D5C" w:color="auto" w:val="clear"/>
            <w:tcMar>
              <w:top w:type="dxa" w:w="90"/>
              <w:left w:type="dxa" w:w="100"/>
              <w:bottom w:type="dxa" w:w="90"/>
              <w:right w:type="dxa" w:w="100"/>
            </w:tcMar>
          </w:tcPr>
          <w:p>
            <w:pPr>
              <w:spacing w:after="30" w:before="0"/>
            </w:pPr>
            <w:r>
              <w:rPr>
                <w:rFonts w:ascii="Calibri" w:cs="Calibri" w:eastAsia="Calibri" w:hAnsi="Calibri"/>
                <w:b w:val="false"/>
                <w:bCs w:val="false"/>
                <w:i w:val="false"/>
                <w:iCs w:val="false"/>
                <w:caps/>
                <w:color w:val="C3D2DE"/>
                <w:spacing w:val="12"/>
                <w:sz w:val="13"/>
                <w:szCs w:val="13"/>
              </w:rPr>
              <w:t xml:space="preserve">Cumulative GPA</w:t>
            </w:r>
          </w:p>
          <w:p>
            <w:pPr>
              <w:spacing w:after="30" w:before="0"/>
            </w:pPr>
            <w:r>
              <w:rPr>
                <w:rFonts w:ascii="Georgia" w:cs="Georgia" w:eastAsia="Georgia" w:hAnsi="Georgia"/>
                <w:b/>
                <w:bCs/>
                <w:i w:val="false"/>
                <w:iCs w:val="false"/>
                <w:caps w:val="false"/>
                <w:color w:val="FFFFFF"/>
                <w:sz w:val="56"/>
                <w:szCs w:val="56"/>
              </w:rPr>
              <w:t xml:space="preserve">2.64</w:t>
            </w:r>
          </w:p>
          <w:p>
            <w:pPr>
              <w:spacing w:after="0" w:before="0"/>
            </w:pPr>
            <w:r>
              <w:rPr>
                <w:rFonts w:ascii="Calibri" w:cs="Calibri" w:eastAsia="Calibri" w:hAnsi="Calibri"/>
                <w:b w:val="false"/>
                <w:bCs w:val="false"/>
                <w:i w:val="false"/>
                <w:iCs w:val="false"/>
                <w:caps w:val="false"/>
                <w:color w:val="C3D2DE"/>
                <w:sz w:val="15"/>
                <w:szCs w:val="15"/>
              </w:rPr>
              <w:t xml:space="preserve">29.00 points / 11 subjects  ·  on a 4.00 scale</w:t>
            </w:r>
          </w:p>
        </w:tc>
      </w:tr>
    </w:tbl>
    <w:p>
      <w:pPr>
        <w:spacing w:after="80" w:before="0"/>
      </w:pPr>
    </w:p>
    <w:p>
      <w:pPr>
        <w:spacing w:after="60" w:line="250"/>
        <w:ind w:left="500" w:right="500"/>
        <w:jc w:val="center"/>
      </w:pPr>
      <w:r>
        <w:rPr>
          <w:rFonts w:ascii="Calibri" w:cs="Calibri" w:eastAsia="Calibri" w:hAnsi="Calibri"/>
          <w:b w:val="false"/>
          <w:bCs w:val="false"/>
          <w:i w:val="false"/>
          <w:iCs w:val="false"/>
          <w:caps w:val="false"/>
          <w:color w:val="4A5468"/>
          <w:sz w:val="17"/>
          <w:szCs w:val="17"/>
        </w:rPr>
        <w:t xml:space="preserve">Cumulative Grade Point Average: </w:t>
      </w:r>
      <w:r>
        <w:rPr>
          <w:rFonts w:ascii="Calibri" w:cs="Calibri" w:eastAsia="Calibri" w:hAnsi="Calibri"/>
          <w:b/>
          <w:bCs/>
          <w:i w:val="false"/>
          <w:iCs w:val="false"/>
          <w:caps w:val="false"/>
          <w:color w:val="1C2230"/>
          <w:sz w:val="17"/>
          <w:szCs w:val="17"/>
        </w:rPr>
        <w:t xml:space="preserve">Two point six four</w:t>
      </w:r>
      <w:r>
        <w:rPr>
          <w:rFonts w:ascii="Calibri" w:cs="Calibri" w:eastAsia="Calibri" w:hAnsi="Calibri"/>
          <w:b w:val="false"/>
          <w:bCs w:val="false"/>
          <w:i w:val="false"/>
          <w:iCs w:val="false"/>
          <w:caps w:val="false"/>
          <w:color w:val="4A5468"/>
          <w:sz w:val="17"/>
          <w:szCs w:val="17"/>
        </w:rPr>
        <w:t xml:space="preserve"> out of a maximum of </w:t>
      </w:r>
      <w:r>
        <w:rPr>
          <w:rFonts w:ascii="Calibri" w:cs="Calibri" w:eastAsia="Calibri" w:hAnsi="Calibri"/>
          <w:b/>
          <w:bCs/>
          <w:i w:val="false"/>
          <w:iCs w:val="false"/>
          <w:caps w:val="false"/>
          <w:color w:val="1C2230"/>
          <w:sz w:val="17"/>
          <w:szCs w:val="17"/>
        </w:rPr>
        <w:t xml:space="preserve">four point zero zero</w:t>
      </w:r>
      <w:r>
        <w:rPr>
          <w:rFonts w:ascii="Calibri" w:cs="Calibri" w:eastAsia="Calibri" w:hAnsi="Calibri"/>
          <w:b w:val="false"/>
          <w:bCs w:val="false"/>
          <w:i w:val="false"/>
          <w:iCs w:val="false"/>
          <w:caps w:val="false"/>
          <w:color w:val="4A5468"/>
          <w:sz w:val="17"/>
          <w:szCs w:val="17"/>
        </w:rPr>
        <w:t xml:space="preserve">. Aggregate percentage uniform mark across all eleven syllabuses: </w:t>
      </w:r>
      <w:r>
        <w:rPr>
          <w:rFonts w:ascii="Calibri" w:cs="Calibri" w:eastAsia="Calibri" w:hAnsi="Calibri"/>
          <w:b/>
          <w:bCs/>
          <w:i w:val="false"/>
          <w:iCs w:val="false"/>
          <w:caps w:val="false"/>
          <w:color w:val="1C2230"/>
          <w:sz w:val="17"/>
          <w:szCs w:val="17"/>
        </w:rPr>
        <w:t xml:space="preserve">69.55%</w:t>
      </w:r>
      <w:r>
        <w:rPr>
          <w:rFonts w:ascii="Calibri" w:cs="Calibri" w:eastAsia="Calibri" w:hAnsi="Calibri"/>
          <w:b w:val="false"/>
          <w:bCs w:val="false"/>
          <w:i w:val="false"/>
          <w:iCs w:val="false"/>
          <w:caps w:val="false"/>
          <w:color w:val="4A5468"/>
          <w:sz w:val="17"/>
          <w:szCs w:val="17"/>
        </w:rPr>
        <w:t xml:space="preserve">.</w:t>
      </w:r>
    </w:p>
    <w:p>
      <w:pPr>
        <w:spacing w:after="0" w:line="250"/>
        <w:jc w:val="center"/>
      </w:pPr>
      <w:r>
        <w:rPr>
          <w:rFonts w:ascii="Calibri" w:cs="Calibri" w:eastAsia="Calibri" w:hAnsi="Calibri"/>
          <w:b w:val="false"/>
          <w:bCs w:val="false"/>
          <w:i w:val="false"/>
          <w:iCs w:val="false"/>
          <w:caps w:val="false"/>
          <w:color w:val="7B8496"/>
          <w:sz w:val="16"/>
          <w:szCs w:val="16"/>
        </w:rPr>
        <w:t xml:space="preserve">Conversion applied: </w:t>
      </w:r>
      <w:r>
        <w:rPr>
          <w:rFonts w:ascii="Calibri" w:cs="Calibri" w:eastAsia="Calibri" w:hAnsi="Calibri"/>
          <w:b/>
          <w:bCs/>
          <w:i w:val="false"/>
          <w:iCs w:val="false"/>
          <w:caps w:val="false"/>
          <w:color w:val="4A5468"/>
          <w:sz w:val="16"/>
          <w:szCs w:val="16"/>
        </w:rPr>
        <w:t xml:space="preserve">A*/A = 4.00  ·  B = 3.00  ·  C = 2.00  ·  D = 1.00  ·  E and below = 0.00</w:t>
      </w:r>
      <w:r>
        <w:rPr>
          <w:rFonts w:ascii="Calibri" w:cs="Calibri" w:eastAsia="Calibri" w:hAnsi="Calibri"/>
          <w:b w:val="false"/>
          <w:bCs w:val="false"/>
          <w:i w:val="false"/>
          <w:iCs w:val="false"/>
          <w:caps w:val="false"/>
          <w:color w:val="7B8496"/>
          <w:sz w:val="16"/>
          <w:szCs w:val="16"/>
        </w:rPr>
        <w:t xml:space="preserve">. Full basis of calculation is set out in the annex overleaf.</w:t>
      </w:r>
    </w:p>
    <w:p>
      <w:pPr>
        <w:spacing w:after="60" w:before="0"/>
      </w:pPr>
    </w:p>
    <w:tbl>
      <w:tblPr>
        <w:tblW w:type="dxa" w:w="10306"/>
        <w:tblBorders>
          <w:top w:val="none" w:color="FFFFFF" w:sz="0"/>
          <w:left w:val="none" w:color="FFFFFF" w:sz="0"/>
          <w:bottom w:val="none" w:color="FFFFFF" w:sz="0"/>
          <w:right w:val="none" w:color="FFFFFF" w:sz="0"/>
          <w:insideH w:val="single" w:color="auto" w:sz="4"/>
          <w:insideV w:val="single" w:color="auto" w:sz="4"/>
        </w:tblBorders>
      </w:tblPr>
      <w:tblGrid>
        <w:gridCol w:w="3435"/>
        <w:gridCol w:w="3435"/>
        <w:gridCol w:w="3436"/>
      </w:tblGrid>
      <w:tr>
        <w:tc>
          <w:tcPr>
            <w:tcW w:type="dxa" w:w="3435"/>
            <w:tcBorders>
              <w:top w:val="none" w:color="FFFFFF" w:sz="0"/>
              <w:left w:val="none" w:color="FFFFFF" w:sz="0"/>
              <w:bottom w:val="single" w:color="4A5468" w:sz="6"/>
              <w:right w:val="none" w:color="FFFFFF" w:sz="0"/>
            </w:tcBorders>
            <w:tcMar>
              <w:top w:type="dxa" w:w="280"/>
              <w:left w:type="dxa" w:w="100"/>
              <w:bottom w:type="dxa" w:w="0"/>
              <w:right w:type="dxa" w:w="100"/>
            </w:tcMar>
          </w:tcPr>
          <w:p>
            <w:pPr>
              <w:spacing w:after="0" w:before="0"/>
            </w:pPr>
          </w:p>
        </w:tc>
        <w:tc>
          <w:tcPr>
            <w:tcW w:type="dxa" w:w="3435"/>
            <w:tcBorders>
              <w:top w:val="none" w:color="FFFFFF" w:sz="0"/>
              <w:left w:val="none" w:color="FFFFFF" w:sz="0"/>
              <w:bottom w:val="single" w:color="4A5468" w:sz="6"/>
              <w:right w:val="none" w:color="FFFFFF" w:sz="0"/>
            </w:tcBorders>
            <w:tcMar>
              <w:top w:type="dxa" w:w="280"/>
              <w:left w:type="dxa" w:w="100"/>
              <w:bottom w:type="dxa" w:w="0"/>
              <w:right w:type="dxa" w:w="100"/>
            </w:tcMar>
          </w:tcPr>
          <w:p>
            <w:pPr>
              <w:spacing w:after="0" w:before="0"/>
            </w:pPr>
          </w:p>
        </w:tc>
        <w:tc>
          <w:tcPr>
            <w:tcW w:type="dxa" w:w="3436"/>
            <w:tcBorders>
              <w:top w:val="none" w:color="FFFFFF" w:sz="0"/>
              <w:left w:val="none" w:color="FFFFFF" w:sz="0"/>
              <w:bottom w:val="single" w:color="4A5468" w:sz="6"/>
              <w:right w:val="none" w:color="FFFFFF" w:sz="0"/>
            </w:tcBorders>
            <w:tcMar>
              <w:top w:type="dxa" w:w="280"/>
              <w:left w:type="dxa" w:w="100"/>
              <w:bottom w:type="dxa" w:w="0"/>
              <w:right w:type="dxa" w:w="100"/>
            </w:tcMar>
          </w:tcPr>
          <w:p>
            <w:pPr>
              <w:spacing w:after="0" w:before="0"/>
            </w:pPr>
          </w:p>
        </w:tc>
      </w:tr>
      <w:tr>
        <w:tc>
          <w:tcPr>
            <w:tcW w:type="dxa" w:w="3435"/>
            <w:tcBorders>
              <w:top w:val="none" w:color="FFFFFF" w:sz="0"/>
              <w:left w:val="none" w:color="FFFFFF" w:sz="0"/>
              <w:bottom w:val="none" w:color="FFFFFF" w:sz="0"/>
              <w:right w:val="none" w:color="FFFFFF" w:sz="0"/>
            </w:tcBorders>
            <w:tcMar>
              <w:top w:type="dxa" w:w="60"/>
              <w:left w:type="dxa" w:w="100"/>
              <w:bottom w:type="dxa" w:w="0"/>
              <w:right w:type="dxa" w:w="100"/>
            </w:tcMar>
          </w:tcPr>
          <w:p>
            <w:pPr>
              <w:spacing w:after="10" w:before="0"/>
              <w:jc w:val="center"/>
            </w:pPr>
            <w:r>
              <w:rPr>
                <w:rFonts w:ascii="Calibri" w:cs="Calibri" w:eastAsia="Calibri" w:hAnsi="Calibri"/>
                <w:b/>
                <w:bCs/>
                <w:i w:val="false"/>
                <w:iCs w:val="false"/>
                <w:caps/>
                <w:color w:val="4A5468"/>
                <w:spacing w:val="10"/>
                <w:sz w:val="16"/>
                <w:szCs w:val="16"/>
              </w:rPr>
              <w:t xml:space="preserve">Registrar</w:t>
            </w:r>
          </w:p>
          <w:p>
            <w:pPr>
              <w:spacing w:after="0" w:before="0"/>
              <w:jc w:val="center"/>
            </w:pPr>
            <w:r>
              <w:rPr>
                <w:rFonts w:ascii="Calibri" w:cs="Calibri" w:eastAsia="Calibri" w:hAnsi="Calibri"/>
                <w:b w:val="false"/>
                <w:bCs w:val="false"/>
                <w:i w:val="false"/>
                <w:iCs w:val="false"/>
                <w:caps w:val="false"/>
                <w:color w:val="7B8496"/>
                <w:sz w:val="14"/>
                <w:szCs w:val="14"/>
              </w:rPr>
              <w:t xml:space="preserve">Name and signature</w:t>
            </w:r>
          </w:p>
        </w:tc>
        <w:tc>
          <w:tcPr>
            <w:tcW w:type="dxa" w:w="3435"/>
            <w:tcBorders>
              <w:top w:val="none" w:color="FFFFFF" w:sz="0"/>
              <w:left w:val="none" w:color="FFFFFF" w:sz="0"/>
              <w:bottom w:val="none" w:color="FFFFFF" w:sz="0"/>
              <w:right w:val="none" w:color="FFFFFF" w:sz="0"/>
            </w:tcBorders>
            <w:tcMar>
              <w:top w:type="dxa" w:w="60"/>
              <w:left w:type="dxa" w:w="100"/>
              <w:bottom w:type="dxa" w:w="0"/>
              <w:right w:type="dxa" w:w="100"/>
            </w:tcMar>
          </w:tcPr>
          <w:p>
            <w:pPr>
              <w:spacing w:after="10" w:before="0"/>
              <w:jc w:val="center"/>
            </w:pPr>
            <w:r>
              <w:rPr>
                <w:rFonts w:ascii="Calibri" w:cs="Calibri" w:eastAsia="Calibri" w:hAnsi="Calibri"/>
                <w:b/>
                <w:bCs/>
                <w:i w:val="false"/>
                <w:iCs w:val="false"/>
                <w:caps/>
                <w:color w:val="4A5468"/>
                <w:spacing w:val="10"/>
                <w:sz w:val="16"/>
                <w:szCs w:val="16"/>
              </w:rPr>
              <w:t xml:space="preserve">Official seal</w:t>
            </w:r>
          </w:p>
          <w:p>
            <w:pPr>
              <w:spacing w:after="0" w:before="0"/>
              <w:jc w:val="center"/>
            </w:pPr>
            <w:r>
              <w:rPr>
                <w:rFonts w:ascii="Calibri" w:cs="Calibri" w:eastAsia="Calibri" w:hAnsi="Calibri"/>
                <w:b w:val="false"/>
                <w:bCs w:val="false"/>
                <w:i w:val="false"/>
                <w:iCs w:val="false"/>
                <w:caps w:val="false"/>
                <w:color w:val="7B8496"/>
                <w:sz w:val="14"/>
                <w:szCs w:val="14"/>
              </w:rPr>
              <w:t xml:space="preserve">Affix seal here</w:t>
            </w:r>
          </w:p>
        </w:tc>
        <w:tc>
          <w:tcPr>
            <w:tcW w:type="dxa" w:w="3436"/>
            <w:tcBorders>
              <w:top w:val="none" w:color="FFFFFF" w:sz="0"/>
              <w:left w:val="none" w:color="FFFFFF" w:sz="0"/>
              <w:bottom w:val="none" w:color="FFFFFF" w:sz="0"/>
              <w:right w:val="none" w:color="FFFFFF" w:sz="0"/>
            </w:tcBorders>
            <w:tcMar>
              <w:top w:type="dxa" w:w="60"/>
              <w:left w:type="dxa" w:w="100"/>
              <w:bottom w:type="dxa" w:w="0"/>
              <w:right w:type="dxa" w:w="100"/>
            </w:tcMar>
          </w:tcPr>
          <w:p>
            <w:pPr>
              <w:spacing w:after="10" w:before="0"/>
              <w:jc w:val="center"/>
            </w:pPr>
            <w:r>
              <w:rPr>
                <w:rFonts w:ascii="Calibri" w:cs="Calibri" w:eastAsia="Calibri" w:hAnsi="Calibri"/>
                <w:b/>
                <w:bCs/>
                <w:i w:val="false"/>
                <w:iCs w:val="false"/>
                <w:caps/>
                <w:color w:val="4A5468"/>
                <w:spacing w:val="10"/>
                <w:sz w:val="16"/>
                <w:szCs w:val="16"/>
              </w:rPr>
              <w:t xml:space="preserve">Principal</w:t>
            </w:r>
          </w:p>
          <w:p>
            <w:pPr>
              <w:spacing w:after="0" w:before="0"/>
              <w:jc w:val="center"/>
            </w:pPr>
            <w:r>
              <w:rPr>
                <w:rFonts w:ascii="Calibri" w:cs="Calibri" w:eastAsia="Calibri" w:hAnsi="Calibri"/>
                <w:b w:val="false"/>
                <w:bCs w:val="false"/>
                <w:i w:val="false"/>
                <w:iCs w:val="false"/>
                <w:caps w:val="false"/>
                <w:color w:val="7B8496"/>
                <w:sz w:val="14"/>
                <w:szCs w:val="14"/>
              </w:rPr>
              <w:t xml:space="preserve">Name and signature</w:t>
            </w:r>
          </w:p>
        </w:tc>
      </w:tr>
    </w:tbl>
    <w:p>
      <w:pPr>
        <w:spacing w:after="0"/>
      </w:pPr>
      <w:r>
        <w:br w:type="page"/>
      </w:r>
    </w:p>
    <w:p>
      <w:pPr>
        <w:spacing w:after="60"/>
      </w:pPr>
      <w:r>
        <w:rPr>
          <w:rFonts w:ascii="Georgia" w:cs="Georgia" w:eastAsia="Georgia" w:hAnsi="Georgia"/>
          <w:b/>
          <w:bCs/>
          <w:i w:val="false"/>
          <w:iCs w:val="false"/>
          <w:caps/>
          <w:color w:val="0F3D5C"/>
          <w:spacing w:val="10"/>
          <w:sz w:val="30"/>
          <w:szCs w:val="30"/>
        </w:rPr>
        <w:t xml:space="preserve">Annex — Basis of Calculation</w:t>
      </w:r>
    </w:p>
    <w:p>
      <w:pPr>
        <w:pBdr>
          <w:bottom w:val="single" w:color="C9D0DC" w:sz="6"/>
        </w:pBdr>
        <w:spacing w:after="160"/>
        <w:jc w:val="right"/>
      </w:pPr>
      <w:r>
        <w:rPr>
          <w:rFonts w:ascii="Calibri" w:cs="Calibri" w:eastAsia="Calibri" w:hAnsi="Calibri"/>
          <w:b/>
          <w:bCs/>
          <w:i w:val="false"/>
          <w:iCs w:val="false"/>
          <w:caps w:val="false"/>
          <w:color w:val="4A5468"/>
          <w:sz w:val="16"/>
          <w:szCs w:val="16"/>
        </w:rPr>
        <w:t xml:space="preserve">Xavier Keylane Arianne Vasconcelos</w:t>
      </w:r>
      <w:r>
        <w:rPr>
          <w:rFonts w:ascii="Calibri" w:cs="Calibri" w:eastAsia="Calibri" w:hAnsi="Calibri"/>
          <w:b w:val="false"/>
          <w:bCs w:val="false"/>
          <w:i w:val="false"/>
          <w:iCs w:val="false"/>
          <w:caps w:val="false"/>
          <w:color w:val="7B8496"/>
          <w:sz w:val="16"/>
          <w:szCs w:val="16"/>
        </w:rPr>
        <w:t xml:space="preserve">  ·  Centre MZ040  ·  Ref. No. ______________</w:t>
      </w:r>
    </w:p>
    <w:p>
      <w:pPr>
        <w:pBdr>
          <w:left w:val="single" w:color="0F3D5C" w:sz="18"/>
        </w:pBdr>
        <w:shd w:fill="EEF3F7" w:color="auto" w:val="clear"/>
        <w:spacing w:after="160" w:before="40" w:line="245"/>
        <w:ind w:left="160" w:right="160"/>
      </w:pPr>
      <w:r>
        <w:rPr>
          <w:rFonts w:ascii="Calibri" w:cs="Calibri" w:eastAsia="Calibri" w:hAnsi="Calibri"/>
          <w:b/>
          <w:bCs/>
          <w:i w:val="false"/>
          <w:iCs w:val="false"/>
          <w:caps w:val="false"/>
          <w:color w:val="0F3D5C"/>
          <w:sz w:val="18"/>
          <w:szCs w:val="18"/>
        </w:rPr>
        <w:t xml:space="preserve">Result certified: </w:t>
      </w:r>
      <w:r>
        <w:rPr>
          <w:rFonts w:ascii="Calibri" w:cs="Calibri" w:eastAsia="Calibri" w:hAnsi="Calibri"/>
          <w:b w:val="false"/>
          <w:bCs w:val="false"/>
          <w:i w:val="false"/>
          <w:iCs w:val="false"/>
          <w:caps w:val="false"/>
          <w:color w:val="4A5468"/>
          <w:sz w:val="18"/>
          <w:szCs w:val="18"/>
        </w:rPr>
        <w:t xml:space="preserve">Cumulative Grade Point Average of </w:t>
      </w:r>
      <w:r>
        <w:rPr>
          <w:rFonts w:ascii="Calibri" w:cs="Calibri" w:eastAsia="Calibri" w:hAnsi="Calibri"/>
          <w:b/>
          <w:bCs/>
          <w:i w:val="false"/>
          <w:iCs w:val="false"/>
          <w:caps w:val="false"/>
          <w:color w:val="1C2230"/>
          <w:sz w:val="18"/>
          <w:szCs w:val="18"/>
        </w:rPr>
        <w:t xml:space="preserve">2.64 on a 4.00 scale</w:t>
      </w:r>
      <w:r>
        <w:rPr>
          <w:rFonts w:ascii="Calibri" w:cs="Calibri" w:eastAsia="Calibri" w:hAnsi="Calibri"/>
          <w:b w:val="false"/>
          <w:bCs w:val="false"/>
          <w:i w:val="false"/>
          <w:iCs w:val="false"/>
          <w:caps w:val="false"/>
          <w:color w:val="4A5468"/>
          <w:sz w:val="18"/>
          <w:szCs w:val="18"/>
        </w:rPr>
        <w:t xml:space="preserve">, derived from eleven Cambridge International syllabus grades awarded between June 2024 and November 2025.</w:t>
      </w:r>
    </w:p>
    <w:tbl>
      <w:tblPr>
        <w:tblW w:type="dxa" w:w="10306"/>
        <w:tblBorders>
          <w:top w:val="none" w:color="FFFFFF" w:sz="0"/>
          <w:left w:val="none" w:color="FFFFFF" w:sz="0"/>
          <w:bottom w:val="none" w:color="FFFFFF" w:sz="0"/>
          <w:right w:val="none" w:color="FFFFFF" w:sz="0"/>
          <w:insideH w:val="single" w:color="auto" w:sz="4"/>
          <w:insideV w:val="single" w:color="auto" w:sz="4"/>
        </w:tblBorders>
      </w:tblPr>
      <w:tblGrid>
        <w:gridCol w:w="4500"/>
        <w:gridCol w:w="580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00"/>
            </w:tcMar>
          </w:tcPr>
          <w:p>
            <w:pPr>
              <w:keepNext/>
              <w:spacing w:after="60" w:before="120"/>
            </w:pPr>
            <w:r>
              <w:rPr>
                <w:rFonts w:ascii="Calibri" w:cs="Calibri" w:eastAsia="Calibri" w:hAnsi="Calibri"/>
                <w:b/>
                <w:bCs/>
                <w:i w:val="false"/>
                <w:iCs w:val="false"/>
                <w:caps/>
                <w:color w:val="0F3D5C"/>
                <w:spacing w:val="14"/>
                <w:sz w:val="18"/>
                <w:szCs w:val="18"/>
              </w:rPr>
              <w:t xml:space="preserve">Grade conversion key</w:t>
            </w:r>
          </w:p>
          <w:tbl>
            <w:tblPr>
              <w:tblW w:type="dxa" w:w="4400"/>
              <w:tblBorders>
                <w:top w:val="none" w:color="FFFFFF" w:sz="0"/>
                <w:left w:val="none" w:color="FFFFFF" w:sz="0"/>
                <w:bottom w:val="none" w:color="FFFFFF" w:sz="0"/>
                <w:right w:val="none" w:color="FFFFFF" w:sz="0"/>
                <w:insideH w:val="single" w:color="auto" w:sz="4"/>
                <w:insideV w:val="single" w:color="auto" w:sz="4"/>
              </w:tblBorders>
            </w:tblPr>
            <w:tblGrid>
              <w:gridCol w:w="1700"/>
              <w:gridCol w:w="1500"/>
              <w:gridCol w:w="1200"/>
            </w:tblGrid>
            <w:tr>
              <w:trPr>
                <w:tblHeader/>
              </w:trPr>
              <w:tc>
                <w:tcPr>
                  <w:tcW w:type="dxa" w:w="170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Cambridge grade</w:t>
                  </w:r>
                </w:p>
              </w:tc>
              <w:tc>
                <w:tcPr>
                  <w:tcW w:type="dxa" w:w="150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right"/>
                  </w:pPr>
                  <w:r>
                    <w:rPr>
                      <w:rFonts w:ascii="Calibri" w:cs="Calibri" w:eastAsia="Calibri" w:hAnsi="Calibri"/>
                      <w:b/>
                      <w:bCs/>
                      <w:i w:val="false"/>
                      <w:iCs w:val="false"/>
                      <w:caps/>
                      <w:color w:val="7B8496"/>
                      <w:spacing w:val="12"/>
                      <w:sz w:val="13"/>
                      <w:szCs w:val="13"/>
                    </w:rPr>
                    <w:t xml:space="preserve">Grade points</w:t>
                  </w:r>
                </w:p>
              </w:tc>
              <w:tc>
                <w:tcPr>
                  <w:tcW w:type="dxa" w:w="120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right"/>
                  </w:pPr>
                  <w:r>
                    <w:rPr>
                      <w:rFonts w:ascii="Calibri" w:cs="Calibri" w:eastAsia="Calibri" w:hAnsi="Calibri"/>
                      <w:b/>
                      <w:bCs/>
                      <w:i w:val="false"/>
                      <w:iCs w:val="false"/>
                      <w:caps/>
                      <w:color w:val="7B8496"/>
                      <w:spacing w:val="12"/>
                      <w:sz w:val="13"/>
                      <w:szCs w:val="13"/>
                    </w:rPr>
                    <w:t xml:space="preserve">Count</w:t>
                  </w:r>
                </w:p>
              </w:tc>
            </w:tr>
            <w:tr>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9"/>
                      <w:szCs w:val="19"/>
                    </w:rPr>
                    <w:t xml:space="preserve">A* / a*</w:t>
                  </w:r>
                </w:p>
              </w:tc>
              <w:tc>
                <w:tcPr>
                  <w:tcW w:type="dxa" w:w="15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4.00</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0</w:t>
                  </w:r>
                </w:p>
              </w:tc>
            </w:tr>
            <w:tr>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9"/>
                      <w:szCs w:val="19"/>
                    </w:rPr>
                    <w:t xml:space="preserve">A / a</w:t>
                  </w:r>
                </w:p>
              </w:tc>
              <w:tc>
                <w:tcPr>
                  <w:tcW w:type="dxa" w:w="15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4.00</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2</w:t>
                  </w:r>
                </w:p>
              </w:tc>
            </w:tr>
            <w:tr>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9"/>
                      <w:szCs w:val="19"/>
                    </w:rPr>
                    <w:t xml:space="preserve">B / b</w:t>
                  </w:r>
                </w:p>
              </w:tc>
              <w:tc>
                <w:tcPr>
                  <w:tcW w:type="dxa" w:w="15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3.00</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3</w:t>
                  </w:r>
                </w:p>
              </w:tc>
            </w:tr>
            <w:tr>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9"/>
                      <w:szCs w:val="19"/>
                    </w:rPr>
                    <w:t xml:space="preserve">C / c</w:t>
                  </w:r>
                </w:p>
              </w:tc>
              <w:tc>
                <w:tcPr>
                  <w:tcW w:type="dxa" w:w="15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2.00</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6</w:t>
                  </w:r>
                </w:p>
              </w:tc>
            </w:tr>
            <w:tr>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9"/>
                      <w:szCs w:val="19"/>
                    </w:rPr>
                    <w:t xml:space="preserve">D / d</w:t>
                  </w:r>
                </w:p>
              </w:tc>
              <w:tc>
                <w:tcPr>
                  <w:tcW w:type="dxa" w:w="15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1.00</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0</w:t>
                  </w:r>
                </w:p>
              </w:tc>
            </w:tr>
            <w:tr>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9"/>
                      <w:szCs w:val="19"/>
                    </w:rPr>
                    <w:t xml:space="preserve">E / e and below</w:t>
                  </w:r>
                </w:p>
              </w:tc>
              <w:tc>
                <w:tcPr>
                  <w:tcW w:type="dxa" w:w="15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0.00</w:t>
                  </w:r>
                </w:p>
              </w:tc>
              <w:tc>
                <w:tcPr>
                  <w:tcW w:type="dxa" w:w="12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9"/>
                      <w:szCs w:val="19"/>
                    </w:rPr>
                    <w:t xml:space="preserve">0</w:t>
                  </w:r>
                </w:p>
              </w:tc>
            </w:tr>
            <w:tr>
              <w:tc>
                <w:tcPr>
                  <w:tcW w:type="dxa" w:w="3200"/>
                  <w:gridSpan w:val="2"/>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pPr>
                  <w:r>
                    <w:rPr>
                      <w:rFonts w:ascii="Calibri" w:cs="Calibri" w:eastAsia="Calibri" w:hAnsi="Calibri"/>
                      <w:b/>
                      <w:bCs/>
                      <w:i w:val="false"/>
                      <w:iCs w:val="false"/>
                      <w:caps w:val="false"/>
                      <w:color w:val="0F3D5C"/>
                      <w:sz w:val="18"/>
                      <w:szCs w:val="18"/>
                    </w:rPr>
                    <w:t xml:space="preserve">Total syllabuses converted</w:t>
                  </w:r>
                </w:p>
              </w:tc>
              <w:tc>
                <w:tcPr>
                  <w:tcW w:type="dxa" w:w="1200"/>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right"/>
                  </w:pPr>
                  <w:r>
                    <w:rPr>
                      <w:rFonts w:ascii="Calibri" w:cs="Calibri" w:eastAsia="Calibri" w:hAnsi="Calibri"/>
                      <w:b/>
                      <w:bCs/>
                      <w:i w:val="false"/>
                      <w:iCs w:val="false"/>
                      <w:caps w:val="false"/>
                      <w:color w:val="0F3D5C"/>
                      <w:sz w:val="18"/>
                      <w:szCs w:val="18"/>
                    </w:rPr>
                    <w:t xml:space="preserve">11</w:t>
                  </w:r>
                </w:p>
              </w:tc>
            </w:tr>
          </w:tbl>
          <w:p/>
        </w:tc>
        <w:tc>
          <w:tcPr>
            <w:tcW w:type="dxa" w:w="5806"/>
            <w:tcBorders>
              <w:top w:val="none" w:color="FFFFFF" w:sz="0"/>
              <w:left w:val="none" w:color="FFFFFF" w:sz="0"/>
              <w:bottom w:val="none" w:color="FFFFFF" w:sz="0"/>
              <w:right w:val="none" w:color="FFFFFF" w:sz="0"/>
            </w:tcBorders>
            <w:tcMar>
              <w:top w:type="dxa" w:w="0"/>
              <w:left w:type="dxa" w:w="100"/>
              <w:bottom w:type="dxa" w:w="0"/>
              <w:right w:type="dxa" w:w="100"/>
            </w:tcMar>
          </w:tcPr>
          <w:p>
            <w:pPr>
              <w:keepNext/>
              <w:spacing w:after="60" w:before="120"/>
            </w:pPr>
            <w:r>
              <w:rPr>
                <w:rFonts w:ascii="Calibri" w:cs="Calibri" w:eastAsia="Calibri" w:hAnsi="Calibri"/>
                <w:b/>
                <w:bCs/>
                <w:i w:val="false"/>
                <w:iCs w:val="false"/>
                <w:caps/>
                <w:color w:val="0F3D5C"/>
                <w:spacing w:val="14"/>
                <w:sz w:val="18"/>
                <w:szCs w:val="18"/>
              </w:rPr>
              <w:t xml:space="preserve">Worked calculation</w:t>
            </w:r>
          </w:p>
          <w:tbl>
            <w:tblPr>
              <w:tblW w:type="dxa" w:w="5600"/>
              <w:tblBorders>
                <w:top w:val="none" w:color="FFFFFF" w:sz="0"/>
                <w:left w:val="none" w:color="FFFFFF" w:sz="0"/>
                <w:bottom w:val="none" w:color="FFFFFF" w:sz="0"/>
                <w:right w:val="none" w:color="FFFFFF" w:sz="0"/>
                <w:insideH w:val="single" w:color="auto" w:sz="4"/>
                <w:insideV w:val="single" w:color="auto" w:sz="4"/>
              </w:tblBorders>
            </w:tblPr>
            <w:tblGrid>
              <w:gridCol w:w="2700"/>
              <w:gridCol w:w="1300"/>
              <w:gridCol w:w="1600"/>
            </w:tblGrid>
            <w:tr>
              <w:tc>
                <w:tcPr>
                  <w:tcW w:type="dxa" w:w="2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7B8496"/>
                      <w:sz w:val="18"/>
                      <w:szCs w:val="18"/>
                    </w:rPr>
                    <w:t xml:space="preserve">IGCSE grade points</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4A5468"/>
                      <w:sz w:val="18"/>
                      <w:szCs w:val="18"/>
                    </w:rPr>
                    <w:t xml:space="preserve">21.00</w:t>
                  </w:r>
                </w:p>
              </w:tc>
              <w:tc>
                <w:tcPr>
                  <w:tcW w:type="dxa" w:w="16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4A5468"/>
                      <w:sz w:val="18"/>
                      <w:szCs w:val="18"/>
                    </w:rPr>
                    <w:t xml:space="preserve">÷ 7 = 3.00</w:t>
                  </w:r>
                </w:p>
              </w:tc>
            </w:tr>
            <w:tr>
              <w:tc>
                <w:tcPr>
                  <w:tcW w:type="dxa" w:w="2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7B8496"/>
                      <w:sz w:val="18"/>
                      <w:szCs w:val="18"/>
                    </w:rPr>
                    <w:t xml:space="preserve">AS Level grade points</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4A5468"/>
                      <w:sz w:val="18"/>
                      <w:szCs w:val="18"/>
                    </w:rPr>
                    <w:t xml:space="preserve">8.00</w:t>
                  </w:r>
                </w:p>
              </w:tc>
              <w:tc>
                <w:tcPr>
                  <w:tcW w:type="dxa" w:w="16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4A5468"/>
                      <w:sz w:val="18"/>
                      <w:szCs w:val="18"/>
                    </w:rPr>
                    <w:t xml:space="preserve">÷ 4 = 2.00</w:t>
                  </w:r>
                </w:p>
              </w:tc>
            </w:tr>
            <w:tr>
              <w:tc>
                <w:tcPr>
                  <w:tcW w:type="dxa" w:w="2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bCs/>
                      <w:i w:val="false"/>
                      <w:iCs w:val="false"/>
                      <w:caps w:val="false"/>
                      <w:color w:val="1C2230"/>
                      <w:sz w:val="18"/>
                      <w:szCs w:val="18"/>
                    </w:rPr>
                    <w:t xml:space="preserve">Cumulative (unweighted)</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bCs/>
                      <w:i w:val="false"/>
                      <w:iCs w:val="false"/>
                      <w:caps w:val="false"/>
                      <w:color w:val="1C2230"/>
                      <w:sz w:val="18"/>
                      <w:szCs w:val="18"/>
                    </w:rPr>
                    <w:t xml:space="preserve">29.00</w:t>
                  </w:r>
                </w:p>
              </w:tc>
              <w:tc>
                <w:tcPr>
                  <w:tcW w:type="dxa" w:w="16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bCs/>
                      <w:i w:val="false"/>
                      <w:iCs w:val="false"/>
                      <w:caps w:val="false"/>
                      <w:color w:val="1C2230"/>
                      <w:sz w:val="18"/>
                      <w:szCs w:val="18"/>
                    </w:rPr>
                    <w:t xml:space="preserve">÷ 11 = 2.64</w:t>
                  </w:r>
                </w:p>
              </w:tc>
            </w:tr>
            <w:tr>
              <w:tc>
                <w:tcPr>
                  <w:tcW w:type="dxa" w:w="2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7B8496"/>
                      <w:sz w:val="18"/>
                      <w:szCs w:val="18"/>
                    </w:rPr>
                    <w:t xml:space="preserve">Cumulative (credit-weighted)</w:t>
                  </w:r>
                </w:p>
              </w:tc>
              <w:tc>
                <w:tcPr>
                  <w:tcW w:type="dxa" w:w="13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4A5468"/>
                      <w:sz w:val="18"/>
                      <w:szCs w:val="18"/>
                    </w:rPr>
                    <w:t xml:space="preserve">37.00</w:t>
                  </w:r>
                </w:p>
              </w:tc>
              <w:tc>
                <w:tcPr>
                  <w:tcW w:type="dxa" w:w="16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4A5468"/>
                      <w:sz w:val="18"/>
                      <w:szCs w:val="18"/>
                    </w:rPr>
                    <w:t xml:space="preserve">÷ 15 = 2.47</w:t>
                  </w:r>
                </w:p>
              </w:tc>
            </w:tr>
          </w:tbl>
          <w:p/>
        </w:tc>
      </w:tr>
    </w:tbl>
    <w:p>
      <w:pPr>
        <w:spacing w:after="120" w:before="0"/>
      </w:pPr>
    </w:p>
    <w:p>
      <w:pPr>
        <w:keepNext/>
        <w:spacing w:after="60" w:before="120"/>
      </w:pPr>
      <w:r>
        <w:rPr>
          <w:rFonts w:ascii="Calibri" w:cs="Calibri" w:eastAsia="Calibri" w:hAnsi="Calibri"/>
          <w:b/>
          <w:bCs/>
          <w:i w:val="false"/>
          <w:iCs w:val="false"/>
          <w:caps/>
          <w:color w:val="0F3D5C"/>
          <w:spacing w:val="14"/>
          <w:sz w:val="18"/>
          <w:szCs w:val="18"/>
        </w:rPr>
        <w:t xml:space="preserve">Method and scope</w:t>
      </w:r>
    </w:p>
    <w:p>
      <w:pPr>
        <w:spacing w:after="90" w:line="225"/>
      </w:pPr>
      <w:r>
        <w:rPr>
          <w:rFonts w:ascii="Calibri" w:cs="Calibri" w:eastAsia="Calibri" w:hAnsi="Calibri"/>
          <w:b/>
          <w:bCs/>
          <w:i w:val="false"/>
          <w:iCs w:val="false"/>
          <w:caps w:val="false"/>
          <w:color w:val="1C2230"/>
          <w:sz w:val="17"/>
          <w:szCs w:val="17"/>
        </w:rPr>
        <w:t xml:space="preserve">Method.</w:t>
      </w:r>
      <w:r>
        <w:rPr>
          <w:rFonts w:ascii="Calibri" w:cs="Calibri" w:eastAsia="Calibri" w:hAnsi="Calibri"/>
          <w:b w:val="false"/>
          <w:bCs w:val="false"/>
          <w:i w:val="false"/>
          <w:iCs w:val="false"/>
          <w:caps w:val="false"/>
          <w:color w:val="4A5468"/>
          <w:sz w:val="17"/>
          <w:szCs w:val="17"/>
        </w:rPr>
        <w:t xml:space="preserve"> Each reported syllabus grade is converted to grade points using the key above. The cumulative grade point average is the arithmetic mean of the grade points of all eleven reported syllabuses, carried to two decimal places, with no intermediate rounding.</w:t>
      </w:r>
    </w:p>
    <w:p>
      <w:pPr>
        <w:spacing w:after="90" w:line="225"/>
      </w:pPr>
      <w:r>
        <w:rPr>
          <w:rFonts w:ascii="Calibri" w:cs="Calibri" w:eastAsia="Calibri" w:hAnsi="Calibri"/>
          <w:b/>
          <w:bCs/>
          <w:i w:val="false"/>
          <w:iCs w:val="false"/>
          <w:caps w:val="false"/>
          <w:color w:val="1C2230"/>
          <w:sz w:val="17"/>
          <w:szCs w:val="17"/>
        </w:rPr>
        <w:t xml:space="preserve">Unweighted CGPA — 2.64 / 4.00.</w:t>
      </w:r>
      <w:r>
        <w:rPr>
          <w:rFonts w:ascii="Calibri" w:cs="Calibri" w:eastAsia="Calibri" w:hAnsi="Calibri"/>
          <w:b w:val="false"/>
          <w:bCs w:val="false"/>
          <w:i w:val="false"/>
          <w:iCs w:val="false"/>
          <w:caps w:val="false"/>
          <w:color w:val="4A5468"/>
          <w:sz w:val="17"/>
          <w:szCs w:val="17"/>
        </w:rPr>
        <w:t xml:space="preserve"> All eleven syllabuses carry equal weight (29.00 ÷ 11). This is the figure certified overleaf.</w:t>
      </w:r>
    </w:p>
    <w:p>
      <w:pPr>
        <w:spacing w:after="90" w:line="225"/>
      </w:pPr>
      <w:r>
        <w:rPr>
          <w:rFonts w:ascii="Calibri" w:cs="Calibri" w:eastAsia="Calibri" w:hAnsi="Calibri"/>
          <w:b/>
          <w:bCs/>
          <w:i w:val="false"/>
          <w:iCs w:val="false"/>
          <w:caps w:val="false"/>
          <w:color w:val="1C2230"/>
          <w:sz w:val="17"/>
          <w:szCs w:val="17"/>
        </w:rPr>
        <w:t xml:space="preserve">Credit-weighted alternative — 2.47 / 4.00.</w:t>
      </w:r>
      <w:r>
        <w:rPr>
          <w:rFonts w:ascii="Calibri" w:cs="Calibri" w:eastAsia="Calibri" w:hAnsi="Calibri"/>
          <w:b w:val="false"/>
          <w:bCs w:val="false"/>
          <w:i w:val="false"/>
          <w:iCs w:val="false"/>
          <w:caps w:val="false"/>
          <w:color w:val="4A5468"/>
          <w:sz w:val="17"/>
          <w:szCs w:val="17"/>
        </w:rPr>
        <w:t xml:space="preserve"> Where an institution weights AS Level at two credits against one credit for IGCSE, the result is 37.00 ÷ 15.</w:t>
      </w:r>
    </w:p>
    <w:p>
      <w:pPr>
        <w:spacing w:after="90" w:line="225"/>
      </w:pPr>
      <w:r>
        <w:rPr>
          <w:rFonts w:ascii="Calibri" w:cs="Calibri" w:eastAsia="Calibri" w:hAnsi="Calibri"/>
          <w:b/>
          <w:bCs/>
          <w:i w:val="false"/>
          <w:iCs w:val="false"/>
          <w:caps w:val="false"/>
          <w:color w:val="1C2230"/>
          <w:sz w:val="17"/>
          <w:szCs w:val="17"/>
        </w:rPr>
        <w:t xml:space="preserve">Ten-point scale.</w:t>
      </w:r>
      <w:r>
        <w:rPr>
          <w:rFonts w:ascii="Calibri" w:cs="Calibri" w:eastAsia="Calibri" w:hAnsi="Calibri"/>
          <w:b w:val="false"/>
          <w:bCs w:val="false"/>
          <w:i w:val="false"/>
          <w:iCs w:val="false"/>
          <w:caps w:val="false"/>
          <w:color w:val="4A5468"/>
          <w:sz w:val="17"/>
          <w:szCs w:val="17"/>
        </w:rPr>
        <w:t xml:space="preserve"> The unweighted result expressed on a 10.00 scale is 6.59 / 10.00; the credit-weighted result is 6.17 / 10.00.</w:t>
      </w:r>
    </w:p>
    <w:p>
      <w:pPr>
        <w:spacing w:after="90" w:line="225"/>
      </w:pPr>
      <w:r>
        <w:rPr>
          <w:rFonts w:ascii="Calibri" w:cs="Calibri" w:eastAsia="Calibri" w:hAnsi="Calibri"/>
          <w:b/>
          <w:bCs/>
          <w:i w:val="false"/>
          <w:iCs w:val="false"/>
          <w:caps w:val="false"/>
          <w:color w:val="1C2230"/>
          <w:sz w:val="17"/>
          <w:szCs w:val="17"/>
        </w:rPr>
        <w:t xml:space="preserve">Percentage uniform marks.</w:t>
      </w:r>
      <w:r>
        <w:rPr>
          <w:rFonts w:ascii="Calibri" w:cs="Calibri" w:eastAsia="Calibri" w:hAnsi="Calibri"/>
          <w:b w:val="false"/>
          <w:bCs w:val="false"/>
          <w:i w:val="false"/>
          <w:iCs w:val="false"/>
          <w:caps w:val="false"/>
          <w:color w:val="4A5468"/>
          <w:sz w:val="17"/>
          <w:szCs w:val="17"/>
        </w:rPr>
        <w:t xml:space="preserve"> The PUM shown against each syllabus is the mark reported by Cambridge on the corresponding Statement of Results. It is a position-within-grade indicator, not a raw examination mark, and is reproduced here for reference only; it does not enter the grade point calculation. The aggregate PUM across the eleven syllabuses is 69.55%.</w:t>
      </w:r>
    </w:p>
    <w:p>
      <w:pPr>
        <w:spacing w:after="90" w:line="225"/>
      </w:pPr>
      <w:r>
        <w:rPr>
          <w:rFonts w:ascii="Calibri" w:cs="Calibri" w:eastAsia="Calibri" w:hAnsi="Calibri"/>
          <w:b/>
          <w:bCs/>
          <w:i w:val="false"/>
          <w:iCs w:val="false"/>
          <w:caps w:val="false"/>
          <w:color w:val="1C2230"/>
          <w:sz w:val="17"/>
          <w:szCs w:val="17"/>
        </w:rPr>
        <w:t xml:space="preserve">Scope.</w:t>
      </w:r>
      <w:r>
        <w:rPr>
          <w:rFonts w:ascii="Calibri" w:cs="Calibri" w:eastAsia="Calibri" w:hAnsi="Calibri"/>
          <w:b w:val="false"/>
          <w:bCs w:val="false"/>
          <w:i w:val="false"/>
          <w:iCs w:val="false"/>
          <w:caps w:val="false"/>
          <w:color w:val="4A5468"/>
          <w:sz w:val="17"/>
          <w:szCs w:val="17"/>
        </w:rPr>
        <w:t xml:space="preserve"> Cambridge International does not itself issue grade point averages. This conversion is prepared by the issuing institution named overleaf, on the scale stated above. Receiving institutions that publish a different conversion scale should apply their own.</w:t>
      </w:r>
    </w:p>
    <w:p>
      <w:pPr>
        <w:spacing w:after="70" w:before="0"/>
      </w:pPr>
    </w:p>
    <w:p>
      <w:pPr>
        <w:keepNext/>
        <w:spacing w:after="60" w:before="120"/>
      </w:pPr>
      <w:r>
        <w:rPr>
          <w:rFonts w:ascii="Calibri" w:cs="Calibri" w:eastAsia="Calibri" w:hAnsi="Calibri"/>
          <w:b/>
          <w:bCs/>
          <w:i w:val="false"/>
          <w:iCs w:val="false"/>
          <w:caps/>
          <w:color w:val="0F3D5C"/>
          <w:spacing w:val="14"/>
          <w:sz w:val="18"/>
          <w:szCs w:val="18"/>
        </w:rPr>
        <w:t xml:space="preserve">Source documents</w:t>
      </w:r>
    </w:p>
    <w:tbl>
      <w:tblPr>
        <w:tblW w:type="dxa" w:w="10306"/>
        <w:tblBorders>
          <w:top w:val="none" w:color="FFFFFF" w:sz="0"/>
          <w:left w:val="none" w:color="FFFFFF" w:sz="0"/>
          <w:bottom w:val="none" w:color="FFFFFF" w:sz="0"/>
          <w:right w:val="none" w:color="FFFFFF" w:sz="0"/>
          <w:insideH w:val="single" w:color="auto" w:sz="4"/>
          <w:insideV w:val="single" w:color="auto" w:sz="4"/>
        </w:tblBorders>
      </w:tblPr>
      <w:tblGrid>
        <w:gridCol w:w="3800"/>
        <w:gridCol w:w="1700"/>
        <w:gridCol w:w="1600"/>
        <w:gridCol w:w="1700"/>
        <w:gridCol w:w="1506"/>
      </w:tblGrid>
      <w:tr>
        <w:trPr>
          <w:tblHeader/>
        </w:trPr>
        <w:tc>
          <w:tcPr>
            <w:tcW w:type="dxa" w:w="380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Qualification</w:t>
            </w:r>
          </w:p>
        </w:tc>
        <w:tc>
          <w:tcPr>
            <w:tcW w:type="dxa" w:w="170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Series</w:t>
            </w:r>
          </w:p>
        </w:tc>
        <w:tc>
          <w:tcPr>
            <w:tcW w:type="dxa" w:w="160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Candidate No.</w:t>
            </w:r>
          </w:p>
        </w:tc>
        <w:tc>
          <w:tcPr>
            <w:tcW w:type="dxa" w:w="1700"/>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left"/>
            </w:pPr>
            <w:r>
              <w:rPr>
                <w:rFonts w:ascii="Calibri" w:cs="Calibri" w:eastAsia="Calibri" w:hAnsi="Calibri"/>
                <w:b/>
                <w:bCs/>
                <w:i w:val="false"/>
                <w:iCs w:val="false"/>
                <w:caps/>
                <w:color w:val="7B8496"/>
                <w:spacing w:val="12"/>
                <w:sz w:val="13"/>
                <w:szCs w:val="13"/>
              </w:rPr>
              <w:t xml:space="preserve">Certificate No.</w:t>
            </w:r>
          </w:p>
        </w:tc>
        <w:tc>
          <w:tcPr>
            <w:tcW w:type="dxa" w:w="1506"/>
            <w:tcBorders>
              <w:top w:val="single" w:color="C9D0DC" w:sz="6"/>
              <w:left w:val="none" w:color="FFFFFF" w:sz="0"/>
              <w:bottom w:val="single" w:color="C9D0DC" w:sz="6"/>
              <w:right w:val="none" w:color="FFFFFF" w:sz="0"/>
            </w:tcBorders>
            <w:tcMar>
              <w:top w:type="dxa" w:w="50"/>
              <w:left w:type="dxa" w:w="100"/>
              <w:bottom w:type="dxa" w:w="50"/>
              <w:right w:type="dxa" w:w="100"/>
            </w:tcMar>
          </w:tcPr>
          <w:p>
            <w:pPr>
              <w:spacing w:after="0" w:before="0"/>
              <w:jc w:val="right"/>
            </w:pPr>
            <w:r>
              <w:rPr>
                <w:rFonts w:ascii="Calibri" w:cs="Calibri" w:eastAsia="Calibri" w:hAnsi="Calibri"/>
                <w:b/>
                <w:bCs/>
                <w:i w:val="false"/>
                <w:iCs w:val="false"/>
                <w:caps/>
                <w:color w:val="7B8496"/>
                <w:spacing w:val="12"/>
                <w:sz w:val="13"/>
                <w:szCs w:val="13"/>
              </w:rPr>
              <w:t xml:space="preserve">Syllabuses</w:t>
            </w:r>
          </w:p>
        </w:tc>
      </w:tr>
      <w:tr>
        <w:tc>
          <w:tcPr>
            <w:tcW w:type="dxa" w:w="38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8"/>
                <w:szCs w:val="18"/>
              </w:rPr>
              <w:t xml:space="preserve">International General Certificate of Secondary Education</w:t>
            </w:r>
          </w:p>
        </w:tc>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8"/>
                <w:szCs w:val="18"/>
              </w:rPr>
              <w:t xml:space="preserve">June 2024</w:t>
            </w:r>
          </w:p>
        </w:tc>
        <w:tc>
          <w:tcPr>
            <w:tcW w:type="dxa" w:w="16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7B8496"/>
                <w:sz w:val="18"/>
                <w:szCs w:val="18"/>
              </w:rPr>
              <w:t xml:space="preserve">MZ040/0036</w:t>
            </w:r>
          </w:p>
        </w:tc>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7B8496"/>
                <w:sz w:val="18"/>
                <w:szCs w:val="18"/>
              </w:rPr>
              <w:t xml:space="preserve">0072782654</w:t>
            </w:r>
          </w:p>
        </w:tc>
        <w:tc>
          <w:tcPr>
            <w:tcW w:type="dxa" w:w="15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8"/>
                <w:szCs w:val="18"/>
              </w:rPr>
              <w:t xml:space="preserve">3</w:t>
            </w:r>
          </w:p>
        </w:tc>
      </w:tr>
      <w:tr>
        <w:tc>
          <w:tcPr>
            <w:tcW w:type="dxa" w:w="38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8"/>
                <w:szCs w:val="18"/>
              </w:rPr>
              <w:t xml:space="preserve">International General Certificate of Secondary Education</w:t>
            </w:r>
          </w:p>
        </w:tc>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8"/>
                <w:szCs w:val="18"/>
              </w:rPr>
              <w:t xml:space="preserve">November 2024</w:t>
            </w:r>
          </w:p>
        </w:tc>
        <w:tc>
          <w:tcPr>
            <w:tcW w:type="dxa" w:w="16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7B8496"/>
                <w:sz w:val="18"/>
                <w:szCs w:val="18"/>
              </w:rPr>
              <w:t xml:space="preserve">MZ040/0016</w:t>
            </w:r>
          </w:p>
        </w:tc>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7B8496"/>
                <w:sz w:val="18"/>
                <w:szCs w:val="18"/>
              </w:rPr>
              <w:t xml:space="preserve">0073531190</w:t>
            </w:r>
          </w:p>
        </w:tc>
        <w:tc>
          <w:tcPr>
            <w:tcW w:type="dxa" w:w="15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8"/>
                <w:szCs w:val="18"/>
              </w:rPr>
              <w:t xml:space="preserve">4</w:t>
            </w:r>
          </w:p>
        </w:tc>
      </w:tr>
      <w:tr>
        <w:tc>
          <w:tcPr>
            <w:tcW w:type="dxa" w:w="38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8"/>
                <w:szCs w:val="18"/>
              </w:rPr>
              <w:t xml:space="preserve">General Certificate of Education (Advanced Subsidiary)</w:t>
            </w:r>
          </w:p>
        </w:tc>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1C2230"/>
                <w:sz w:val="18"/>
                <w:szCs w:val="18"/>
              </w:rPr>
              <w:t xml:space="preserve">November 2025</w:t>
            </w:r>
          </w:p>
        </w:tc>
        <w:tc>
          <w:tcPr>
            <w:tcW w:type="dxa" w:w="16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7B8496"/>
                <w:sz w:val="18"/>
                <w:szCs w:val="18"/>
              </w:rPr>
              <w:t xml:space="preserve">MZ040/0062</w:t>
            </w:r>
          </w:p>
        </w:tc>
        <w:tc>
          <w:tcPr>
            <w:tcW w:type="dxa" w:w="1700"/>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left"/>
            </w:pPr>
            <w:r>
              <w:rPr>
                <w:rFonts w:ascii="Calibri" w:cs="Calibri" w:eastAsia="Calibri" w:hAnsi="Calibri"/>
                <w:b w:val="false"/>
                <w:bCs w:val="false"/>
                <w:i w:val="false"/>
                <w:iCs w:val="false"/>
                <w:caps w:val="false"/>
                <w:color w:val="7B8496"/>
                <w:sz w:val="18"/>
                <w:szCs w:val="18"/>
              </w:rPr>
              <w:t xml:space="preserve">0075373702</w:t>
            </w:r>
          </w:p>
        </w:tc>
        <w:tc>
          <w:tcPr>
            <w:tcW w:type="dxa" w:w="1506"/>
            <w:tcBorders>
              <w:top w:val="none" w:color="FFFFFF" w:sz="0"/>
              <w:left w:val="none" w:color="FFFFFF" w:sz="0"/>
              <w:bottom w:val="single" w:color="E4E8EF" w:sz="4"/>
              <w:right w:val="none" w:color="FFFFFF" w:sz="0"/>
            </w:tcBorders>
            <w:tcMar>
              <w:top w:type="dxa" w:w="40"/>
              <w:left w:type="dxa" w:w="100"/>
              <w:bottom w:type="dxa" w:w="40"/>
              <w:right w:type="dxa" w:w="100"/>
            </w:tcMar>
          </w:tcPr>
          <w:p>
            <w:pPr>
              <w:spacing w:after="0" w:before="0"/>
              <w:jc w:val="right"/>
            </w:pPr>
            <w:r>
              <w:rPr>
                <w:rFonts w:ascii="Calibri" w:cs="Calibri" w:eastAsia="Calibri" w:hAnsi="Calibri"/>
                <w:b w:val="false"/>
                <w:bCs w:val="false"/>
                <w:i w:val="false"/>
                <w:iCs w:val="false"/>
                <w:caps w:val="false"/>
                <w:color w:val="1C2230"/>
                <w:sz w:val="18"/>
                <w:szCs w:val="18"/>
              </w:rPr>
              <w:t xml:space="preserve">4</w:t>
            </w:r>
          </w:p>
        </w:tc>
      </w:tr>
      <w:tr>
        <w:tc>
          <w:tcPr>
            <w:tcW w:type="dxa" w:w="8800"/>
            <w:gridSpan w:val="4"/>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pPr>
            <w:r>
              <w:rPr>
                <w:rFonts w:ascii="Calibri" w:cs="Calibri" w:eastAsia="Calibri" w:hAnsi="Calibri"/>
                <w:b/>
                <w:bCs/>
                <w:i w:val="false"/>
                <w:iCs w:val="false"/>
                <w:caps w:val="false"/>
                <w:color w:val="0F3D5C"/>
                <w:sz w:val="18"/>
                <w:szCs w:val="18"/>
              </w:rPr>
              <w:t xml:space="preserve">Three award documents, with the corresponding Statements of Results</w:t>
            </w:r>
          </w:p>
        </w:tc>
        <w:tc>
          <w:tcPr>
            <w:tcW w:type="dxa" w:w="1506"/>
            <w:tcBorders>
              <w:top w:val="single" w:color="C9D0DC" w:sz="6"/>
              <w:left w:val="none" w:color="FFFFFF" w:sz="0"/>
              <w:bottom w:val="none" w:color="FFFFFF" w:sz="0"/>
              <w:right w:val="none" w:color="FFFFFF" w:sz="0"/>
            </w:tcBorders>
            <w:shd w:fill="EEF3F7" w:color="auto" w:val="clear"/>
            <w:tcMar>
              <w:top w:type="dxa" w:w="40"/>
              <w:left w:type="dxa" w:w="100"/>
              <w:bottom w:type="dxa" w:w="40"/>
              <w:right w:type="dxa" w:w="100"/>
            </w:tcMar>
          </w:tcPr>
          <w:p>
            <w:pPr>
              <w:spacing w:after="0" w:before="0"/>
              <w:jc w:val="right"/>
            </w:pPr>
            <w:r>
              <w:rPr>
                <w:rFonts w:ascii="Calibri" w:cs="Calibri" w:eastAsia="Calibri" w:hAnsi="Calibri"/>
                <w:b/>
                <w:bCs/>
                <w:i w:val="false"/>
                <w:iCs w:val="false"/>
                <w:caps w:val="false"/>
                <w:color w:val="0F3D5C"/>
                <w:sz w:val="18"/>
                <w:szCs w:val="18"/>
              </w:rPr>
              <w:t xml:space="preserve">11</w:t>
            </w:r>
          </w:p>
        </w:tc>
      </w:tr>
    </w:tbl>
    <w:p>
      <w:pPr>
        <w:spacing w:after="140" w:before="0"/>
      </w:pPr>
    </w:p>
    <w:p>
      <w:pPr>
        <w:spacing w:after="90" w:line="225"/>
      </w:pPr>
      <w:r>
        <w:rPr>
          <w:rFonts w:ascii="Calibri" w:cs="Calibri" w:eastAsia="Calibri" w:hAnsi="Calibri"/>
          <w:b/>
          <w:bCs/>
          <w:i w:val="false"/>
          <w:iCs w:val="false"/>
          <w:caps w:val="false"/>
          <w:color w:val="1C2230"/>
          <w:sz w:val="17"/>
          <w:szCs w:val="17"/>
        </w:rPr>
        <w:t xml:space="preserve">Verification.</w:t>
      </w:r>
      <w:r>
        <w:rPr>
          <w:rFonts w:ascii="Calibri" w:cs="Calibri" w:eastAsia="Calibri" w:hAnsi="Calibri"/>
          <w:b w:val="false"/>
          <w:bCs w:val="false"/>
          <w:i w:val="false"/>
          <w:iCs w:val="false"/>
          <w:caps w:val="false"/>
          <w:color w:val="4A5468"/>
          <w:sz w:val="17"/>
          <w:szCs w:val="17"/>
        </w:rPr>
        <w:t xml:space="preserve"> The grades certified in this document may be verified against the original Cambridge International certificates and statements of results listed above, and through the issuing institution’s Office of the Registrar quoting the reference number shown.</w:t>
      </w:r>
    </w:p>
    <w:p>
      <w:pPr>
        <w:spacing w:after="150" w:before="0"/>
      </w:pPr>
    </w:p>
    <w:tbl>
      <w:tblPr>
        <w:tblW w:type="dxa" w:w="10306"/>
        <w:tblBorders>
          <w:top w:val="none" w:color="FFFFFF" w:sz="0"/>
          <w:left w:val="none" w:color="FFFFFF" w:sz="0"/>
          <w:bottom w:val="none" w:color="FFFFFF" w:sz="0"/>
          <w:right w:val="none" w:color="FFFFFF" w:sz="0"/>
          <w:insideH w:val="single" w:color="auto" w:sz="4"/>
          <w:insideV w:val="single" w:color="auto" w:sz="4"/>
        </w:tblBorders>
      </w:tblPr>
      <w:tblGrid>
        <w:gridCol w:w="5153"/>
        <w:gridCol w:w="5153"/>
      </w:tblGrid>
      <w:tr>
        <w:tc>
          <w:tcPr>
            <w:tcW w:type="dxa" w:w="5153"/>
            <w:tcBorders>
              <w:top w:val="none" w:color="FFFFFF" w:sz="0"/>
              <w:left w:val="none" w:color="FFFFFF" w:sz="0"/>
              <w:bottom w:val="single" w:color="4A5468" w:sz="6"/>
              <w:right w:val="none" w:color="FFFFFF" w:sz="0"/>
            </w:tcBorders>
            <w:tcMar>
              <w:top w:type="dxa" w:w="280"/>
              <w:left w:type="dxa" w:w="100"/>
              <w:bottom w:type="dxa" w:w="0"/>
              <w:right w:type="dxa" w:w="100"/>
            </w:tcMar>
          </w:tcPr>
          <w:p>
            <w:pPr>
              <w:spacing w:after="0" w:before="0"/>
            </w:pPr>
          </w:p>
        </w:tc>
        <w:tc>
          <w:tcPr>
            <w:tcW w:type="dxa" w:w="5153"/>
            <w:tcBorders>
              <w:top w:val="none" w:color="FFFFFF" w:sz="0"/>
              <w:left w:val="none" w:color="FFFFFF" w:sz="0"/>
              <w:bottom w:val="single" w:color="4A5468" w:sz="6"/>
              <w:right w:val="none" w:color="FFFFFF" w:sz="0"/>
            </w:tcBorders>
            <w:tcMar>
              <w:top w:type="dxa" w:w="280"/>
              <w:left w:type="dxa" w:w="100"/>
              <w:bottom w:type="dxa" w:w="0"/>
              <w:right w:type="dxa" w:w="100"/>
            </w:tcMar>
          </w:tcPr>
          <w:p>
            <w:pPr>
              <w:spacing w:after="0" w:before="0"/>
            </w:pPr>
          </w:p>
        </w:tc>
      </w:tr>
      <w:tr>
        <w:tc>
          <w:tcPr>
            <w:tcW w:type="dxa" w:w="5153"/>
            <w:tcBorders>
              <w:top w:val="none" w:color="FFFFFF" w:sz="0"/>
              <w:left w:val="none" w:color="FFFFFF" w:sz="0"/>
              <w:bottom w:val="none" w:color="FFFFFF" w:sz="0"/>
              <w:right w:val="none" w:color="FFFFFF" w:sz="0"/>
            </w:tcBorders>
            <w:tcMar>
              <w:top w:type="dxa" w:w="60"/>
              <w:left w:type="dxa" w:w="100"/>
              <w:bottom w:type="dxa" w:w="0"/>
              <w:right w:type="dxa" w:w="100"/>
            </w:tcMar>
          </w:tcPr>
          <w:p>
            <w:pPr>
              <w:spacing w:after="10" w:before="0"/>
              <w:jc w:val="center"/>
            </w:pPr>
            <w:r>
              <w:rPr>
                <w:rFonts w:ascii="Calibri" w:cs="Calibri" w:eastAsia="Calibri" w:hAnsi="Calibri"/>
                <w:b/>
                <w:bCs/>
                <w:i w:val="false"/>
                <w:iCs w:val="false"/>
                <w:caps/>
                <w:color w:val="4A5468"/>
                <w:spacing w:val="10"/>
                <w:sz w:val="16"/>
                <w:szCs w:val="16"/>
              </w:rPr>
              <w:t xml:space="preserve">Registrar</w:t>
            </w:r>
          </w:p>
          <w:p>
            <w:pPr>
              <w:spacing w:after="0" w:before="0"/>
              <w:jc w:val="center"/>
            </w:pPr>
            <w:r>
              <w:rPr>
                <w:rFonts w:ascii="Calibri" w:cs="Calibri" w:eastAsia="Calibri" w:hAnsi="Calibri"/>
                <w:b w:val="false"/>
                <w:bCs w:val="false"/>
                <w:i w:val="false"/>
                <w:iCs w:val="false"/>
                <w:caps w:val="false"/>
                <w:color w:val="7B8496"/>
                <w:sz w:val="14"/>
                <w:szCs w:val="14"/>
              </w:rPr>
              <w:t xml:space="preserve">Name and signature</w:t>
            </w:r>
          </w:p>
        </w:tc>
        <w:tc>
          <w:tcPr>
            <w:tcW w:type="dxa" w:w="5153"/>
            <w:tcBorders>
              <w:top w:val="none" w:color="FFFFFF" w:sz="0"/>
              <w:left w:val="none" w:color="FFFFFF" w:sz="0"/>
              <w:bottom w:val="none" w:color="FFFFFF" w:sz="0"/>
              <w:right w:val="none" w:color="FFFFFF" w:sz="0"/>
            </w:tcBorders>
            <w:tcMar>
              <w:top w:type="dxa" w:w="60"/>
              <w:left w:type="dxa" w:w="100"/>
              <w:bottom w:type="dxa" w:w="0"/>
              <w:right w:type="dxa" w:w="100"/>
            </w:tcMar>
          </w:tcPr>
          <w:p>
            <w:pPr>
              <w:spacing w:after="10" w:before="0"/>
              <w:jc w:val="center"/>
            </w:pPr>
            <w:r>
              <w:rPr>
                <w:rFonts w:ascii="Calibri" w:cs="Calibri" w:eastAsia="Calibri" w:hAnsi="Calibri"/>
                <w:b/>
                <w:bCs/>
                <w:i w:val="false"/>
                <w:iCs w:val="false"/>
                <w:caps/>
                <w:color w:val="4A5468"/>
                <w:spacing w:val="10"/>
                <w:sz w:val="16"/>
                <w:szCs w:val="16"/>
              </w:rPr>
              <w:t xml:space="preserve">Date</w:t>
            </w:r>
          </w:p>
          <w:p>
            <w:pPr>
              <w:spacing w:after="0" w:before="0"/>
              <w:jc w:val="center"/>
            </w:pPr>
            <w:r>
              <w:rPr>
                <w:rFonts w:ascii="Calibri" w:cs="Calibri" w:eastAsia="Calibri" w:hAnsi="Calibri"/>
                <w:b w:val="false"/>
                <w:bCs w:val="false"/>
                <w:i w:val="false"/>
                <w:iCs w:val="false"/>
                <w:caps w:val="false"/>
                <w:color w:val="7B8496"/>
                <w:sz w:val="14"/>
                <w:szCs w:val="14"/>
              </w:rPr>
              <w:t xml:space="preserve">Day / month / year</w:t>
            </w:r>
          </w:p>
        </w:tc>
      </w:tr>
    </w:tbl>
    <w:sectPr>
      <w:footerReference w:type="default" r:id="rId7"/>
      <w:pgSz w:w="11906" w:h="16838" w:orient="portrait"/>
      <w:pgMar w:top="800" w:right="800" w:bottom="700" w:left="800" w:header="708"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8EF" w:sz="4"/>
      </w:pBdr>
      <w:spacing w:after="0" w:before="0"/>
    </w:pPr>
    <w:r>
      <w:rPr>
        <w:rFonts w:ascii="Calibri" w:cs="Calibri" w:eastAsia="Calibri" w:hAnsi="Calibri"/>
        <w:b/>
        <w:bCs/>
        <w:i w:val="false"/>
        <w:iCs w:val="false"/>
        <w:caps w:val="false"/>
        <w:color w:val="9A7B3F"/>
        <w:spacing w:val="16"/>
        <w:sz w:val="13"/>
        <w:szCs w:val="13"/>
      </w:rPr>
      <w:t xml:space="preserve">SPECIMEN — SAMPLE FORMAT</w:t>
    </w:r>
    <w:r>
      <w:ptab w:alignment="right" w:relativeTo="margin" w:leader="none"/>
    </w:r>
    <w:r>
      <w:rPr>
        <w:rFonts w:ascii="Calibri" w:cs="Calibri" w:eastAsia="Calibri" w:hAnsi="Calibri"/>
        <w:b w:val="false"/>
        <w:bCs w:val="false"/>
        <w:i w:val="false"/>
        <w:iCs w:val="false"/>
        <w:caps w:val="false"/>
        <w:color w:val="7B8496"/>
        <w:sz w:val="13"/>
        <w:szCs w:val="13"/>
      </w:rPr>
      <w:t xml:space="preserve">Grade-conversion statement · not a Cambridge International award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23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Cumulative Grade Point Average</dc:title>
  <dc:creator>Office of the Registrar</dc:creator>
  <dc:description>Specimen CGPA conversion certificate</dc:description>
  <cp:lastModifiedBy>Un-named</cp:lastModifiedBy>
  <cp:revision>1</cp:revision>
  <dcterms:created xsi:type="dcterms:W3CDTF">2026-09-22T12:32:09.337Z</dcterms:created>
  <dcterms:modified xsi:type="dcterms:W3CDTF">2026-09-22T12:32:09.339Z</dcterms:modified>
</cp:coreProperties>
</file>

<file path=docProps/custom.xml><?xml version="1.0" encoding="utf-8"?>
<Properties xmlns="http://schemas.openxmlformats.org/officeDocument/2006/custom-properties" xmlns:vt="http://schemas.openxmlformats.org/officeDocument/2006/docPropsVTypes"/>
</file>