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Highlights</w:t>
      </w:r>
    </w:p>
    <w:p>
      <w:r>
        <w:t>• LLM agents reproduce global-game thresholds from prose private signals.</w:t>
      </w:r>
    </w:p>
    <w:p>
      <w:r>
        <w:t>• Pre-play communication turns private briefings into social information.</w:t>
      </w:r>
    </w:p>
    <w:p>
      <w:r>
        <w:t>• Sender-side monitoring alone suppresses joining in clean prompt reruns.</w:t>
      </w:r>
    </w:p>
    <w:p>
      <w:r>
        <w:t>• In a restricted elicitation, beliefs stay stable while actions fall.</w:t>
      </w:r>
    </w:p>
    <w:p>
      <w:r>
        <w:t>• Surveillance leaves weakness cues present but shifts them into coded speech.</w:t>
      </w:r>
    </w:p>
    <w:sectPr>
      <w:pgSz w:w="12240" w:h="15840"/>
      <w:pgMar w:top="1440" w:right="1440" w:bottom="1440" w:left="1440"/>
    </w:sectPr>
  </w:body>
</w:document>
</file>