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F5C" w:rsidRPr="00086864" w:rsidRDefault="00DE564C" w:rsidP="00086864">
      <w:pPr>
        <w:spacing w:after="0"/>
        <w:jc w:val="both"/>
        <w:rPr>
          <w:rFonts w:ascii="Century Gothic" w:hAnsi="Century Gothic"/>
          <w:b/>
        </w:rPr>
      </w:pPr>
      <w:bookmarkStart w:id="0" w:name="_GoBack"/>
      <w:bookmarkEnd w:id="0"/>
      <w:r w:rsidRPr="00086864">
        <w:rPr>
          <w:rFonts w:ascii="Century Gothic" w:hAnsi="Century Gothic"/>
          <w:b/>
        </w:rPr>
        <w:t>Rizal’s Life in Berlin</w:t>
      </w:r>
    </w:p>
    <w:p w:rsidR="00DE564C" w:rsidRPr="00086864" w:rsidRDefault="00DE564C" w:rsidP="00086864">
      <w:pPr>
        <w:spacing w:after="0"/>
        <w:jc w:val="both"/>
        <w:rPr>
          <w:rFonts w:ascii="Century Gothic" w:hAnsi="Century Gothic"/>
        </w:rPr>
      </w:pPr>
      <w:r w:rsidRPr="00086864">
        <w:rPr>
          <w:rFonts w:ascii="Century Gothic" w:hAnsi="Century Gothic"/>
        </w:rPr>
        <w:tab/>
        <w:t>In Berlin, Rizal was not a mere student or a curious tourist. He lived in this famous capital of unified Germany for he wanted to</w:t>
      </w:r>
      <w:r w:rsidR="00086864" w:rsidRPr="00086864">
        <w:rPr>
          <w:rFonts w:ascii="Century Gothic" w:hAnsi="Century Gothic"/>
        </w:rPr>
        <w:t>:</w:t>
      </w:r>
      <w:r w:rsidRPr="00086864">
        <w:rPr>
          <w:rFonts w:ascii="Century Gothic" w:hAnsi="Century Gothic"/>
        </w:rPr>
        <w:t xml:space="preserve"> gain further </w:t>
      </w:r>
      <w:r w:rsidR="00086864" w:rsidRPr="00086864">
        <w:rPr>
          <w:rFonts w:ascii="Century Gothic" w:hAnsi="Century Gothic"/>
        </w:rPr>
        <w:t xml:space="preserve">knowledge of ophthalmology; </w:t>
      </w:r>
      <w:r w:rsidRPr="00086864">
        <w:rPr>
          <w:rFonts w:ascii="Century Gothic" w:hAnsi="Century Gothic"/>
        </w:rPr>
        <w:t>further his studies of sciences and languages; observe the economic and political condition of the Ge</w:t>
      </w:r>
      <w:r w:rsidR="00086864" w:rsidRPr="00086864">
        <w:rPr>
          <w:rFonts w:ascii="Century Gothic" w:hAnsi="Century Gothic"/>
        </w:rPr>
        <w:t xml:space="preserve">rman nation; </w:t>
      </w:r>
      <w:r w:rsidRPr="00086864">
        <w:rPr>
          <w:rFonts w:ascii="Century Gothic" w:hAnsi="Century Gothic"/>
        </w:rPr>
        <w:t>associate with famous German scientists and scholars; and publ</w:t>
      </w:r>
      <w:r w:rsidR="00086864" w:rsidRPr="00086864">
        <w:rPr>
          <w:rFonts w:ascii="Century Gothic" w:hAnsi="Century Gothic"/>
        </w:rPr>
        <w:t>ish his novel, Noli Me Tangere.</w:t>
      </w:r>
    </w:p>
    <w:p w:rsidR="00086864" w:rsidRPr="00086864" w:rsidRDefault="00086864" w:rsidP="00086864">
      <w:pPr>
        <w:spacing w:after="0"/>
        <w:jc w:val="both"/>
        <w:rPr>
          <w:rFonts w:ascii="Century Gothic" w:hAnsi="Century Gothic"/>
        </w:rPr>
      </w:pPr>
    </w:p>
    <w:p w:rsidR="00DE564C" w:rsidRPr="00086864" w:rsidRDefault="00DE564C" w:rsidP="00086864">
      <w:pPr>
        <w:spacing w:after="0"/>
        <w:jc w:val="both"/>
        <w:rPr>
          <w:rFonts w:ascii="Century Gothic" w:hAnsi="Century Gothic"/>
          <w:b/>
        </w:rPr>
      </w:pPr>
      <w:r w:rsidRPr="00086864">
        <w:rPr>
          <w:rFonts w:ascii="Century Gothic" w:hAnsi="Century Gothic"/>
          <w:b/>
        </w:rPr>
        <w:t>Decision to return home</w:t>
      </w:r>
    </w:p>
    <w:p w:rsidR="00DE564C" w:rsidRPr="00086864" w:rsidRDefault="00DE564C" w:rsidP="00086864">
      <w:pPr>
        <w:spacing w:after="0"/>
        <w:jc w:val="both"/>
        <w:rPr>
          <w:rFonts w:ascii="Century Gothic" w:hAnsi="Century Gothic"/>
        </w:rPr>
      </w:pPr>
      <w:r w:rsidRPr="00086864">
        <w:rPr>
          <w:rFonts w:ascii="Century Gothic" w:hAnsi="Century Gothic"/>
        </w:rPr>
        <w:tab/>
        <w:t>Because of the publication of the Noli and the uproar it caused among friars, Rizal was warned not to return home. But he did not heed their warning, he wa</w:t>
      </w:r>
      <w:r w:rsidR="00086864" w:rsidRPr="00086864">
        <w:rPr>
          <w:rFonts w:ascii="Century Gothic" w:hAnsi="Century Gothic"/>
        </w:rPr>
        <w:t>s determined to go home  to operate on his mother’s eyes, serve his people who had long been oppressed by Spanish tyrants, find out for himself how the Noli and his other writings were affecting Filipinos and Spaniards in the Philippines and inquire why Leonor Rivera remained silent.</w:t>
      </w:r>
    </w:p>
    <w:p w:rsidR="00086864" w:rsidRPr="00086864" w:rsidRDefault="00086864" w:rsidP="00086864">
      <w:pPr>
        <w:spacing w:after="0"/>
        <w:jc w:val="both"/>
        <w:rPr>
          <w:rFonts w:ascii="Century Gothic" w:hAnsi="Century Gothic"/>
        </w:rPr>
      </w:pPr>
    </w:p>
    <w:p w:rsidR="00086864" w:rsidRPr="00086864" w:rsidRDefault="00F534FC" w:rsidP="00086864">
      <w:pPr>
        <w:spacing w:after="0"/>
        <w:jc w:val="both"/>
        <w:rPr>
          <w:rFonts w:ascii="Century Gothic" w:hAnsi="Century Gothic"/>
          <w:b/>
        </w:rPr>
      </w:pPr>
      <w:r>
        <w:rPr>
          <w:rFonts w:ascii="Century Gothic" w:hAnsi="Century Gothic"/>
          <w:b/>
        </w:rPr>
        <w:t xml:space="preserve">Beset of </w:t>
      </w:r>
      <w:r w:rsidR="00086864" w:rsidRPr="00086864">
        <w:rPr>
          <w:rFonts w:ascii="Century Gothic" w:hAnsi="Century Gothic"/>
          <w:b/>
        </w:rPr>
        <w:t>Noli</w:t>
      </w:r>
    </w:p>
    <w:p w:rsidR="00086864" w:rsidRPr="00086864" w:rsidRDefault="00086864" w:rsidP="00086864">
      <w:pPr>
        <w:spacing w:after="0"/>
        <w:jc w:val="both"/>
        <w:rPr>
          <w:rFonts w:ascii="Century Gothic" w:hAnsi="Century Gothic"/>
        </w:rPr>
      </w:pPr>
      <w:r w:rsidRPr="00086864">
        <w:rPr>
          <w:rFonts w:ascii="Century Gothic" w:hAnsi="Century Gothic"/>
        </w:rPr>
        <w:tab/>
        <w:t>The battle over the Noli took the form of a virulent war of words. Father Font, printed his report and distributed copies of it in order to discredit the controversial novel. Another Augustinian, Fr. Jose Rodriguez, Prior of Guadalupe, published a series of pamphlets.</w:t>
      </w:r>
    </w:p>
    <w:p w:rsidR="00086864" w:rsidRPr="00086864" w:rsidRDefault="00086864" w:rsidP="00086864">
      <w:pPr>
        <w:spacing w:after="0"/>
        <w:jc w:val="both"/>
        <w:rPr>
          <w:rFonts w:ascii="Century Gothic" w:hAnsi="Century Gothic"/>
          <w:b/>
        </w:rPr>
      </w:pPr>
    </w:p>
    <w:p w:rsidR="00086864" w:rsidRDefault="00F534FC" w:rsidP="00086864">
      <w:pPr>
        <w:spacing w:after="0"/>
        <w:jc w:val="both"/>
        <w:rPr>
          <w:rFonts w:ascii="Century Gothic" w:hAnsi="Century Gothic"/>
        </w:rPr>
      </w:pPr>
      <w:r>
        <w:rPr>
          <w:rFonts w:ascii="Century Gothic" w:hAnsi="Century Gothic"/>
          <w:b/>
        </w:rPr>
        <w:t>Praise</w:t>
      </w:r>
      <w:r w:rsidR="00086864" w:rsidRPr="00086864">
        <w:rPr>
          <w:rFonts w:ascii="Century Gothic" w:hAnsi="Century Gothic"/>
          <w:b/>
        </w:rPr>
        <w:t xml:space="preserve"> of Noli</w:t>
      </w:r>
    </w:p>
    <w:p w:rsidR="000B16DB" w:rsidRDefault="000B16DB" w:rsidP="000B16DB">
      <w:pPr>
        <w:spacing w:after="0"/>
        <w:ind w:firstLine="720"/>
        <w:jc w:val="both"/>
        <w:rPr>
          <w:rFonts w:ascii="Century Gothic" w:hAnsi="Century Gothic"/>
        </w:rPr>
      </w:pPr>
      <w:r>
        <w:rPr>
          <w:rFonts w:ascii="Century Gothic" w:hAnsi="Century Gothic"/>
        </w:rPr>
        <w:t xml:space="preserve">The much-maligned Noli had its gallant defenders who fearlessly came out to prove the merits of the novel or to efute the arguments of the unkind attackers. Father Sanchez, Rizal’s favourite teacher at the Ateneo, defended and praised it in public. Don Segismundo Moret, Dr. Miguel Morayta, and Prof. Blumentritt read and liked the novel. </w:t>
      </w:r>
      <w:r w:rsidR="00086864" w:rsidRPr="00086864">
        <w:rPr>
          <w:rFonts w:ascii="Century Gothic" w:hAnsi="Century Gothic"/>
        </w:rPr>
        <w:t>A bri</w:t>
      </w:r>
      <w:r w:rsidR="00086864">
        <w:rPr>
          <w:rFonts w:ascii="Century Gothic" w:hAnsi="Century Gothic"/>
        </w:rPr>
        <w:t xml:space="preserve">lliant defense of the Noli came from an unexpected source. It was by Rev. Vicente Garcia, a Filipino Catholic priest-scholar, </w:t>
      </w:r>
      <w:r>
        <w:rPr>
          <w:rFonts w:ascii="Century Gothic" w:hAnsi="Century Gothic"/>
        </w:rPr>
        <w:t>wrote a defense of the Noli which was published in Singapore.</w:t>
      </w:r>
    </w:p>
    <w:p w:rsidR="000B16DB" w:rsidRDefault="000B16DB" w:rsidP="000B16DB">
      <w:pPr>
        <w:spacing w:after="0"/>
        <w:jc w:val="both"/>
        <w:rPr>
          <w:rFonts w:ascii="Century Gothic" w:hAnsi="Century Gothic"/>
        </w:rPr>
      </w:pPr>
    </w:p>
    <w:p w:rsidR="000B16DB" w:rsidRPr="00F534FC" w:rsidRDefault="000B16DB" w:rsidP="000B16DB">
      <w:pPr>
        <w:spacing w:after="0"/>
        <w:jc w:val="both"/>
        <w:rPr>
          <w:rFonts w:ascii="Century Gothic" w:hAnsi="Century Gothic"/>
          <w:b/>
        </w:rPr>
      </w:pPr>
      <w:r w:rsidRPr="00F534FC">
        <w:rPr>
          <w:rFonts w:ascii="Century Gothic" w:hAnsi="Century Gothic"/>
          <w:b/>
        </w:rPr>
        <w:t>Trouble in Calamba</w:t>
      </w:r>
    </w:p>
    <w:p w:rsidR="00F534FC" w:rsidRDefault="000B16DB" w:rsidP="000B16DB">
      <w:pPr>
        <w:spacing w:after="0"/>
        <w:jc w:val="both"/>
        <w:rPr>
          <w:rFonts w:ascii="Century Gothic" w:hAnsi="Century Gothic"/>
        </w:rPr>
      </w:pPr>
      <w:r>
        <w:rPr>
          <w:rFonts w:ascii="Century Gothic" w:hAnsi="Century Gothic"/>
        </w:rPr>
        <w:tab/>
        <w:t xml:space="preserve">After a thorough study of the </w:t>
      </w:r>
      <w:r w:rsidR="00F534FC">
        <w:rPr>
          <w:rFonts w:ascii="Century Gothic" w:hAnsi="Century Gothic"/>
        </w:rPr>
        <w:t xml:space="preserve">conditions in Calamba, Rizal wrote down his findings which tenants and officials signed and submitted to the gov’t for actions: hacienda of the Dominican comprised not only the lands but the town of Calamba; profits of the Dominican order increase because of arbitrary increase of rentals paid by the tenants; high rates of interests. </w:t>
      </w:r>
    </w:p>
    <w:p w:rsidR="00F534FC" w:rsidRDefault="00F534FC" w:rsidP="000B16DB">
      <w:pPr>
        <w:spacing w:after="0"/>
        <w:jc w:val="both"/>
        <w:rPr>
          <w:rFonts w:ascii="Century Gothic" w:hAnsi="Century Gothic"/>
        </w:rPr>
      </w:pPr>
    </w:p>
    <w:p w:rsidR="00F534FC" w:rsidRPr="00F534FC" w:rsidRDefault="00F534FC" w:rsidP="000B16DB">
      <w:pPr>
        <w:spacing w:after="0"/>
        <w:jc w:val="both"/>
        <w:rPr>
          <w:rFonts w:ascii="Century Gothic" w:hAnsi="Century Gothic"/>
          <w:b/>
        </w:rPr>
      </w:pPr>
      <w:r w:rsidRPr="00F534FC">
        <w:rPr>
          <w:rFonts w:ascii="Century Gothic" w:hAnsi="Century Gothic"/>
          <w:b/>
        </w:rPr>
        <w:t>Farewell to Calamba</w:t>
      </w:r>
    </w:p>
    <w:p w:rsidR="00F534FC" w:rsidRDefault="00F534FC" w:rsidP="000B16DB">
      <w:pPr>
        <w:spacing w:after="0"/>
        <w:jc w:val="both"/>
        <w:rPr>
          <w:rFonts w:ascii="Century Gothic" w:hAnsi="Century Gothic"/>
        </w:rPr>
      </w:pPr>
      <w:r>
        <w:rPr>
          <w:rFonts w:ascii="Century Gothic" w:hAnsi="Century Gothic"/>
        </w:rPr>
        <w:tab/>
        <w:t xml:space="preserve">A valiant hero that he was, he was not afraid of any man and neither he was afraid to die but he had to left Calamba </w:t>
      </w:r>
      <w:r w:rsidR="00D372BD">
        <w:rPr>
          <w:rFonts w:ascii="Century Gothic" w:hAnsi="Century Gothic"/>
        </w:rPr>
        <w:t xml:space="preserve">because, his presence in Calamba was jeopardizing the safety and happiness of his family and friends; and he could fight better his enemies and serve his country’s cause with greater efficacy by writing in foreign countries. </w:t>
      </w:r>
    </w:p>
    <w:p w:rsidR="000B16DB" w:rsidRPr="00086864" w:rsidRDefault="000B16DB" w:rsidP="000B16DB">
      <w:pPr>
        <w:spacing w:after="0"/>
        <w:jc w:val="both"/>
        <w:rPr>
          <w:rFonts w:ascii="Century Gothic" w:hAnsi="Century Gothic"/>
        </w:rPr>
      </w:pPr>
    </w:p>
    <w:p w:rsidR="00DE564C" w:rsidRPr="00086864" w:rsidRDefault="00DE564C" w:rsidP="00086864">
      <w:pPr>
        <w:spacing w:after="0"/>
        <w:jc w:val="both"/>
        <w:rPr>
          <w:sz w:val="20"/>
        </w:rPr>
      </w:pPr>
    </w:p>
    <w:sectPr w:rsidR="00DE564C" w:rsidRPr="00086864" w:rsidSect="00DE564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B7"/>
    <w:rsid w:val="00040037"/>
    <w:rsid w:val="00086864"/>
    <w:rsid w:val="000B16DB"/>
    <w:rsid w:val="004A4696"/>
    <w:rsid w:val="007B0B8F"/>
    <w:rsid w:val="00A24FC4"/>
    <w:rsid w:val="00A33CAC"/>
    <w:rsid w:val="00AA7717"/>
    <w:rsid w:val="00B166B7"/>
    <w:rsid w:val="00BF7B09"/>
    <w:rsid w:val="00C877BB"/>
    <w:rsid w:val="00D372BD"/>
    <w:rsid w:val="00DE564C"/>
    <w:rsid w:val="00F534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80F5A-256B-4C80-92D2-1474E8BB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Florilyn Villaflores</dc:creator>
  <cp:keywords/>
  <dc:description/>
  <cp:lastModifiedBy>Florilyn Villaflores</cp:lastModifiedBy>
  <cp:revision>2</cp:revision>
  <dcterms:created xsi:type="dcterms:W3CDTF">2019-12-16T01:00:00Z</dcterms:created>
  <dcterms:modified xsi:type="dcterms:W3CDTF">2019-12-16T06:08:00Z</dcterms:modified>
</cp:coreProperties>
</file>