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sz w:val="24"/>
          <w:szCs w:val="24"/>
        </w:rPr>
      </w:pPr>
      <w:r w:rsidDel="00000000" w:rsidR="00000000" w:rsidRPr="00000000">
        <w:rPr>
          <w:sz w:val="24"/>
          <w:szCs w:val="24"/>
          <w:rtl w:val="0"/>
        </w:rPr>
        <w:t xml:space="preserve">The </w:t>
      </w:r>
      <w:hyperlink r:id="rId6">
        <w:r w:rsidDel="00000000" w:rsidR="00000000" w:rsidRPr="00000000">
          <w:rPr>
            <w:b w:val="1"/>
            <w:color w:val="1155cc"/>
            <w:sz w:val="24"/>
            <w:szCs w:val="24"/>
            <w:u w:val="single"/>
            <w:rtl w:val="0"/>
          </w:rPr>
          <w:t xml:space="preserve">Common Task Framework (CTF)</w:t>
        </w:r>
      </w:hyperlink>
      <w:r w:rsidDel="00000000" w:rsidR="00000000" w:rsidRPr="00000000">
        <w:rPr>
          <w:sz w:val="24"/>
          <w:szCs w:val="24"/>
          <w:rtl w:val="0"/>
        </w:rPr>
        <w:t xml:space="preserve"> is an approach for testing, evaluation, and benchmarking that involves a group or community working on a common, well-defined task using a particular, shared dataset, with their solutions evaluated using clearly defined and objective metrics.</w:t>
      </w:r>
    </w:p>
    <w:p w:rsidR="00000000" w:rsidDel="00000000" w:rsidP="00000000" w:rsidRDefault="00000000" w:rsidRPr="00000000" w14:paraId="00000002">
      <w:pPr>
        <w:spacing w:after="240" w:before="240" w:line="360" w:lineRule="auto"/>
        <w:rPr>
          <w:sz w:val="24"/>
          <w:szCs w:val="24"/>
        </w:rPr>
      </w:pPr>
      <w:r w:rsidDel="00000000" w:rsidR="00000000" w:rsidRPr="00000000">
        <w:rPr>
          <w:sz w:val="24"/>
          <w:szCs w:val="24"/>
          <w:rtl w:val="0"/>
        </w:rPr>
        <w:t xml:space="preserve">Here's a breakdown of its key components and characteristics as described in the provided </w:t>
      </w:r>
      <w:hyperlink r:id="rId7">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w:t>
      </w:r>
    </w:p>
    <w:p w:rsidR="00000000" w:rsidDel="00000000" w:rsidP="00000000" w:rsidRDefault="00000000" w:rsidRPr="00000000" w14:paraId="00000003">
      <w:pPr>
        <w:numPr>
          <w:ilvl w:val="0"/>
          <w:numId w:val="1"/>
        </w:numPr>
        <w:spacing w:after="0" w:afterAutospacing="0" w:before="240" w:line="360" w:lineRule="auto"/>
        <w:ind w:left="720" w:hanging="360"/>
        <w:rPr>
          <w:sz w:val="24"/>
          <w:szCs w:val="24"/>
        </w:rPr>
      </w:pPr>
      <w:r w:rsidDel="00000000" w:rsidR="00000000" w:rsidRPr="00000000">
        <w:rPr>
          <w:b w:val="1"/>
          <w:sz w:val="24"/>
          <w:szCs w:val="24"/>
          <w:rtl w:val="0"/>
        </w:rPr>
        <w:t xml:space="preserve">Common Task</w:t>
      </w:r>
      <w:r w:rsidDel="00000000" w:rsidR="00000000" w:rsidRPr="00000000">
        <w:rPr>
          <w:sz w:val="24"/>
          <w:szCs w:val="24"/>
          <w:rtl w:val="0"/>
        </w:rPr>
        <w:t xml:space="preserve">: There is a specific, well-defined task that all participants work to address. For the Space Domain Awareness (SDA) TAP Lab, these tasks are often derived from challenges faced by Space Force operators, such as processing Uncorrelated Tracks (UCTs) or predicting conjunctions.</w:t>
        <w:br w:type="textWrapping"/>
      </w:r>
    </w:p>
    <w:p w:rsidR="00000000" w:rsidDel="00000000" w:rsidP="00000000" w:rsidRDefault="00000000" w:rsidRPr="00000000" w14:paraId="00000004">
      <w:pPr>
        <w:numPr>
          <w:ilvl w:val="0"/>
          <w:numId w:val="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Shared Dataset</w:t>
      </w:r>
      <w:r w:rsidDel="00000000" w:rsidR="00000000" w:rsidRPr="00000000">
        <w:rPr>
          <w:sz w:val="24"/>
          <w:szCs w:val="24"/>
          <w:rtl w:val="0"/>
        </w:rPr>
        <w:t xml:space="preserve">: A fixed dataset is available to all participants. This dataset is typically separated into </w:t>
      </w:r>
      <w:r w:rsidDel="00000000" w:rsidR="00000000" w:rsidRPr="00000000">
        <w:rPr>
          <w:b w:val="1"/>
          <w:sz w:val="24"/>
          <w:szCs w:val="24"/>
          <w:rtl w:val="0"/>
        </w:rPr>
        <w:t xml:space="preserve">input</w:t>
      </w:r>
      <w:r w:rsidDel="00000000" w:rsidR="00000000" w:rsidRPr="00000000">
        <w:rPr>
          <w:sz w:val="24"/>
          <w:szCs w:val="24"/>
          <w:rtl w:val="0"/>
        </w:rPr>
        <w:t xml:space="preserve"> and </w:t>
      </w:r>
      <w:r w:rsidDel="00000000" w:rsidR="00000000" w:rsidRPr="00000000">
        <w:rPr>
          <w:b w:val="1"/>
          <w:sz w:val="24"/>
          <w:szCs w:val="24"/>
          <w:rtl w:val="0"/>
        </w:rPr>
        <w:t xml:space="preserve">response</w:t>
      </w:r>
      <w:r w:rsidDel="00000000" w:rsidR="00000000" w:rsidRPr="00000000">
        <w:rPr>
          <w:sz w:val="24"/>
          <w:szCs w:val="24"/>
          <w:rtl w:val="0"/>
        </w:rPr>
        <w:t xml:space="preserve"> variables and is often divided into </w:t>
      </w:r>
      <w:r w:rsidDel="00000000" w:rsidR="00000000" w:rsidRPr="00000000">
        <w:rPr>
          <w:b w:val="1"/>
          <w:sz w:val="24"/>
          <w:szCs w:val="24"/>
          <w:rtl w:val="0"/>
        </w:rPr>
        <w:t xml:space="preserve">training, validation, and testing</w:t>
      </w:r>
      <w:r w:rsidDel="00000000" w:rsidR="00000000" w:rsidRPr="00000000">
        <w:rPr>
          <w:sz w:val="24"/>
          <w:szCs w:val="24"/>
          <w:rtl w:val="0"/>
        </w:rPr>
        <w:t xml:space="preserve"> subsets to allow for algorithm development and robust, unbiased evaluation. Data can be sourced from real-world repositories like the Unified Data Library (UDL) or generated via modeling and simulation.</w:t>
        <w:br w:type="textWrapping"/>
      </w:r>
    </w:p>
    <w:p w:rsidR="00000000" w:rsidDel="00000000" w:rsidP="00000000" w:rsidRDefault="00000000" w:rsidRPr="00000000" w14:paraId="00000005">
      <w:pPr>
        <w:numPr>
          <w:ilvl w:val="0"/>
          <w:numId w:val="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Clear Evaluation Metrics</w:t>
      </w:r>
      <w:r w:rsidDel="00000000" w:rsidR="00000000" w:rsidRPr="00000000">
        <w:rPr>
          <w:sz w:val="24"/>
          <w:szCs w:val="24"/>
          <w:rtl w:val="0"/>
        </w:rPr>
        <w:t xml:space="preserve">: Solutions developed for the common task are evaluated using established, objective metrics. Standard metrics from machine learning, such as </w:t>
      </w:r>
      <w:r w:rsidDel="00000000" w:rsidR="00000000" w:rsidRPr="00000000">
        <w:rPr>
          <w:b w:val="1"/>
          <w:sz w:val="24"/>
          <w:szCs w:val="24"/>
          <w:rtl w:val="0"/>
        </w:rPr>
        <w:t xml:space="preserve">precision, recall, and Mean Square Error (MSE)</w:t>
      </w:r>
      <w:r w:rsidDel="00000000" w:rsidR="00000000" w:rsidRPr="00000000">
        <w:rPr>
          <w:sz w:val="24"/>
          <w:szCs w:val="24"/>
          <w:rtl w:val="0"/>
        </w:rPr>
        <w:t xml:space="preserve">, are often used, with potential adaptations for specific SDA tasks, like weighting cases by operational importance.</w:t>
        <w:br w:type="textWrapping"/>
      </w:r>
    </w:p>
    <w:p w:rsidR="00000000" w:rsidDel="00000000" w:rsidP="00000000" w:rsidRDefault="00000000" w:rsidRPr="00000000" w14:paraId="00000006">
      <w:pPr>
        <w:numPr>
          <w:ilvl w:val="0"/>
          <w:numId w:val="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The CTF is designed to:</w:t>
      </w:r>
    </w:p>
    <w:p w:rsidR="00000000" w:rsidDel="00000000" w:rsidP="00000000" w:rsidRDefault="00000000" w:rsidRPr="00000000" w14:paraId="00000007">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Quantify the performance of algorithms.</w:t>
      </w:r>
    </w:p>
    <w:p w:rsidR="00000000" w:rsidDel="00000000" w:rsidP="00000000" w:rsidRDefault="00000000" w:rsidRPr="00000000" w14:paraId="00000008">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Enable objective comparisons between different proposed solutions.</w:t>
      </w:r>
    </w:p>
    <w:p w:rsidR="00000000" w:rsidDel="00000000" w:rsidP="00000000" w:rsidRDefault="00000000" w:rsidRPr="00000000" w14:paraId="00000009">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Track the state-of-the-art (SOTA) over time, which helps to spur innovation.</w:t>
      </w:r>
    </w:p>
    <w:p w:rsidR="00000000" w:rsidDel="00000000" w:rsidP="00000000" w:rsidRDefault="00000000" w:rsidRPr="00000000" w14:paraId="0000000A">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Facilitate the efficient and effective transfer of technology to operators.</w:t>
      </w:r>
    </w:p>
    <w:p w:rsidR="00000000" w:rsidDel="00000000" w:rsidP="00000000" w:rsidRDefault="00000000" w:rsidRPr="00000000" w14:paraId="0000000B">
      <w:pPr>
        <w:numPr>
          <w:ilvl w:val="0"/>
          <w:numId w:val="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Transparency and Rigor</w:t>
      </w:r>
      <w:r w:rsidDel="00000000" w:rsidR="00000000" w:rsidRPr="00000000">
        <w:rPr>
          <w:sz w:val="24"/>
          <w:szCs w:val="24"/>
          <w:rtl w:val="0"/>
        </w:rPr>
        <w:t xml:space="preserve">: The process aims to be quantifiable, objective, rigorous, and transparent to ensure it is trusted and utilized.</w:t>
        <w:br w:type="textWrapping"/>
      </w:r>
    </w:p>
    <w:p w:rsidR="00000000" w:rsidDel="00000000" w:rsidP="00000000" w:rsidRDefault="00000000" w:rsidRPr="00000000" w14:paraId="0000000C">
      <w:pPr>
        <w:numPr>
          <w:ilvl w:val="0"/>
          <w:numId w:val="1"/>
        </w:numPr>
        <w:spacing w:after="240" w:before="0" w:beforeAutospacing="0" w:line="360" w:lineRule="auto"/>
        <w:ind w:left="720" w:hanging="360"/>
        <w:rPr>
          <w:sz w:val="24"/>
          <w:szCs w:val="24"/>
        </w:rPr>
      </w:pPr>
      <w:r w:rsidDel="00000000" w:rsidR="00000000" w:rsidRPr="00000000">
        <w:rPr>
          <w:b w:val="1"/>
          <w:sz w:val="24"/>
          <w:szCs w:val="24"/>
          <w:rtl w:val="0"/>
        </w:rPr>
        <w:t xml:space="preserve">Origin and Application</w:t>
      </w:r>
      <w:r w:rsidDel="00000000" w:rsidR="00000000" w:rsidRPr="00000000">
        <w:rPr>
          <w:sz w:val="24"/>
          <w:szCs w:val="24"/>
          <w:rtl w:val="0"/>
        </w:rPr>
        <w:t xml:space="preserve">: The CTF approach has driven innovation in fields like artificial intelligence and machine learning (e.g., the MNIST and CIFAR-10 datasets) and is being adapted by the SDA TAP Lab to drive innovation in SDA</w:t>
      </w:r>
    </w:p>
    <w:p w:rsidR="00000000" w:rsidDel="00000000" w:rsidP="00000000" w:rsidRDefault="00000000" w:rsidRPr="00000000" w14:paraId="0000000D">
      <w:pPr>
        <w:spacing w:line="360" w:lineRule="auto"/>
        <w:rPr>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HEoxyxfQn24RUzk9wUVmBWhQ3uxQKYTaqtKBnO-aHbA/edit?usp=sharing" TargetMode="External"/><Relationship Id="rId7" Type="http://schemas.openxmlformats.org/officeDocument/2006/relationships/hyperlink" Target="https://docs.google.com/document/d/1HEoxyxfQn24RUzk9wUVmBWhQ3uxQKYTaqtKBnO-aHb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