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18"/>
        </w:rPr>
      </w:pPr>
    </w:p>
    <w:p>
      <w:pPr>
        <w:pStyle w:val="Heading2"/>
        <w:spacing w:before="0"/>
      </w:pPr>
      <w:r>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-188457</wp:posOffset>
                </wp:positionV>
                <wp:extent cx="360045" cy="152146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60045" cy="1521460"/>
                          <a:chExt cx="360045" cy="1521460"/>
                        </a:xfrm>
                      </wpg:grpSpPr>
                      <wps:wsp>
                        <wps:cNvPr id="12" name="Graphic 12"/>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3" name="Textbox 13"/>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29664" id="docshapegroup7" coordorigin="11339,-297" coordsize="567,2396">
                <v:rect style="position:absolute;left:11338;top:-297;width:567;height:2396" id="docshape8" filled="true" fillcolor="#58595b" stroked="false">
                  <v:fill type="solid"/>
                </v:rect>
                <v:shape style="position:absolute;left:11338;top:-297;width:567;height:2396" type="#_x0000_t202" id="docshape9"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46</w:t>
      </w:r>
    </w:p>
    <w:p>
      <w:pPr>
        <w:pStyle w:val="BodyText"/>
        <w:rPr>
          <w:sz w:val="40"/>
        </w:rPr>
      </w:pPr>
    </w:p>
    <w:p>
      <w:pPr>
        <w:pStyle w:val="BodyText"/>
        <w:rPr>
          <w:sz w:val="40"/>
        </w:rPr>
      </w:pPr>
    </w:p>
    <w:p>
      <w:pPr>
        <w:pStyle w:val="BodyText"/>
        <w:spacing w:before="361"/>
        <w:rPr>
          <w:sz w:val="40"/>
        </w:rPr>
      </w:pPr>
    </w:p>
    <w:p>
      <w:pPr>
        <w:pStyle w:val="Title"/>
      </w:pPr>
      <w:r>
        <w:rPr>
          <w:color w:val="231F20"/>
        </w:rPr>
        <w:t>Chapter</w:t>
      </w:r>
      <w:r>
        <w:rPr>
          <w:color w:val="231F20"/>
          <w:spacing w:val="32"/>
        </w:rPr>
        <w:t> </w:t>
      </w:r>
      <w:r>
        <w:rPr>
          <w:color w:val="231F20"/>
          <w:spacing w:val="-5"/>
        </w:rPr>
        <w:t>1.4</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60446</wp:posOffset>
                </wp:positionV>
                <wp:extent cx="61201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59549pt;width:481.9pt;height:.1pt;mso-position-horizontal-relative:page;mso-position-vertical-relative:paragraph;z-index:-15728640;mso-wrap-distance-left:0;mso-wrap-distance-right:0" id="docshape10" coordorigin="1417,95" coordsize="9638,0" path="m1417,95l11055,95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z w:val="36"/>
        </w:rPr>
        <w:t>Security</w:t>
      </w:r>
      <w:r>
        <w:rPr>
          <w:rFonts w:ascii="Arial"/>
          <w:i/>
          <w:color w:val="231F20"/>
          <w:spacing w:val="2"/>
          <w:sz w:val="36"/>
        </w:rPr>
        <w:t> </w:t>
      </w:r>
      <w:r>
        <w:rPr>
          <w:rFonts w:ascii="Arial"/>
          <w:i/>
          <w:color w:val="231F20"/>
          <w:spacing w:val="-2"/>
          <w:sz w:val="36"/>
        </w:rPr>
        <w:t>provisions</w:t>
      </w:r>
    </w:p>
    <w:p>
      <w:pPr>
        <w:pStyle w:val="BodyText"/>
        <w:spacing w:before="412"/>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spacing w:val="-4"/>
          <w:w w:val="105"/>
        </w:rPr>
        <w:t>Scope</w:t>
      </w:r>
    </w:p>
    <w:p>
      <w:pPr>
        <w:pStyle w:val="ListParagraph"/>
        <w:numPr>
          <w:ilvl w:val="3"/>
          <w:numId w:val="1"/>
        </w:numPr>
        <w:tabs>
          <w:tab w:pos="2497" w:val="left" w:leader="none"/>
        </w:tabs>
        <w:spacing w:line="256" w:lineRule="auto" w:before="153" w:after="0"/>
        <w:ind w:left="2497" w:right="848" w:hanging="1080"/>
        <w:jc w:val="both"/>
        <w:rPr>
          <w:color w:val="231F20"/>
          <w:sz w:val="17"/>
        </w:rPr>
      </w:pPr>
      <w:r>
        <w:rPr>
          <w:color w:val="231F20"/>
          <w:w w:val="105"/>
          <w:sz w:val="17"/>
        </w:rPr>
        <w:t>The</w:t>
      </w:r>
      <w:r>
        <w:rPr>
          <w:color w:val="231F20"/>
          <w:w w:val="105"/>
          <w:sz w:val="17"/>
        </w:rPr>
        <w:t> provisions</w:t>
      </w:r>
      <w:r>
        <w:rPr>
          <w:color w:val="231F20"/>
          <w:w w:val="105"/>
          <w:sz w:val="17"/>
        </w:rPr>
        <w:t> of</w:t>
      </w:r>
      <w:r>
        <w:rPr>
          <w:color w:val="231F20"/>
          <w:w w:val="105"/>
          <w:sz w:val="17"/>
        </w:rPr>
        <w:t> this</w:t>
      </w:r>
      <w:r>
        <w:rPr>
          <w:color w:val="231F20"/>
          <w:w w:val="105"/>
          <w:sz w:val="17"/>
        </w:rPr>
        <w:t> chapter</w:t>
      </w:r>
      <w:r>
        <w:rPr>
          <w:color w:val="231F20"/>
          <w:w w:val="105"/>
          <w:sz w:val="17"/>
        </w:rPr>
        <w:t> address</w:t>
      </w:r>
      <w:r>
        <w:rPr>
          <w:color w:val="231F20"/>
          <w:w w:val="105"/>
          <w:sz w:val="17"/>
        </w:rPr>
        <w:t> the</w:t>
      </w:r>
      <w:r>
        <w:rPr>
          <w:color w:val="231F20"/>
          <w:w w:val="105"/>
          <w:sz w:val="17"/>
        </w:rPr>
        <w:t> security</w:t>
      </w:r>
      <w:r>
        <w:rPr>
          <w:color w:val="231F20"/>
          <w:w w:val="105"/>
          <w:sz w:val="17"/>
        </w:rPr>
        <w:t> of</w:t>
      </w:r>
      <w:r>
        <w:rPr>
          <w:color w:val="231F20"/>
          <w:w w:val="105"/>
          <w:sz w:val="17"/>
        </w:rPr>
        <w:t> dangerous</w:t>
      </w:r>
      <w:r>
        <w:rPr>
          <w:color w:val="231F20"/>
          <w:w w:val="105"/>
          <w:sz w:val="17"/>
        </w:rPr>
        <w:t> goods</w:t>
      </w:r>
      <w:r>
        <w:rPr>
          <w:color w:val="231F20"/>
          <w:w w:val="105"/>
          <w:sz w:val="17"/>
        </w:rPr>
        <w:t> in</w:t>
      </w:r>
      <w:r>
        <w:rPr>
          <w:color w:val="231F20"/>
          <w:w w:val="105"/>
          <w:sz w:val="17"/>
        </w:rPr>
        <w:t> transport</w:t>
      </w:r>
      <w:r>
        <w:rPr>
          <w:color w:val="231F20"/>
          <w:w w:val="105"/>
          <w:sz w:val="17"/>
        </w:rPr>
        <w:t> by</w:t>
      </w:r>
      <w:r>
        <w:rPr>
          <w:color w:val="231F20"/>
          <w:w w:val="105"/>
          <w:sz w:val="17"/>
        </w:rPr>
        <w:t> sea.</w:t>
      </w:r>
      <w:r>
        <w:rPr>
          <w:color w:val="231F20"/>
          <w:w w:val="105"/>
          <w:sz w:val="17"/>
        </w:rPr>
        <w:t> National competent authorities may apply additional security provisions, which should be considered when offering</w:t>
      </w:r>
      <w:r>
        <w:rPr>
          <w:color w:val="231F20"/>
          <w:spacing w:val="80"/>
          <w:w w:val="105"/>
          <w:sz w:val="17"/>
        </w:rPr>
        <w:t> </w:t>
      </w:r>
      <w:r>
        <w:rPr>
          <w:color w:val="231F20"/>
          <w:w w:val="105"/>
          <w:sz w:val="17"/>
        </w:rPr>
        <w:t>or</w:t>
      </w:r>
      <w:r>
        <w:rPr>
          <w:color w:val="231F20"/>
          <w:w w:val="105"/>
          <w:sz w:val="17"/>
        </w:rPr>
        <w:t> transporting</w:t>
      </w:r>
      <w:r>
        <w:rPr>
          <w:color w:val="231F20"/>
          <w:w w:val="105"/>
          <w:sz w:val="17"/>
        </w:rPr>
        <w:t> dangerous</w:t>
      </w:r>
      <w:r>
        <w:rPr>
          <w:color w:val="231F20"/>
          <w:w w:val="105"/>
          <w:sz w:val="17"/>
        </w:rPr>
        <w:t> goods.</w:t>
      </w:r>
      <w:r>
        <w:rPr>
          <w:color w:val="231F20"/>
          <w:w w:val="105"/>
          <w:sz w:val="17"/>
        </w:rPr>
        <w:t> The</w:t>
      </w:r>
      <w:r>
        <w:rPr>
          <w:color w:val="231F20"/>
          <w:w w:val="105"/>
          <w:sz w:val="17"/>
        </w:rPr>
        <w:t> provisions</w:t>
      </w:r>
      <w:r>
        <w:rPr>
          <w:color w:val="231F20"/>
          <w:w w:val="105"/>
          <w:sz w:val="17"/>
        </w:rPr>
        <w:t> of</w:t>
      </w:r>
      <w:r>
        <w:rPr>
          <w:color w:val="231F20"/>
          <w:w w:val="105"/>
          <w:sz w:val="17"/>
        </w:rPr>
        <w:t> this</w:t>
      </w:r>
      <w:r>
        <w:rPr>
          <w:color w:val="231F20"/>
          <w:w w:val="105"/>
          <w:sz w:val="17"/>
        </w:rPr>
        <w:t> chapter</w:t>
      </w:r>
      <w:r>
        <w:rPr>
          <w:color w:val="231F20"/>
          <w:w w:val="105"/>
          <w:sz w:val="17"/>
        </w:rPr>
        <w:t> remain</w:t>
      </w:r>
      <w:r>
        <w:rPr>
          <w:color w:val="231F20"/>
          <w:w w:val="105"/>
          <w:sz w:val="17"/>
        </w:rPr>
        <w:t> recommendatory</w:t>
      </w:r>
      <w:r>
        <w:rPr>
          <w:color w:val="231F20"/>
          <w:w w:val="105"/>
          <w:sz w:val="17"/>
        </w:rPr>
        <w:t> except</w:t>
      </w:r>
      <w:r>
        <w:rPr>
          <w:color w:val="231F20"/>
          <w:w w:val="105"/>
          <w:sz w:val="17"/>
        </w:rPr>
        <w:t> 1.4.1.1</w:t>
      </w:r>
      <w:r>
        <w:rPr>
          <w:color w:val="231F20"/>
          <w:spacing w:val="80"/>
          <w:w w:val="105"/>
          <w:sz w:val="17"/>
        </w:rPr>
        <w:t> </w:t>
      </w:r>
      <w:r>
        <w:rPr>
          <w:color w:val="231F20"/>
          <w:w w:val="105"/>
          <w:sz w:val="17"/>
        </w:rPr>
        <w:t>(see 1.1.1.5).</w:t>
      </w:r>
    </w:p>
    <w:p>
      <w:pPr>
        <w:pStyle w:val="ListParagraph"/>
        <w:numPr>
          <w:ilvl w:val="3"/>
          <w:numId w:val="1"/>
        </w:numPr>
        <w:tabs>
          <w:tab w:pos="2497" w:val="left" w:leader="none"/>
        </w:tabs>
        <w:spacing w:line="240" w:lineRule="auto" w:before="152" w:after="0"/>
        <w:ind w:left="2497" w:right="0" w:hanging="1080"/>
        <w:jc w:val="left"/>
        <w:rPr>
          <w:color w:val="231F20"/>
          <w:sz w:val="17"/>
        </w:rPr>
      </w:pPr>
      <w:r>
        <w:rPr>
          <w:color w:val="231F20"/>
          <w:w w:val="105"/>
          <w:sz w:val="17"/>
        </w:rPr>
        <w:t>The</w:t>
      </w:r>
      <w:r>
        <w:rPr>
          <w:color w:val="231F20"/>
          <w:spacing w:val="-7"/>
          <w:w w:val="105"/>
          <w:sz w:val="17"/>
        </w:rPr>
        <w:t> </w:t>
      </w:r>
      <w:r>
        <w:rPr>
          <w:color w:val="231F20"/>
          <w:w w:val="105"/>
          <w:sz w:val="17"/>
        </w:rPr>
        <w:t>provisions</w:t>
      </w:r>
      <w:r>
        <w:rPr>
          <w:color w:val="231F20"/>
          <w:spacing w:val="-6"/>
          <w:w w:val="105"/>
          <w:sz w:val="17"/>
        </w:rPr>
        <w:t> </w:t>
      </w:r>
      <w:r>
        <w:rPr>
          <w:color w:val="231F20"/>
          <w:w w:val="105"/>
          <w:sz w:val="17"/>
        </w:rPr>
        <w:t>of</w:t>
      </w:r>
      <w:r>
        <w:rPr>
          <w:color w:val="231F20"/>
          <w:spacing w:val="-7"/>
          <w:w w:val="105"/>
          <w:sz w:val="17"/>
        </w:rPr>
        <w:t> </w:t>
      </w:r>
      <w:r>
        <w:rPr>
          <w:color w:val="231F20"/>
          <w:w w:val="105"/>
          <w:sz w:val="17"/>
        </w:rPr>
        <w:t>1.4.2</w:t>
      </w:r>
      <w:r>
        <w:rPr>
          <w:color w:val="231F20"/>
          <w:spacing w:val="-6"/>
          <w:w w:val="105"/>
          <w:sz w:val="17"/>
        </w:rPr>
        <w:t> </w:t>
      </w:r>
      <w:r>
        <w:rPr>
          <w:color w:val="231F20"/>
          <w:w w:val="105"/>
          <w:sz w:val="17"/>
        </w:rPr>
        <w:t>and</w:t>
      </w:r>
      <w:r>
        <w:rPr>
          <w:color w:val="231F20"/>
          <w:spacing w:val="-6"/>
          <w:w w:val="105"/>
          <w:sz w:val="17"/>
        </w:rPr>
        <w:t> </w:t>
      </w:r>
      <w:r>
        <w:rPr>
          <w:color w:val="231F20"/>
          <w:w w:val="105"/>
          <w:sz w:val="17"/>
        </w:rPr>
        <w:t>1.4.3</w:t>
      </w:r>
      <w:r>
        <w:rPr>
          <w:color w:val="231F20"/>
          <w:spacing w:val="-7"/>
          <w:w w:val="105"/>
          <w:sz w:val="17"/>
        </w:rPr>
        <w:t> </w:t>
      </w:r>
      <w:r>
        <w:rPr>
          <w:color w:val="231F20"/>
          <w:w w:val="105"/>
          <w:sz w:val="17"/>
        </w:rPr>
        <w:t>do</w:t>
      </w:r>
      <w:r>
        <w:rPr>
          <w:color w:val="231F20"/>
          <w:spacing w:val="-6"/>
          <w:w w:val="105"/>
          <w:sz w:val="17"/>
        </w:rPr>
        <w:t> </w:t>
      </w:r>
      <w:r>
        <w:rPr>
          <w:color w:val="231F20"/>
          <w:w w:val="105"/>
          <w:sz w:val="17"/>
        </w:rPr>
        <w:t>not</w:t>
      </w:r>
      <w:r>
        <w:rPr>
          <w:color w:val="231F20"/>
          <w:spacing w:val="-6"/>
          <w:w w:val="105"/>
          <w:sz w:val="17"/>
        </w:rPr>
        <w:t> </w:t>
      </w:r>
      <w:r>
        <w:rPr>
          <w:color w:val="231F20"/>
          <w:w w:val="105"/>
          <w:sz w:val="17"/>
        </w:rPr>
        <w:t>apply</w:t>
      </w:r>
      <w:r>
        <w:rPr>
          <w:color w:val="231F20"/>
          <w:spacing w:val="-7"/>
          <w:w w:val="105"/>
          <w:sz w:val="17"/>
        </w:rPr>
        <w:t> </w:t>
      </w:r>
      <w:r>
        <w:rPr>
          <w:color w:val="231F20"/>
          <w:spacing w:val="-5"/>
          <w:w w:val="105"/>
          <w:sz w:val="17"/>
        </w:rPr>
        <w:t>to:</w:t>
      </w:r>
    </w:p>
    <w:p>
      <w:pPr>
        <w:pStyle w:val="ListParagraph"/>
        <w:numPr>
          <w:ilvl w:val="0"/>
          <w:numId w:val="2"/>
        </w:numPr>
        <w:tabs>
          <w:tab w:pos="2857" w:val="left" w:leader="none"/>
        </w:tabs>
        <w:spacing w:line="240" w:lineRule="auto" w:before="104" w:after="0"/>
        <w:ind w:left="2857" w:right="0" w:hanging="360"/>
        <w:jc w:val="left"/>
        <w:rPr>
          <w:sz w:val="17"/>
        </w:rPr>
      </w:pPr>
      <w:r>
        <w:rPr>
          <w:color w:val="231F20"/>
          <w:w w:val="105"/>
          <w:sz w:val="17"/>
        </w:rPr>
        <w:t>UN</w:t>
      </w:r>
      <w:r>
        <w:rPr>
          <w:color w:val="231F20"/>
          <w:spacing w:val="-6"/>
          <w:w w:val="105"/>
          <w:sz w:val="17"/>
        </w:rPr>
        <w:t> </w:t>
      </w:r>
      <w:r>
        <w:rPr>
          <w:color w:val="231F20"/>
          <w:w w:val="105"/>
          <w:sz w:val="17"/>
        </w:rPr>
        <w:t>2908</w:t>
      </w:r>
      <w:r>
        <w:rPr>
          <w:color w:val="231F20"/>
          <w:spacing w:val="-5"/>
          <w:w w:val="105"/>
          <w:sz w:val="17"/>
        </w:rPr>
        <w:t> </w:t>
      </w:r>
      <w:r>
        <w:rPr>
          <w:color w:val="231F20"/>
          <w:w w:val="105"/>
          <w:sz w:val="17"/>
        </w:rPr>
        <w:t>and</w:t>
      </w:r>
      <w:r>
        <w:rPr>
          <w:color w:val="231F20"/>
          <w:spacing w:val="-6"/>
          <w:w w:val="105"/>
          <w:sz w:val="17"/>
        </w:rPr>
        <w:t> </w:t>
      </w:r>
      <w:r>
        <w:rPr>
          <w:color w:val="231F20"/>
          <w:w w:val="105"/>
          <w:sz w:val="17"/>
        </w:rPr>
        <w:t>UN</w:t>
      </w:r>
      <w:r>
        <w:rPr>
          <w:color w:val="231F20"/>
          <w:spacing w:val="-5"/>
          <w:w w:val="105"/>
          <w:sz w:val="17"/>
        </w:rPr>
        <w:t> </w:t>
      </w:r>
      <w:r>
        <w:rPr>
          <w:color w:val="231F20"/>
          <w:w w:val="105"/>
          <w:sz w:val="17"/>
        </w:rPr>
        <w:t>2909</w:t>
      </w:r>
      <w:r>
        <w:rPr>
          <w:color w:val="231F20"/>
          <w:spacing w:val="-6"/>
          <w:w w:val="105"/>
          <w:sz w:val="17"/>
        </w:rPr>
        <w:t> </w:t>
      </w:r>
      <w:r>
        <w:rPr>
          <w:color w:val="231F20"/>
          <w:w w:val="105"/>
          <w:sz w:val="17"/>
        </w:rPr>
        <w:t>excepted</w:t>
      </w:r>
      <w:r>
        <w:rPr>
          <w:color w:val="231F20"/>
          <w:spacing w:val="-5"/>
          <w:w w:val="105"/>
          <w:sz w:val="17"/>
        </w:rPr>
        <w:t> </w:t>
      </w:r>
      <w:r>
        <w:rPr>
          <w:color w:val="231F20"/>
          <w:spacing w:val="-2"/>
          <w:w w:val="105"/>
          <w:sz w:val="17"/>
        </w:rPr>
        <w:t>packages;</w:t>
      </w:r>
    </w:p>
    <w:p>
      <w:pPr>
        <w:pStyle w:val="ListParagraph"/>
        <w:numPr>
          <w:ilvl w:val="0"/>
          <w:numId w:val="2"/>
        </w:numPr>
        <w:tabs>
          <w:tab w:pos="2857" w:val="left" w:leader="none"/>
        </w:tabs>
        <w:spacing w:line="240" w:lineRule="auto" w:before="103" w:after="0"/>
        <w:ind w:left="2857" w:right="0" w:hanging="360"/>
        <w:jc w:val="left"/>
        <w:rPr>
          <w:sz w:val="17"/>
        </w:rPr>
      </w:pPr>
      <w:r>
        <w:rPr>
          <w:color w:val="231F20"/>
          <w:w w:val="105"/>
          <w:sz w:val="17"/>
        </w:rPr>
        <w:t>UN</w:t>
      </w:r>
      <w:r>
        <w:rPr>
          <w:color w:val="231F20"/>
          <w:spacing w:val="-7"/>
          <w:w w:val="105"/>
          <w:sz w:val="17"/>
        </w:rPr>
        <w:t> </w:t>
      </w:r>
      <w:r>
        <w:rPr>
          <w:color w:val="231F20"/>
          <w:w w:val="105"/>
          <w:sz w:val="17"/>
        </w:rPr>
        <w:t>2910</w:t>
      </w:r>
      <w:r>
        <w:rPr>
          <w:color w:val="231F20"/>
          <w:spacing w:val="-7"/>
          <w:w w:val="105"/>
          <w:sz w:val="17"/>
        </w:rPr>
        <w:t> </w:t>
      </w:r>
      <w:r>
        <w:rPr>
          <w:color w:val="231F20"/>
          <w:w w:val="105"/>
          <w:sz w:val="17"/>
        </w:rPr>
        <w:t>and</w:t>
      </w:r>
      <w:r>
        <w:rPr>
          <w:color w:val="231F20"/>
          <w:spacing w:val="-7"/>
          <w:w w:val="105"/>
          <w:sz w:val="17"/>
        </w:rPr>
        <w:t> </w:t>
      </w:r>
      <w:r>
        <w:rPr>
          <w:color w:val="231F20"/>
          <w:w w:val="105"/>
          <w:sz w:val="17"/>
        </w:rPr>
        <w:t>UN</w:t>
      </w:r>
      <w:r>
        <w:rPr>
          <w:color w:val="231F20"/>
          <w:spacing w:val="-7"/>
          <w:w w:val="105"/>
          <w:sz w:val="17"/>
        </w:rPr>
        <w:t> </w:t>
      </w:r>
      <w:r>
        <w:rPr>
          <w:color w:val="231F20"/>
          <w:w w:val="105"/>
          <w:sz w:val="17"/>
        </w:rPr>
        <w:t>2911</w:t>
      </w:r>
      <w:r>
        <w:rPr>
          <w:color w:val="231F20"/>
          <w:spacing w:val="-7"/>
          <w:w w:val="105"/>
          <w:sz w:val="17"/>
        </w:rPr>
        <w:t> </w:t>
      </w:r>
      <w:r>
        <w:rPr>
          <w:color w:val="231F20"/>
          <w:w w:val="105"/>
          <w:sz w:val="17"/>
        </w:rPr>
        <w:t>excepted</w:t>
      </w:r>
      <w:r>
        <w:rPr>
          <w:color w:val="231F20"/>
          <w:spacing w:val="-7"/>
          <w:w w:val="105"/>
          <w:sz w:val="17"/>
        </w:rPr>
        <w:t> </w:t>
      </w:r>
      <w:r>
        <w:rPr>
          <w:color w:val="231F20"/>
          <w:w w:val="105"/>
          <w:sz w:val="17"/>
        </w:rPr>
        <w:t>packages</w:t>
      </w:r>
      <w:r>
        <w:rPr>
          <w:color w:val="231F20"/>
          <w:spacing w:val="-6"/>
          <w:w w:val="105"/>
          <w:sz w:val="17"/>
        </w:rPr>
        <w:t> </w:t>
      </w:r>
      <w:r>
        <w:rPr>
          <w:color w:val="231F20"/>
          <w:w w:val="105"/>
          <w:sz w:val="17"/>
        </w:rPr>
        <w:t>with</w:t>
      </w:r>
      <w:r>
        <w:rPr>
          <w:color w:val="231F20"/>
          <w:spacing w:val="-7"/>
          <w:w w:val="105"/>
          <w:sz w:val="17"/>
        </w:rPr>
        <w:t> </w:t>
      </w:r>
      <w:r>
        <w:rPr>
          <w:color w:val="231F20"/>
          <w:w w:val="105"/>
          <w:sz w:val="17"/>
        </w:rPr>
        <w:t>an</w:t>
      </w:r>
      <w:r>
        <w:rPr>
          <w:color w:val="231F20"/>
          <w:spacing w:val="-7"/>
          <w:w w:val="105"/>
          <w:sz w:val="17"/>
        </w:rPr>
        <w:t> </w:t>
      </w:r>
      <w:r>
        <w:rPr>
          <w:color w:val="231F20"/>
          <w:w w:val="105"/>
          <w:sz w:val="17"/>
        </w:rPr>
        <w:t>activity</w:t>
      </w:r>
      <w:r>
        <w:rPr>
          <w:color w:val="231F20"/>
          <w:spacing w:val="-7"/>
          <w:w w:val="105"/>
          <w:sz w:val="17"/>
        </w:rPr>
        <w:t> </w:t>
      </w:r>
      <w:r>
        <w:rPr>
          <w:color w:val="231F20"/>
          <w:w w:val="105"/>
          <w:sz w:val="17"/>
        </w:rPr>
        <w:t>level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exceeding</w:t>
      </w:r>
      <w:r>
        <w:rPr>
          <w:color w:val="231F20"/>
          <w:spacing w:val="-6"/>
          <w:w w:val="105"/>
          <w:sz w:val="17"/>
        </w:rPr>
        <w:t> </w:t>
      </w:r>
      <w:r>
        <w:rPr>
          <w:color w:val="231F20"/>
          <w:w w:val="105"/>
          <w:sz w:val="17"/>
        </w:rPr>
        <w:t>the</w:t>
      </w:r>
      <w:r>
        <w:rPr>
          <w:color w:val="231F20"/>
          <w:spacing w:val="-7"/>
          <w:w w:val="105"/>
          <w:sz w:val="17"/>
        </w:rPr>
        <w:t> </w:t>
      </w:r>
      <w:r>
        <w:rPr>
          <w:rFonts w:ascii="Arial"/>
          <w:i/>
          <w:color w:val="231F20"/>
          <w:w w:val="105"/>
          <w:sz w:val="17"/>
        </w:rPr>
        <w:t>A</w:t>
      </w:r>
      <w:r>
        <w:rPr>
          <w:color w:val="231F20"/>
          <w:w w:val="105"/>
          <w:sz w:val="17"/>
          <w:vertAlign w:val="subscript"/>
        </w:rPr>
        <w:t>2</w:t>
      </w:r>
      <w:r>
        <w:rPr>
          <w:color w:val="231F20"/>
          <w:spacing w:val="-7"/>
          <w:w w:val="105"/>
          <w:sz w:val="17"/>
          <w:vertAlign w:val="baseline"/>
        </w:rPr>
        <w:t> </w:t>
      </w:r>
      <w:r>
        <w:rPr>
          <w:color w:val="231F20"/>
          <w:w w:val="105"/>
          <w:sz w:val="17"/>
          <w:vertAlign w:val="baseline"/>
        </w:rPr>
        <w:t>value;</w:t>
      </w:r>
      <w:r>
        <w:rPr>
          <w:color w:val="231F20"/>
          <w:spacing w:val="-7"/>
          <w:w w:val="105"/>
          <w:sz w:val="17"/>
          <w:vertAlign w:val="baseline"/>
        </w:rPr>
        <w:t> </w:t>
      </w:r>
      <w:r>
        <w:rPr>
          <w:color w:val="231F20"/>
          <w:spacing w:val="-5"/>
          <w:w w:val="105"/>
          <w:sz w:val="17"/>
          <w:vertAlign w:val="baseline"/>
        </w:rPr>
        <w:t>and</w:t>
      </w:r>
    </w:p>
    <w:p>
      <w:pPr>
        <w:pStyle w:val="ListParagraph"/>
        <w:numPr>
          <w:ilvl w:val="0"/>
          <w:numId w:val="2"/>
        </w:numPr>
        <w:tabs>
          <w:tab w:pos="2857" w:val="left" w:leader="none"/>
        </w:tabs>
        <w:spacing w:line="240" w:lineRule="auto" w:before="104" w:after="0"/>
        <w:ind w:left="2857" w:right="0" w:hanging="360"/>
        <w:jc w:val="left"/>
        <w:rPr>
          <w:sz w:val="17"/>
        </w:rPr>
      </w:pPr>
      <w:r>
        <w:rPr>
          <w:color w:val="231F20"/>
          <w:sz w:val="17"/>
        </w:rPr>
        <w:t>UN</w:t>
      </w:r>
      <w:r>
        <w:rPr>
          <w:color w:val="231F20"/>
          <w:spacing w:val="9"/>
          <w:sz w:val="17"/>
        </w:rPr>
        <w:t> </w:t>
      </w:r>
      <w:r>
        <w:rPr>
          <w:color w:val="231F20"/>
          <w:sz w:val="17"/>
        </w:rPr>
        <w:t>2912</w:t>
      </w:r>
      <w:r>
        <w:rPr>
          <w:color w:val="231F20"/>
          <w:spacing w:val="9"/>
          <w:sz w:val="17"/>
        </w:rPr>
        <w:t> </w:t>
      </w:r>
      <w:r>
        <w:rPr>
          <w:color w:val="231F20"/>
          <w:sz w:val="17"/>
        </w:rPr>
        <w:t>LSA-I</w:t>
      </w:r>
      <w:r>
        <w:rPr>
          <w:color w:val="231F20"/>
          <w:spacing w:val="10"/>
          <w:sz w:val="17"/>
        </w:rPr>
        <w:t> </w:t>
      </w:r>
      <w:r>
        <w:rPr>
          <w:color w:val="231F20"/>
          <w:sz w:val="17"/>
        </w:rPr>
        <w:t>and</w:t>
      </w:r>
      <w:r>
        <w:rPr>
          <w:color w:val="231F20"/>
          <w:spacing w:val="9"/>
          <w:sz w:val="17"/>
        </w:rPr>
        <w:t> </w:t>
      </w:r>
      <w:r>
        <w:rPr>
          <w:color w:val="231F20"/>
          <w:sz w:val="17"/>
        </w:rPr>
        <w:t>UN</w:t>
      </w:r>
      <w:r>
        <w:rPr>
          <w:color w:val="231F20"/>
          <w:spacing w:val="9"/>
          <w:sz w:val="17"/>
        </w:rPr>
        <w:t> </w:t>
      </w:r>
      <w:r>
        <w:rPr>
          <w:color w:val="231F20"/>
          <w:sz w:val="17"/>
        </w:rPr>
        <w:t>2913</w:t>
      </w:r>
      <w:r>
        <w:rPr>
          <w:color w:val="231F20"/>
          <w:spacing w:val="10"/>
          <w:sz w:val="17"/>
        </w:rPr>
        <w:t> </w:t>
      </w:r>
      <w:r>
        <w:rPr>
          <w:color w:val="231F20"/>
          <w:sz w:val="17"/>
        </w:rPr>
        <w:t>SCO-</w:t>
      </w:r>
      <w:r>
        <w:rPr>
          <w:color w:val="231F20"/>
          <w:spacing w:val="-5"/>
          <w:sz w:val="17"/>
        </w:rPr>
        <w:t>I.</w:t>
      </w:r>
    </w:p>
    <w:p>
      <w:pPr>
        <w:pStyle w:val="BodyText"/>
        <w:spacing w:before="191"/>
      </w:pPr>
    </w:p>
    <w:p>
      <w:pPr>
        <w:pStyle w:val="Heading1"/>
        <w:numPr>
          <w:ilvl w:val="2"/>
          <w:numId w:val="1"/>
        </w:numPr>
        <w:tabs>
          <w:tab w:pos="2497" w:val="left" w:leader="none"/>
        </w:tabs>
        <w:spacing w:line="240" w:lineRule="auto" w:before="0" w:after="0"/>
        <w:ind w:left="2497" w:right="0" w:hanging="1080"/>
        <w:jc w:val="left"/>
        <w:rPr>
          <w:rFonts w:ascii="Times New Roman"/>
        </w:rPr>
      </w:pPr>
      <w:r>
        <w:rPr>
          <w:color w:val="231F20"/>
          <w:w w:val="105"/>
        </w:rPr>
        <w:t>General</w:t>
      </w:r>
      <w:r>
        <w:rPr>
          <w:color w:val="231F20"/>
          <w:spacing w:val="-5"/>
          <w:w w:val="105"/>
        </w:rPr>
        <w:t> </w:t>
      </w:r>
      <w:r>
        <w:rPr>
          <w:color w:val="231F20"/>
          <w:w w:val="105"/>
        </w:rPr>
        <w:t>provisions</w:t>
      </w:r>
      <w:r>
        <w:rPr>
          <w:color w:val="231F20"/>
          <w:spacing w:val="-4"/>
          <w:w w:val="105"/>
        </w:rPr>
        <w:t> </w:t>
      </w:r>
      <w:r>
        <w:rPr>
          <w:color w:val="231F20"/>
          <w:w w:val="105"/>
        </w:rPr>
        <w:t>for</w:t>
      </w:r>
      <w:r>
        <w:rPr>
          <w:color w:val="231F20"/>
          <w:spacing w:val="-5"/>
          <w:w w:val="105"/>
        </w:rPr>
        <w:t> </w:t>
      </w:r>
      <w:r>
        <w:rPr>
          <w:color w:val="231F20"/>
          <w:w w:val="105"/>
        </w:rPr>
        <w:t>companies,</w:t>
      </w:r>
      <w:r>
        <w:rPr>
          <w:color w:val="231F20"/>
          <w:spacing w:val="-4"/>
          <w:w w:val="105"/>
        </w:rPr>
        <w:t> </w:t>
      </w:r>
      <w:r>
        <w:rPr>
          <w:color w:val="231F20"/>
          <w:w w:val="105"/>
        </w:rPr>
        <w:t>ships</w:t>
      </w:r>
      <w:r>
        <w:rPr>
          <w:color w:val="231F20"/>
          <w:spacing w:val="-4"/>
          <w:w w:val="105"/>
        </w:rPr>
        <w:t> </w:t>
      </w:r>
      <w:r>
        <w:rPr>
          <w:color w:val="231F20"/>
          <w:w w:val="105"/>
        </w:rPr>
        <w:t>and</w:t>
      </w:r>
      <w:r>
        <w:rPr>
          <w:color w:val="231F20"/>
          <w:spacing w:val="-5"/>
          <w:w w:val="105"/>
        </w:rPr>
        <w:t> </w:t>
      </w:r>
      <w:r>
        <w:rPr>
          <w:color w:val="231F20"/>
          <w:w w:val="105"/>
        </w:rPr>
        <w:t>port</w:t>
      </w:r>
      <w:r>
        <w:rPr>
          <w:color w:val="231F20"/>
          <w:spacing w:val="-4"/>
          <w:w w:val="105"/>
        </w:rPr>
        <w:t> </w:t>
      </w:r>
      <w:r>
        <w:rPr>
          <w:color w:val="231F20"/>
          <w:spacing w:val="-2"/>
          <w:w w:val="105"/>
        </w:rPr>
        <w:t>facilities</w:t>
      </w:r>
      <w:r>
        <w:rPr>
          <w:rFonts w:ascii="Times New Roman"/>
          <w:color w:val="231F20"/>
          <w:spacing w:val="-2"/>
          <w:w w:val="105"/>
          <w:vertAlign w:val="superscript"/>
        </w:rPr>
        <w:t>*</w:t>
      </w:r>
    </w:p>
    <w:p>
      <w:pPr>
        <w:pStyle w:val="ListParagraph"/>
        <w:numPr>
          <w:ilvl w:val="3"/>
          <w:numId w:val="1"/>
        </w:numPr>
        <w:tabs>
          <w:tab w:pos="2497" w:val="left" w:leader="none"/>
        </w:tabs>
        <w:spacing w:line="256" w:lineRule="auto" w:before="152" w:after="0"/>
        <w:ind w:left="2497" w:right="847" w:hanging="1080"/>
        <w:jc w:val="both"/>
        <w:rPr>
          <w:color w:val="231F20"/>
          <w:sz w:val="17"/>
        </w:rPr>
      </w:pPr>
      <w:r>
        <w:rPr>
          <w:color w:val="231F20"/>
          <w:w w:val="105"/>
          <w:sz w:val="17"/>
        </w:rPr>
        <w:t>The relevant provisions of chapter XI-2 of SOLAS, as amended, and of part A of the </w:t>
      </w:r>
      <w:r>
        <w:rPr>
          <w:rFonts w:ascii="Arial"/>
          <w:i/>
          <w:color w:val="231F20"/>
          <w:w w:val="105"/>
          <w:sz w:val="17"/>
        </w:rPr>
        <w:t>International Ship and Port</w:t>
      </w:r>
      <w:r>
        <w:rPr>
          <w:rFonts w:ascii="Arial"/>
          <w:i/>
          <w:color w:val="231F20"/>
          <w:spacing w:val="-7"/>
          <w:w w:val="105"/>
          <w:sz w:val="17"/>
        </w:rPr>
        <w:t> </w:t>
      </w:r>
      <w:r>
        <w:rPr>
          <w:rFonts w:ascii="Arial"/>
          <w:i/>
          <w:color w:val="231F20"/>
          <w:w w:val="105"/>
          <w:sz w:val="17"/>
        </w:rPr>
        <w:t>Facility</w:t>
      </w:r>
      <w:r>
        <w:rPr>
          <w:rFonts w:ascii="Arial"/>
          <w:i/>
          <w:color w:val="231F20"/>
          <w:spacing w:val="-7"/>
          <w:w w:val="105"/>
          <w:sz w:val="17"/>
        </w:rPr>
        <w:t> </w:t>
      </w:r>
      <w:r>
        <w:rPr>
          <w:rFonts w:ascii="Arial"/>
          <w:i/>
          <w:color w:val="231F20"/>
          <w:w w:val="105"/>
          <w:sz w:val="17"/>
        </w:rPr>
        <w:t>Security</w:t>
      </w:r>
      <w:r>
        <w:rPr>
          <w:rFonts w:ascii="Arial"/>
          <w:i/>
          <w:color w:val="231F20"/>
          <w:spacing w:val="-7"/>
          <w:w w:val="105"/>
          <w:sz w:val="17"/>
        </w:rPr>
        <w:t> </w:t>
      </w:r>
      <w:r>
        <w:rPr>
          <w:rFonts w:ascii="Arial"/>
          <w:i/>
          <w:color w:val="231F20"/>
          <w:w w:val="105"/>
          <w:sz w:val="17"/>
        </w:rPr>
        <w:t>Code</w:t>
      </w:r>
      <w:r>
        <w:rPr>
          <w:rFonts w:ascii="Arial"/>
          <w:i/>
          <w:color w:val="231F20"/>
          <w:spacing w:val="-6"/>
          <w:w w:val="105"/>
          <w:sz w:val="17"/>
        </w:rPr>
        <w:t> </w:t>
      </w:r>
      <w:r>
        <w:rPr>
          <w:color w:val="231F20"/>
          <w:w w:val="105"/>
          <w:sz w:val="17"/>
        </w:rPr>
        <w:t>(ISPS</w:t>
      </w:r>
      <w:r>
        <w:rPr>
          <w:color w:val="231F20"/>
          <w:spacing w:val="-7"/>
          <w:w w:val="105"/>
          <w:sz w:val="17"/>
        </w:rPr>
        <w:t> </w:t>
      </w:r>
      <w:r>
        <w:rPr>
          <w:color w:val="231F20"/>
          <w:w w:val="105"/>
          <w:sz w:val="17"/>
        </w:rPr>
        <w:t>Code)</w:t>
      </w:r>
      <w:r>
        <w:rPr>
          <w:color w:val="231F20"/>
          <w:spacing w:val="-7"/>
          <w:w w:val="105"/>
          <w:sz w:val="17"/>
        </w:rPr>
        <w:t> </w:t>
      </w:r>
      <w:r>
        <w:rPr>
          <w:color w:val="231F20"/>
          <w:w w:val="105"/>
          <w:sz w:val="17"/>
        </w:rPr>
        <w:t>apply</w:t>
      </w:r>
      <w:r>
        <w:rPr>
          <w:color w:val="231F20"/>
          <w:spacing w:val="-7"/>
          <w:w w:val="105"/>
          <w:sz w:val="17"/>
        </w:rPr>
        <w:t> </w:t>
      </w:r>
      <w:r>
        <w:rPr>
          <w:color w:val="231F20"/>
          <w:w w:val="105"/>
          <w:sz w:val="17"/>
        </w:rPr>
        <w:t>to</w:t>
      </w:r>
      <w:r>
        <w:rPr>
          <w:color w:val="231F20"/>
          <w:spacing w:val="-7"/>
          <w:w w:val="105"/>
          <w:sz w:val="17"/>
        </w:rPr>
        <w:t> </w:t>
      </w:r>
      <w:r>
        <w:rPr>
          <w:color w:val="231F20"/>
          <w:w w:val="105"/>
          <w:sz w:val="17"/>
        </w:rPr>
        <w:t>companies,</w:t>
      </w:r>
      <w:r>
        <w:rPr>
          <w:color w:val="231F20"/>
          <w:spacing w:val="-7"/>
          <w:w w:val="105"/>
          <w:sz w:val="17"/>
        </w:rPr>
        <w:t> </w:t>
      </w:r>
      <w:r>
        <w:rPr>
          <w:color w:val="231F20"/>
          <w:w w:val="105"/>
          <w:sz w:val="17"/>
        </w:rPr>
        <w:t>ships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port</w:t>
      </w:r>
      <w:r>
        <w:rPr>
          <w:color w:val="231F20"/>
          <w:spacing w:val="-7"/>
          <w:w w:val="105"/>
          <w:sz w:val="17"/>
        </w:rPr>
        <w:t> </w:t>
      </w:r>
      <w:r>
        <w:rPr>
          <w:color w:val="231F20"/>
          <w:w w:val="105"/>
          <w:sz w:val="17"/>
        </w:rPr>
        <w:t>facilities</w:t>
      </w:r>
      <w:r>
        <w:rPr>
          <w:color w:val="231F20"/>
          <w:spacing w:val="-7"/>
          <w:w w:val="105"/>
          <w:sz w:val="17"/>
        </w:rPr>
        <w:t> </w:t>
      </w:r>
      <w:r>
        <w:rPr>
          <w:color w:val="231F20"/>
          <w:w w:val="105"/>
          <w:sz w:val="17"/>
        </w:rPr>
        <w:t>engaged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transport of</w:t>
      </w:r>
      <w:r>
        <w:rPr>
          <w:color w:val="231F20"/>
          <w:w w:val="105"/>
          <w:sz w:val="17"/>
        </w:rPr>
        <w:t> dangerous</w:t>
      </w:r>
      <w:r>
        <w:rPr>
          <w:color w:val="231F20"/>
          <w:w w:val="105"/>
          <w:sz w:val="17"/>
        </w:rPr>
        <w:t> goods</w:t>
      </w:r>
      <w:r>
        <w:rPr>
          <w:color w:val="231F20"/>
          <w:w w:val="105"/>
          <w:sz w:val="17"/>
        </w:rPr>
        <w:t> and</w:t>
      </w:r>
      <w:r>
        <w:rPr>
          <w:color w:val="231F20"/>
          <w:w w:val="105"/>
          <w:sz w:val="17"/>
        </w:rPr>
        <w:t> to</w:t>
      </w:r>
      <w:r>
        <w:rPr>
          <w:color w:val="231F20"/>
          <w:w w:val="105"/>
          <w:sz w:val="17"/>
        </w:rPr>
        <w:t> which</w:t>
      </w:r>
      <w:r>
        <w:rPr>
          <w:color w:val="231F20"/>
          <w:w w:val="105"/>
          <w:sz w:val="17"/>
        </w:rPr>
        <w:t> regulation</w:t>
      </w:r>
      <w:r>
        <w:rPr>
          <w:color w:val="231F20"/>
          <w:w w:val="105"/>
          <w:sz w:val="17"/>
        </w:rPr>
        <w:t> XI-2</w:t>
      </w:r>
      <w:r>
        <w:rPr>
          <w:color w:val="231F20"/>
          <w:w w:val="105"/>
          <w:sz w:val="17"/>
        </w:rPr>
        <w:t> of</w:t>
      </w:r>
      <w:r>
        <w:rPr>
          <w:color w:val="231F20"/>
          <w:w w:val="105"/>
          <w:sz w:val="17"/>
        </w:rPr>
        <w:t> SOLAS,</w:t>
      </w:r>
      <w:r>
        <w:rPr>
          <w:color w:val="231F20"/>
          <w:w w:val="105"/>
          <w:sz w:val="17"/>
        </w:rPr>
        <w:t> as</w:t>
      </w:r>
      <w:r>
        <w:rPr>
          <w:color w:val="231F20"/>
          <w:w w:val="105"/>
          <w:sz w:val="17"/>
        </w:rPr>
        <w:t> amended,</w:t>
      </w:r>
      <w:r>
        <w:rPr>
          <w:color w:val="231F20"/>
          <w:w w:val="105"/>
          <w:sz w:val="17"/>
        </w:rPr>
        <w:t> apply</w:t>
      </w:r>
      <w:r>
        <w:rPr>
          <w:color w:val="231F20"/>
          <w:w w:val="105"/>
          <w:sz w:val="17"/>
        </w:rPr>
        <w:t> taking</w:t>
      </w:r>
      <w:r>
        <w:rPr>
          <w:color w:val="231F20"/>
          <w:w w:val="105"/>
          <w:sz w:val="17"/>
        </w:rPr>
        <w:t> into</w:t>
      </w:r>
      <w:r>
        <w:rPr>
          <w:color w:val="231F20"/>
          <w:w w:val="105"/>
          <w:sz w:val="17"/>
        </w:rPr>
        <w:t> account</w:t>
      </w:r>
      <w:r>
        <w:rPr>
          <w:color w:val="231F20"/>
          <w:w w:val="105"/>
          <w:sz w:val="17"/>
        </w:rPr>
        <w:t> the guidance given in part B of the ISPS Code.</w:t>
      </w:r>
    </w:p>
    <w:p>
      <w:pPr>
        <w:pStyle w:val="ListParagraph"/>
        <w:numPr>
          <w:ilvl w:val="3"/>
          <w:numId w:val="1"/>
        </w:numPr>
        <w:tabs>
          <w:tab w:pos="2497" w:val="left" w:leader="none"/>
        </w:tabs>
        <w:spacing w:line="256" w:lineRule="auto" w:before="152" w:after="0"/>
        <w:ind w:left="2497" w:right="849" w:hanging="1081"/>
        <w:jc w:val="both"/>
        <w:rPr>
          <w:color w:val="231F20"/>
          <w:sz w:val="17"/>
        </w:rPr>
      </w:pPr>
      <w:r>
        <w:rPr>
          <w:color w:val="231F20"/>
          <w:w w:val="105"/>
          <w:sz w:val="17"/>
        </w:rPr>
        <w:t>For</w:t>
      </w:r>
      <w:r>
        <w:rPr>
          <w:color w:val="231F20"/>
          <w:spacing w:val="-4"/>
          <w:w w:val="105"/>
          <w:sz w:val="17"/>
        </w:rPr>
        <w:t> </w:t>
      </w:r>
      <w:r>
        <w:rPr>
          <w:color w:val="231F20"/>
          <w:w w:val="105"/>
          <w:sz w:val="17"/>
        </w:rPr>
        <w:t>cargo</w:t>
      </w:r>
      <w:r>
        <w:rPr>
          <w:color w:val="231F20"/>
          <w:spacing w:val="-4"/>
          <w:w w:val="105"/>
          <w:sz w:val="17"/>
        </w:rPr>
        <w:t> </w:t>
      </w:r>
      <w:r>
        <w:rPr>
          <w:color w:val="231F20"/>
          <w:w w:val="105"/>
          <w:sz w:val="17"/>
        </w:rPr>
        <w:t>ships</w:t>
      </w:r>
      <w:r>
        <w:rPr>
          <w:color w:val="231F20"/>
          <w:spacing w:val="-4"/>
          <w:w w:val="105"/>
          <w:sz w:val="17"/>
        </w:rPr>
        <w:t> </w:t>
      </w:r>
      <w:r>
        <w:rPr>
          <w:color w:val="231F20"/>
          <w:w w:val="105"/>
          <w:sz w:val="17"/>
        </w:rPr>
        <w:t>of</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500</w:t>
      </w:r>
      <w:r>
        <w:rPr>
          <w:color w:val="231F20"/>
          <w:spacing w:val="-4"/>
          <w:w w:val="105"/>
          <w:sz w:val="17"/>
        </w:rPr>
        <w:t> </w:t>
      </w:r>
      <w:r>
        <w:rPr>
          <w:color w:val="231F20"/>
          <w:w w:val="105"/>
          <w:sz w:val="17"/>
        </w:rPr>
        <w:t>gross</w:t>
      </w:r>
      <w:r>
        <w:rPr>
          <w:color w:val="231F20"/>
          <w:spacing w:val="-4"/>
          <w:w w:val="105"/>
          <w:sz w:val="17"/>
        </w:rPr>
        <w:t> </w:t>
      </w:r>
      <w:r>
        <w:rPr>
          <w:color w:val="231F20"/>
          <w:w w:val="105"/>
          <w:sz w:val="17"/>
        </w:rPr>
        <w:t>tons</w:t>
      </w:r>
      <w:r>
        <w:rPr>
          <w:color w:val="231F20"/>
          <w:spacing w:val="-4"/>
          <w:w w:val="105"/>
          <w:sz w:val="17"/>
        </w:rPr>
        <w:t> </w:t>
      </w:r>
      <w:r>
        <w:rPr>
          <w:color w:val="231F20"/>
          <w:w w:val="105"/>
          <w:sz w:val="17"/>
        </w:rPr>
        <w:t>engaged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of</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it</w:t>
      </w:r>
      <w:r>
        <w:rPr>
          <w:color w:val="231F20"/>
          <w:spacing w:val="-4"/>
          <w:w w:val="105"/>
          <w:sz w:val="17"/>
        </w:rPr>
        <w:t> </w:t>
      </w:r>
      <w:r>
        <w:rPr>
          <w:color w:val="231F20"/>
          <w:w w:val="105"/>
          <w:sz w:val="17"/>
        </w:rPr>
        <w:t>is</w:t>
      </w:r>
      <w:r>
        <w:rPr>
          <w:color w:val="231F20"/>
          <w:spacing w:val="-4"/>
          <w:w w:val="105"/>
          <w:sz w:val="17"/>
        </w:rPr>
        <w:t> </w:t>
      </w:r>
      <w:r>
        <w:rPr>
          <w:color w:val="231F20"/>
          <w:w w:val="105"/>
          <w:sz w:val="17"/>
        </w:rPr>
        <w:t>recommended that Contracting Governments to SOLAS, as amended, consider security provisions for these cargo ships.</w:t>
      </w:r>
    </w:p>
    <w:p>
      <w:pPr>
        <w:pStyle w:val="ListParagraph"/>
        <w:numPr>
          <w:ilvl w:val="3"/>
          <w:numId w:val="1"/>
        </w:numPr>
        <w:tabs>
          <w:tab w:pos="2497" w:val="left" w:leader="none"/>
        </w:tabs>
        <w:spacing w:line="256" w:lineRule="auto" w:before="150" w:after="0"/>
        <w:ind w:left="2497" w:right="846" w:hanging="1080"/>
        <w:jc w:val="both"/>
        <w:rPr>
          <w:color w:val="231F20"/>
          <w:sz w:val="17"/>
        </w:rPr>
      </w:pPr>
      <w:r>
        <w:rPr>
          <w:color w:val="231F20"/>
          <w:w w:val="105"/>
          <w:sz w:val="17"/>
        </w:rPr>
        <w:t>Any</w:t>
      </w:r>
      <w:r>
        <w:rPr>
          <w:color w:val="231F20"/>
          <w:w w:val="105"/>
          <w:sz w:val="17"/>
        </w:rPr>
        <w:t> shore-based</w:t>
      </w:r>
      <w:r>
        <w:rPr>
          <w:color w:val="231F20"/>
          <w:w w:val="105"/>
          <w:sz w:val="17"/>
        </w:rPr>
        <w:t> company</w:t>
      </w:r>
      <w:r>
        <w:rPr>
          <w:color w:val="231F20"/>
          <w:w w:val="105"/>
          <w:sz w:val="17"/>
        </w:rPr>
        <w:t> personnel,</w:t>
      </w:r>
      <w:r>
        <w:rPr>
          <w:color w:val="231F20"/>
          <w:w w:val="105"/>
          <w:sz w:val="17"/>
        </w:rPr>
        <w:t> ship-based</w:t>
      </w:r>
      <w:r>
        <w:rPr>
          <w:color w:val="231F20"/>
          <w:w w:val="105"/>
          <w:sz w:val="17"/>
        </w:rPr>
        <w:t> personnel</w:t>
      </w:r>
      <w:r>
        <w:rPr>
          <w:color w:val="231F20"/>
          <w:w w:val="105"/>
          <w:sz w:val="17"/>
        </w:rPr>
        <w:t> and</w:t>
      </w:r>
      <w:r>
        <w:rPr>
          <w:color w:val="231F20"/>
          <w:w w:val="105"/>
          <w:sz w:val="17"/>
        </w:rPr>
        <w:t> port</w:t>
      </w:r>
      <w:r>
        <w:rPr>
          <w:color w:val="231F20"/>
          <w:w w:val="105"/>
          <w:sz w:val="17"/>
        </w:rPr>
        <w:t> facility</w:t>
      </w:r>
      <w:r>
        <w:rPr>
          <w:color w:val="231F20"/>
          <w:w w:val="105"/>
          <w:sz w:val="17"/>
        </w:rPr>
        <w:t> personnel</w:t>
      </w:r>
      <w:r>
        <w:rPr>
          <w:color w:val="231F20"/>
          <w:w w:val="105"/>
          <w:sz w:val="17"/>
        </w:rPr>
        <w:t> engaged</w:t>
      </w:r>
      <w:r>
        <w:rPr>
          <w:color w:val="231F20"/>
          <w:w w:val="105"/>
          <w:sz w:val="17"/>
        </w:rPr>
        <w:t> in</w:t>
      </w:r>
      <w:r>
        <w:rPr>
          <w:color w:val="231F20"/>
          <w:w w:val="105"/>
          <w:sz w:val="17"/>
        </w:rPr>
        <w:t> the transport of dangerous goods should be aware of the security requirements for such goods, in addition to those specified in the ISPS Code, and commensurate with their responsibilities.</w:t>
      </w:r>
    </w:p>
    <w:p>
      <w:pPr>
        <w:pStyle w:val="ListParagraph"/>
        <w:numPr>
          <w:ilvl w:val="3"/>
          <w:numId w:val="1"/>
        </w:numPr>
        <w:tabs>
          <w:tab w:pos="2497" w:val="left" w:leader="none"/>
        </w:tabs>
        <w:spacing w:line="256" w:lineRule="auto" w:before="152" w:after="0"/>
        <w:ind w:left="2497" w:right="848" w:hanging="1080"/>
        <w:jc w:val="both"/>
        <w:rPr>
          <w:color w:val="231F20"/>
          <w:sz w:val="17"/>
        </w:rPr>
      </w:pPr>
      <w:r>
        <w:rPr>
          <w:color w:val="231F20"/>
          <w:w w:val="105"/>
          <w:sz w:val="17"/>
        </w:rPr>
        <w:t>The</w:t>
      </w:r>
      <w:r>
        <w:rPr>
          <w:color w:val="231F20"/>
          <w:spacing w:val="-4"/>
          <w:w w:val="105"/>
          <w:sz w:val="17"/>
        </w:rPr>
        <w:t> </w:t>
      </w:r>
      <w:r>
        <w:rPr>
          <w:color w:val="231F20"/>
          <w:w w:val="105"/>
          <w:sz w:val="17"/>
        </w:rPr>
        <w:t>training</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company</w:t>
      </w:r>
      <w:r>
        <w:rPr>
          <w:color w:val="231F20"/>
          <w:spacing w:val="-4"/>
          <w:w w:val="105"/>
          <w:sz w:val="17"/>
        </w:rPr>
        <w:t> </w:t>
      </w:r>
      <w:r>
        <w:rPr>
          <w:color w:val="231F20"/>
          <w:w w:val="105"/>
          <w:sz w:val="17"/>
        </w:rPr>
        <w:t>security</w:t>
      </w:r>
      <w:r>
        <w:rPr>
          <w:color w:val="231F20"/>
          <w:spacing w:val="-4"/>
          <w:w w:val="105"/>
          <w:sz w:val="17"/>
        </w:rPr>
        <w:t> </w:t>
      </w:r>
      <w:r>
        <w:rPr>
          <w:color w:val="231F20"/>
          <w:w w:val="105"/>
          <w:sz w:val="17"/>
        </w:rPr>
        <w:t>officer,</w:t>
      </w:r>
      <w:r>
        <w:rPr>
          <w:color w:val="231F20"/>
          <w:spacing w:val="-4"/>
          <w:w w:val="105"/>
          <w:sz w:val="17"/>
        </w:rPr>
        <w:t> </w:t>
      </w:r>
      <w:r>
        <w:rPr>
          <w:color w:val="231F20"/>
          <w:w w:val="105"/>
          <w:sz w:val="17"/>
        </w:rPr>
        <w:t>shore-based</w:t>
      </w:r>
      <w:r>
        <w:rPr>
          <w:color w:val="231F20"/>
          <w:spacing w:val="-4"/>
          <w:w w:val="105"/>
          <w:sz w:val="17"/>
        </w:rPr>
        <w:t> </w:t>
      </w:r>
      <w:r>
        <w:rPr>
          <w:color w:val="231F20"/>
          <w:w w:val="105"/>
          <w:sz w:val="17"/>
        </w:rPr>
        <w:t>company</w:t>
      </w:r>
      <w:r>
        <w:rPr>
          <w:color w:val="231F20"/>
          <w:spacing w:val="-4"/>
          <w:w w:val="105"/>
          <w:sz w:val="17"/>
        </w:rPr>
        <w:t> </w:t>
      </w:r>
      <w:r>
        <w:rPr>
          <w:color w:val="231F20"/>
          <w:w w:val="105"/>
          <w:sz w:val="17"/>
        </w:rPr>
        <w:t>personnel</w:t>
      </w:r>
      <w:r>
        <w:rPr>
          <w:color w:val="231F20"/>
          <w:spacing w:val="-4"/>
          <w:w w:val="105"/>
          <w:sz w:val="17"/>
        </w:rPr>
        <w:t> </w:t>
      </w:r>
      <w:r>
        <w:rPr>
          <w:color w:val="231F20"/>
          <w:w w:val="105"/>
          <w:sz w:val="17"/>
        </w:rPr>
        <w:t>having</w:t>
      </w:r>
      <w:r>
        <w:rPr>
          <w:color w:val="231F20"/>
          <w:spacing w:val="-4"/>
          <w:w w:val="105"/>
          <w:sz w:val="17"/>
        </w:rPr>
        <w:t> </w:t>
      </w:r>
      <w:r>
        <w:rPr>
          <w:color w:val="231F20"/>
          <w:w w:val="105"/>
          <w:sz w:val="17"/>
        </w:rPr>
        <w:t>specific</w:t>
      </w:r>
      <w:r>
        <w:rPr>
          <w:color w:val="231F20"/>
          <w:spacing w:val="-4"/>
          <w:w w:val="105"/>
          <w:sz w:val="17"/>
        </w:rPr>
        <w:t> </w:t>
      </w:r>
      <w:r>
        <w:rPr>
          <w:color w:val="231F20"/>
          <w:w w:val="105"/>
          <w:sz w:val="17"/>
        </w:rPr>
        <w:t>security</w:t>
      </w:r>
      <w:r>
        <w:rPr>
          <w:color w:val="231F20"/>
          <w:spacing w:val="-4"/>
          <w:w w:val="105"/>
          <w:sz w:val="17"/>
        </w:rPr>
        <w:t> </w:t>
      </w:r>
      <w:r>
        <w:rPr>
          <w:color w:val="231F20"/>
          <w:w w:val="105"/>
          <w:sz w:val="17"/>
        </w:rPr>
        <w:t>duties, port facility security officer and port facility personnel having specific duties, engaged in the transport of dangerous goods, should also include elements of security awareness related to those goods.</w:t>
      </w:r>
    </w:p>
    <w:p>
      <w:pPr>
        <w:pStyle w:val="ListParagraph"/>
        <w:numPr>
          <w:ilvl w:val="3"/>
          <w:numId w:val="1"/>
        </w:numPr>
        <w:tabs>
          <w:tab w:pos="2497" w:val="left" w:leader="none"/>
        </w:tabs>
        <w:spacing w:line="256" w:lineRule="auto" w:before="151" w:after="0"/>
        <w:ind w:left="2497" w:right="847" w:hanging="1080"/>
        <w:jc w:val="both"/>
        <w:rPr>
          <w:color w:val="231F20"/>
          <w:sz w:val="17"/>
        </w:rPr>
      </w:pPr>
      <w:r>
        <w:rPr>
          <w:color w:val="231F20"/>
          <w:w w:val="105"/>
          <w:sz w:val="17"/>
        </w:rPr>
        <w:t>All shipboard personnel and port facility personnel who are not mentioned in 1.4.1.4 and are engaged in the transport of dangerous goods should be familiar with the provisions of the relevant security plans related to those goods, commensurate with their responsibilities.</w:t>
      </w:r>
    </w:p>
    <w:p>
      <w:pPr>
        <w:pStyle w:val="BodyText"/>
        <w:spacing w:before="179"/>
      </w:pPr>
    </w:p>
    <w:p>
      <w:pPr>
        <w:pStyle w:val="Heading1"/>
        <w:numPr>
          <w:ilvl w:val="2"/>
          <w:numId w:val="1"/>
        </w:numPr>
        <w:tabs>
          <w:tab w:pos="2497" w:val="left" w:leader="none"/>
        </w:tabs>
        <w:spacing w:line="240" w:lineRule="auto" w:before="0" w:after="0"/>
        <w:ind w:left="2497" w:right="0" w:hanging="1080"/>
        <w:jc w:val="left"/>
      </w:pPr>
      <w:r>
        <w:rPr>
          <w:color w:val="231F20"/>
          <w:w w:val="105"/>
        </w:rPr>
        <w:t>General</w:t>
      </w:r>
      <w:r>
        <w:rPr>
          <w:color w:val="231F20"/>
          <w:spacing w:val="-8"/>
          <w:w w:val="105"/>
        </w:rPr>
        <w:t> </w:t>
      </w:r>
      <w:r>
        <w:rPr>
          <w:color w:val="231F20"/>
          <w:w w:val="105"/>
        </w:rPr>
        <w:t>provisions</w:t>
      </w:r>
      <w:r>
        <w:rPr>
          <w:color w:val="231F20"/>
          <w:spacing w:val="-8"/>
          <w:w w:val="105"/>
        </w:rPr>
        <w:t> </w:t>
      </w:r>
      <w:r>
        <w:rPr>
          <w:color w:val="231F20"/>
          <w:w w:val="105"/>
        </w:rPr>
        <w:t>for</w:t>
      </w:r>
      <w:r>
        <w:rPr>
          <w:color w:val="231F20"/>
          <w:spacing w:val="-8"/>
          <w:w w:val="105"/>
        </w:rPr>
        <w:t> </w:t>
      </w:r>
      <w:r>
        <w:rPr>
          <w:color w:val="231F20"/>
          <w:w w:val="105"/>
        </w:rPr>
        <w:t>shore-side</w:t>
      </w:r>
      <w:r>
        <w:rPr>
          <w:color w:val="231F20"/>
          <w:spacing w:val="-8"/>
          <w:w w:val="105"/>
        </w:rPr>
        <w:t> </w:t>
      </w:r>
      <w:r>
        <w:rPr>
          <w:color w:val="231F20"/>
          <w:spacing w:val="-2"/>
          <w:w w:val="105"/>
        </w:rPr>
        <w:t>personnel</w:t>
      </w:r>
    </w:p>
    <w:p>
      <w:pPr>
        <w:pStyle w:val="ListParagraph"/>
        <w:numPr>
          <w:ilvl w:val="3"/>
          <w:numId w:val="1"/>
        </w:numPr>
        <w:tabs>
          <w:tab w:pos="2497" w:val="left" w:leader="none"/>
        </w:tabs>
        <w:spacing w:line="256" w:lineRule="auto" w:before="153" w:after="0"/>
        <w:ind w:left="2497" w:right="847" w:hanging="1081"/>
        <w:jc w:val="both"/>
        <w:rPr>
          <w:color w:val="231F20"/>
          <w:sz w:val="17"/>
        </w:rPr>
      </w:pPr>
      <w:r>
        <w:rPr>
          <w:color w:val="231F20"/>
          <w:w w:val="105"/>
          <w:sz w:val="17"/>
        </w:rPr>
        <w:t>For the purpose of this subsection, shore-side personnel covers individuals mentioned in 1.3.1.2. However, the provisions of 1.4.2 do not apply to:</w:t>
      </w:r>
    </w:p>
    <w:p>
      <w:pPr>
        <w:pStyle w:val="ListParagraph"/>
        <w:numPr>
          <w:ilvl w:val="0"/>
          <w:numId w:val="3"/>
        </w:numPr>
        <w:tabs>
          <w:tab w:pos="2857" w:val="left" w:leader="none"/>
        </w:tabs>
        <w:spacing w:line="256" w:lineRule="auto" w:before="91" w:after="0"/>
        <w:ind w:left="2857" w:right="848" w:hanging="360"/>
        <w:jc w:val="left"/>
        <w:rPr>
          <w:sz w:val="17"/>
        </w:rPr>
      </w:pPr>
      <w:r>
        <w:rPr>
          <w:color w:val="231F20"/>
          <w:w w:val="105"/>
          <w:sz w:val="17"/>
        </w:rPr>
        <w:t>the</w:t>
      </w:r>
      <w:r>
        <w:rPr>
          <w:color w:val="231F20"/>
          <w:spacing w:val="27"/>
          <w:w w:val="105"/>
          <w:sz w:val="17"/>
        </w:rPr>
        <w:t> </w:t>
      </w:r>
      <w:r>
        <w:rPr>
          <w:color w:val="231F20"/>
          <w:w w:val="105"/>
          <w:sz w:val="17"/>
        </w:rPr>
        <w:t>company</w:t>
      </w:r>
      <w:r>
        <w:rPr>
          <w:color w:val="231F20"/>
          <w:spacing w:val="27"/>
          <w:w w:val="105"/>
          <w:sz w:val="17"/>
        </w:rPr>
        <w:t> </w:t>
      </w:r>
      <w:r>
        <w:rPr>
          <w:color w:val="231F20"/>
          <w:w w:val="105"/>
          <w:sz w:val="17"/>
        </w:rPr>
        <w:t>security</w:t>
      </w:r>
      <w:r>
        <w:rPr>
          <w:color w:val="231F20"/>
          <w:spacing w:val="27"/>
          <w:w w:val="105"/>
          <w:sz w:val="17"/>
        </w:rPr>
        <w:t> </w:t>
      </w:r>
      <w:r>
        <w:rPr>
          <w:color w:val="231F20"/>
          <w:w w:val="105"/>
          <w:sz w:val="17"/>
        </w:rPr>
        <w:t>officer</w:t>
      </w:r>
      <w:r>
        <w:rPr>
          <w:color w:val="231F20"/>
          <w:spacing w:val="27"/>
          <w:w w:val="105"/>
          <w:sz w:val="17"/>
        </w:rPr>
        <w:t> </w:t>
      </w:r>
      <w:r>
        <w:rPr>
          <w:color w:val="231F20"/>
          <w:w w:val="105"/>
          <w:sz w:val="17"/>
        </w:rPr>
        <w:t>and</w:t>
      </w:r>
      <w:r>
        <w:rPr>
          <w:color w:val="231F20"/>
          <w:spacing w:val="27"/>
          <w:w w:val="105"/>
          <w:sz w:val="17"/>
        </w:rPr>
        <w:t> </w:t>
      </w:r>
      <w:r>
        <w:rPr>
          <w:color w:val="231F20"/>
          <w:w w:val="105"/>
          <w:sz w:val="17"/>
        </w:rPr>
        <w:t>appropriate</w:t>
      </w:r>
      <w:r>
        <w:rPr>
          <w:color w:val="231F20"/>
          <w:spacing w:val="27"/>
          <w:w w:val="105"/>
          <w:sz w:val="17"/>
        </w:rPr>
        <w:t> </w:t>
      </w:r>
      <w:r>
        <w:rPr>
          <w:color w:val="231F20"/>
          <w:w w:val="105"/>
          <w:sz w:val="17"/>
        </w:rPr>
        <w:t>shore-based</w:t>
      </w:r>
      <w:r>
        <w:rPr>
          <w:color w:val="231F20"/>
          <w:spacing w:val="27"/>
          <w:w w:val="105"/>
          <w:sz w:val="17"/>
        </w:rPr>
        <w:t> </w:t>
      </w:r>
      <w:r>
        <w:rPr>
          <w:color w:val="231F20"/>
          <w:w w:val="105"/>
          <w:sz w:val="17"/>
        </w:rPr>
        <w:t>company</w:t>
      </w:r>
      <w:r>
        <w:rPr>
          <w:color w:val="231F20"/>
          <w:spacing w:val="27"/>
          <w:w w:val="105"/>
          <w:sz w:val="17"/>
        </w:rPr>
        <w:t> </w:t>
      </w:r>
      <w:r>
        <w:rPr>
          <w:color w:val="231F20"/>
          <w:w w:val="105"/>
          <w:sz w:val="17"/>
        </w:rPr>
        <w:t>personnel</w:t>
      </w:r>
      <w:r>
        <w:rPr>
          <w:color w:val="231F20"/>
          <w:spacing w:val="27"/>
          <w:w w:val="105"/>
          <w:sz w:val="17"/>
        </w:rPr>
        <w:t> </w:t>
      </w:r>
      <w:r>
        <w:rPr>
          <w:color w:val="231F20"/>
          <w:w w:val="105"/>
          <w:sz w:val="17"/>
        </w:rPr>
        <w:t>mentioned</w:t>
      </w:r>
      <w:r>
        <w:rPr>
          <w:color w:val="231F20"/>
          <w:spacing w:val="27"/>
          <w:w w:val="105"/>
          <w:sz w:val="17"/>
        </w:rPr>
        <w:t> </w:t>
      </w:r>
      <w:r>
        <w:rPr>
          <w:color w:val="231F20"/>
          <w:w w:val="105"/>
          <w:sz w:val="17"/>
        </w:rPr>
        <w:t>in</w:t>
      </w:r>
      <w:r>
        <w:rPr>
          <w:color w:val="231F20"/>
          <w:spacing w:val="27"/>
          <w:w w:val="105"/>
          <w:sz w:val="17"/>
        </w:rPr>
        <w:t> </w:t>
      </w:r>
      <w:r>
        <w:rPr>
          <w:color w:val="231F20"/>
          <w:w w:val="105"/>
          <w:sz w:val="17"/>
        </w:rPr>
        <w:t>13.1</w:t>
      </w:r>
      <w:r>
        <w:rPr>
          <w:color w:val="231F20"/>
          <w:spacing w:val="27"/>
          <w:w w:val="105"/>
          <w:sz w:val="17"/>
        </w:rPr>
        <w:t> </w:t>
      </w:r>
      <w:r>
        <w:rPr>
          <w:color w:val="231F20"/>
          <w:w w:val="105"/>
          <w:sz w:val="17"/>
        </w:rPr>
        <w:t>of part A of the ISPS Code,</w:t>
      </w:r>
    </w:p>
    <w:p>
      <w:pPr>
        <w:pStyle w:val="ListParagraph"/>
        <w:numPr>
          <w:ilvl w:val="0"/>
          <w:numId w:val="3"/>
        </w:numPr>
        <w:tabs>
          <w:tab w:pos="2857" w:val="left" w:leader="none"/>
        </w:tabs>
        <w:spacing w:line="256" w:lineRule="auto" w:before="90" w:after="0"/>
        <w:ind w:left="2857" w:right="847" w:hanging="360"/>
        <w:jc w:val="left"/>
        <w:rPr>
          <w:sz w:val="17"/>
        </w:rPr>
      </w:pPr>
      <w:r>
        <w:rPr>
          <w:color w:val="231F20"/>
          <w:w w:val="105"/>
          <w:sz w:val="17"/>
        </w:rPr>
        <w:t>the ship security officer and the shipboard personnel mentioned in 13.2 and 13.3 of part A of the ISPS </w:t>
      </w:r>
      <w:r>
        <w:rPr>
          <w:color w:val="231F20"/>
          <w:spacing w:val="-4"/>
          <w:w w:val="105"/>
          <w:sz w:val="17"/>
        </w:rPr>
        <w:t>Code,</w:t>
      </w:r>
    </w:p>
    <w:p>
      <w:pPr>
        <w:pStyle w:val="ListParagraph"/>
        <w:numPr>
          <w:ilvl w:val="0"/>
          <w:numId w:val="3"/>
        </w:numPr>
        <w:tabs>
          <w:tab w:pos="2857" w:val="left" w:leader="none"/>
        </w:tabs>
        <w:spacing w:line="256" w:lineRule="auto" w:before="91" w:after="0"/>
        <w:ind w:left="2857" w:right="848" w:hanging="360"/>
        <w:jc w:val="left"/>
        <w:rPr>
          <w:sz w:val="17"/>
        </w:rPr>
      </w:pPr>
      <w:r>
        <w:rPr>
          <w:color w:val="231F20"/>
          <w:w w:val="105"/>
          <w:sz w:val="17"/>
        </w:rPr>
        <w:t>the</w:t>
      </w:r>
      <w:r>
        <w:rPr>
          <w:color w:val="231F20"/>
          <w:spacing w:val="40"/>
          <w:w w:val="105"/>
          <w:sz w:val="17"/>
        </w:rPr>
        <w:t> </w:t>
      </w:r>
      <w:r>
        <w:rPr>
          <w:color w:val="231F20"/>
          <w:w w:val="105"/>
          <w:sz w:val="17"/>
        </w:rPr>
        <w:t>port</w:t>
      </w:r>
      <w:r>
        <w:rPr>
          <w:color w:val="231F20"/>
          <w:spacing w:val="40"/>
          <w:w w:val="105"/>
          <w:sz w:val="17"/>
        </w:rPr>
        <w:t> </w:t>
      </w:r>
      <w:r>
        <w:rPr>
          <w:color w:val="231F20"/>
          <w:w w:val="105"/>
          <w:sz w:val="17"/>
        </w:rPr>
        <w:t>facility</w:t>
      </w:r>
      <w:r>
        <w:rPr>
          <w:color w:val="231F20"/>
          <w:spacing w:val="40"/>
          <w:w w:val="105"/>
          <w:sz w:val="17"/>
        </w:rPr>
        <w:t> </w:t>
      </w:r>
      <w:r>
        <w:rPr>
          <w:color w:val="231F20"/>
          <w:w w:val="105"/>
          <w:sz w:val="17"/>
        </w:rPr>
        <w:t>security</w:t>
      </w:r>
      <w:r>
        <w:rPr>
          <w:color w:val="231F20"/>
          <w:spacing w:val="40"/>
          <w:w w:val="105"/>
          <w:sz w:val="17"/>
        </w:rPr>
        <w:t> </w:t>
      </w:r>
      <w:r>
        <w:rPr>
          <w:color w:val="231F20"/>
          <w:w w:val="105"/>
          <w:sz w:val="17"/>
        </w:rPr>
        <w:t>officer,</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appropriate</w:t>
      </w:r>
      <w:r>
        <w:rPr>
          <w:color w:val="231F20"/>
          <w:spacing w:val="40"/>
          <w:w w:val="105"/>
          <w:sz w:val="17"/>
        </w:rPr>
        <w:t> </w:t>
      </w:r>
      <w:r>
        <w:rPr>
          <w:color w:val="231F20"/>
          <w:w w:val="105"/>
          <w:sz w:val="17"/>
        </w:rPr>
        <w:t>port</w:t>
      </w:r>
      <w:r>
        <w:rPr>
          <w:color w:val="231F20"/>
          <w:spacing w:val="40"/>
          <w:w w:val="105"/>
          <w:sz w:val="17"/>
        </w:rPr>
        <w:t> </w:t>
      </w:r>
      <w:r>
        <w:rPr>
          <w:color w:val="231F20"/>
          <w:w w:val="105"/>
          <w:sz w:val="17"/>
        </w:rPr>
        <w:t>facility</w:t>
      </w:r>
      <w:r>
        <w:rPr>
          <w:color w:val="231F20"/>
          <w:spacing w:val="40"/>
          <w:w w:val="105"/>
          <w:sz w:val="17"/>
        </w:rPr>
        <w:t> </w:t>
      </w:r>
      <w:r>
        <w:rPr>
          <w:color w:val="231F20"/>
          <w:w w:val="105"/>
          <w:sz w:val="17"/>
        </w:rPr>
        <w:t>security</w:t>
      </w:r>
      <w:r>
        <w:rPr>
          <w:color w:val="231F20"/>
          <w:spacing w:val="40"/>
          <w:w w:val="105"/>
          <w:sz w:val="17"/>
        </w:rPr>
        <w:t> </w:t>
      </w:r>
      <w:r>
        <w:rPr>
          <w:color w:val="231F20"/>
          <w:w w:val="105"/>
          <w:sz w:val="17"/>
        </w:rPr>
        <w:t>personnel</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port</w:t>
      </w:r>
      <w:r>
        <w:rPr>
          <w:color w:val="231F20"/>
          <w:spacing w:val="40"/>
          <w:w w:val="105"/>
          <w:sz w:val="17"/>
        </w:rPr>
        <w:t> </w:t>
      </w:r>
      <w:r>
        <w:rPr>
          <w:color w:val="231F20"/>
          <w:w w:val="105"/>
          <w:sz w:val="17"/>
        </w:rPr>
        <w:t>facility personnel having specific security duties mentioned in 18.1 and 18.2 of part A of the ISPS Code.</w:t>
      </w:r>
    </w:p>
    <w:p>
      <w:pPr>
        <w:spacing w:before="150"/>
        <w:ind w:left="2497" w:right="0" w:firstLine="0"/>
        <w:jc w:val="left"/>
        <w:rPr>
          <w:rFonts w:ascii="Arial"/>
          <w:i/>
          <w:sz w:val="17"/>
        </w:rPr>
      </w:pPr>
      <w:r>
        <w:rPr>
          <w:color w:val="231F20"/>
          <w:sz w:val="17"/>
        </w:rPr>
        <w:t>For</w:t>
      </w:r>
      <w:r>
        <w:rPr>
          <w:color w:val="231F20"/>
          <w:spacing w:val="15"/>
          <w:sz w:val="17"/>
        </w:rPr>
        <w:t> </w:t>
      </w:r>
      <w:r>
        <w:rPr>
          <w:color w:val="231F20"/>
          <w:sz w:val="17"/>
        </w:rPr>
        <w:t>the</w:t>
      </w:r>
      <w:r>
        <w:rPr>
          <w:color w:val="231F20"/>
          <w:spacing w:val="16"/>
          <w:sz w:val="17"/>
        </w:rPr>
        <w:t> </w:t>
      </w:r>
      <w:r>
        <w:rPr>
          <w:color w:val="231F20"/>
          <w:sz w:val="17"/>
        </w:rPr>
        <w:t>training</w:t>
      </w:r>
      <w:r>
        <w:rPr>
          <w:color w:val="231F20"/>
          <w:spacing w:val="16"/>
          <w:sz w:val="17"/>
        </w:rPr>
        <w:t> </w:t>
      </w:r>
      <w:r>
        <w:rPr>
          <w:color w:val="231F20"/>
          <w:sz w:val="17"/>
        </w:rPr>
        <w:t>of</w:t>
      </w:r>
      <w:r>
        <w:rPr>
          <w:color w:val="231F20"/>
          <w:spacing w:val="16"/>
          <w:sz w:val="17"/>
        </w:rPr>
        <w:t> </w:t>
      </w:r>
      <w:r>
        <w:rPr>
          <w:color w:val="231F20"/>
          <w:sz w:val="17"/>
        </w:rPr>
        <w:t>those</w:t>
      </w:r>
      <w:r>
        <w:rPr>
          <w:color w:val="231F20"/>
          <w:spacing w:val="16"/>
          <w:sz w:val="17"/>
        </w:rPr>
        <w:t> </w:t>
      </w:r>
      <w:r>
        <w:rPr>
          <w:color w:val="231F20"/>
          <w:sz w:val="17"/>
        </w:rPr>
        <w:t>officers</w:t>
      </w:r>
      <w:r>
        <w:rPr>
          <w:color w:val="231F20"/>
          <w:spacing w:val="16"/>
          <w:sz w:val="17"/>
        </w:rPr>
        <w:t> </w:t>
      </w:r>
      <w:r>
        <w:rPr>
          <w:color w:val="231F20"/>
          <w:sz w:val="17"/>
        </w:rPr>
        <w:t>and</w:t>
      </w:r>
      <w:r>
        <w:rPr>
          <w:color w:val="231F20"/>
          <w:spacing w:val="16"/>
          <w:sz w:val="17"/>
        </w:rPr>
        <w:t> </w:t>
      </w:r>
      <w:r>
        <w:rPr>
          <w:color w:val="231F20"/>
          <w:sz w:val="17"/>
        </w:rPr>
        <w:t>personnel,</w:t>
      </w:r>
      <w:r>
        <w:rPr>
          <w:color w:val="231F20"/>
          <w:spacing w:val="16"/>
          <w:sz w:val="17"/>
        </w:rPr>
        <w:t> </w:t>
      </w:r>
      <w:r>
        <w:rPr>
          <w:color w:val="231F20"/>
          <w:sz w:val="17"/>
        </w:rPr>
        <w:t>refer</w:t>
      </w:r>
      <w:r>
        <w:rPr>
          <w:color w:val="231F20"/>
          <w:spacing w:val="16"/>
          <w:sz w:val="17"/>
        </w:rPr>
        <w:t> </w:t>
      </w:r>
      <w:r>
        <w:rPr>
          <w:color w:val="231F20"/>
          <w:sz w:val="17"/>
        </w:rPr>
        <w:t>to</w:t>
      </w:r>
      <w:r>
        <w:rPr>
          <w:color w:val="231F20"/>
          <w:spacing w:val="16"/>
          <w:sz w:val="17"/>
        </w:rPr>
        <w:t> </w:t>
      </w:r>
      <w:r>
        <w:rPr>
          <w:color w:val="231F20"/>
          <w:sz w:val="17"/>
        </w:rPr>
        <w:t>the</w:t>
      </w:r>
      <w:r>
        <w:rPr>
          <w:color w:val="231F20"/>
          <w:spacing w:val="16"/>
          <w:sz w:val="17"/>
        </w:rPr>
        <w:t> </w:t>
      </w:r>
      <w:r>
        <w:rPr>
          <w:rFonts w:ascii="Arial"/>
          <w:i/>
          <w:color w:val="231F20"/>
          <w:sz w:val="17"/>
        </w:rPr>
        <w:t>International</w:t>
      </w:r>
      <w:r>
        <w:rPr>
          <w:rFonts w:ascii="Arial"/>
          <w:i/>
          <w:color w:val="231F20"/>
          <w:spacing w:val="16"/>
          <w:sz w:val="17"/>
        </w:rPr>
        <w:t> </w:t>
      </w:r>
      <w:r>
        <w:rPr>
          <w:rFonts w:ascii="Arial"/>
          <w:i/>
          <w:color w:val="231F20"/>
          <w:sz w:val="17"/>
        </w:rPr>
        <w:t>Ship</w:t>
      </w:r>
      <w:r>
        <w:rPr>
          <w:rFonts w:ascii="Arial"/>
          <w:i/>
          <w:color w:val="231F20"/>
          <w:spacing w:val="16"/>
          <w:sz w:val="17"/>
        </w:rPr>
        <w:t> </w:t>
      </w:r>
      <w:r>
        <w:rPr>
          <w:rFonts w:ascii="Arial"/>
          <w:i/>
          <w:color w:val="231F20"/>
          <w:sz w:val="17"/>
        </w:rPr>
        <w:t>and</w:t>
      </w:r>
      <w:r>
        <w:rPr>
          <w:rFonts w:ascii="Arial"/>
          <w:i/>
          <w:color w:val="231F20"/>
          <w:spacing w:val="16"/>
          <w:sz w:val="17"/>
        </w:rPr>
        <w:t> </w:t>
      </w:r>
      <w:r>
        <w:rPr>
          <w:rFonts w:ascii="Arial"/>
          <w:i/>
          <w:color w:val="231F20"/>
          <w:sz w:val="17"/>
        </w:rPr>
        <w:t>Port</w:t>
      </w:r>
      <w:r>
        <w:rPr>
          <w:rFonts w:ascii="Arial"/>
          <w:i/>
          <w:color w:val="231F20"/>
          <w:spacing w:val="16"/>
          <w:sz w:val="17"/>
        </w:rPr>
        <w:t> </w:t>
      </w:r>
      <w:r>
        <w:rPr>
          <w:rFonts w:ascii="Arial"/>
          <w:i/>
          <w:color w:val="231F20"/>
          <w:sz w:val="17"/>
        </w:rPr>
        <w:t>Facility</w:t>
      </w:r>
      <w:r>
        <w:rPr>
          <w:rFonts w:ascii="Arial"/>
          <w:i/>
          <w:color w:val="231F20"/>
          <w:spacing w:val="15"/>
          <w:sz w:val="17"/>
        </w:rPr>
        <w:t> </w:t>
      </w:r>
      <w:r>
        <w:rPr>
          <w:rFonts w:ascii="Arial"/>
          <w:i/>
          <w:color w:val="231F20"/>
          <w:sz w:val="17"/>
        </w:rPr>
        <w:t>Security</w:t>
      </w:r>
      <w:r>
        <w:rPr>
          <w:rFonts w:ascii="Arial"/>
          <w:i/>
          <w:color w:val="231F20"/>
          <w:spacing w:val="16"/>
          <w:sz w:val="17"/>
        </w:rPr>
        <w:t> </w:t>
      </w:r>
      <w:r>
        <w:rPr>
          <w:rFonts w:ascii="Arial"/>
          <w:i/>
          <w:color w:val="231F20"/>
          <w:spacing w:val="-4"/>
          <w:sz w:val="17"/>
        </w:rPr>
        <w:t>Code</w:t>
      </w:r>
    </w:p>
    <w:p>
      <w:pPr>
        <w:pStyle w:val="BodyText"/>
        <w:spacing w:before="15"/>
        <w:ind w:left="2497"/>
      </w:pPr>
      <w:r>
        <w:rPr>
          <w:color w:val="231F20"/>
        </w:rPr>
        <w:t>(ISPS</w:t>
      </w:r>
      <w:r>
        <w:rPr>
          <w:color w:val="231F20"/>
          <w:spacing w:val="-11"/>
        </w:rPr>
        <w:t> </w:t>
      </w:r>
      <w:r>
        <w:rPr>
          <w:color w:val="231F20"/>
          <w:spacing w:val="-2"/>
        </w:rPr>
        <w:t>Code).</w:t>
      </w:r>
    </w:p>
    <w:p>
      <w:pPr>
        <w:pStyle w:val="BodyText"/>
        <w:spacing w:before="10"/>
        <w:rPr>
          <w:sz w:val="20"/>
        </w:rPr>
      </w:pPr>
      <w:r>
        <w:rPr>
          <w:sz w:val="20"/>
        </w:rPr>
        <mc:AlternateContent>
          <mc:Choice Requires="wps">
            <w:drawing>
              <wp:anchor distT="0" distB="0" distL="0" distR="0" allowOverlap="1" layoutInCell="1" locked="0" behindDoc="1" simplePos="0" relativeHeight="487588352">
                <wp:simplePos x="0" y="0"/>
                <wp:positionH relativeFrom="page">
                  <wp:posOffset>899999</wp:posOffset>
                </wp:positionH>
                <wp:positionV relativeFrom="paragraph">
                  <wp:posOffset>167699</wp:posOffset>
                </wp:positionV>
                <wp:extent cx="9144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3.20467pt;width:72pt;height:.1pt;mso-position-horizontal-relative:page;mso-position-vertical-relative:paragraph;z-index:-15728128;mso-wrap-distance-left:0;mso-wrap-distance-right:0" id="docshape11" coordorigin="1417,264" coordsize="1440,0" path="m1417,264l2857,264e" filled="false" stroked="true" strokeweight=".5pt" strokecolor="#231f20">
                <v:path arrowok="t"/>
                <v:stroke dashstyle="solid"/>
                <w10:wrap type="topAndBottom"/>
              </v:shape>
            </w:pict>
          </mc:Fallback>
        </mc:AlternateContent>
      </w:r>
    </w:p>
    <w:p>
      <w:pPr>
        <w:spacing w:line="220" w:lineRule="auto" w:before="87"/>
        <w:ind w:left="1417" w:right="849" w:firstLine="0"/>
        <w:jc w:val="left"/>
        <w:rPr>
          <w:sz w:val="16"/>
        </w:rPr>
      </w:pPr>
      <w:r>
        <w:rPr>
          <w:rFonts w:ascii="Times New Roman"/>
          <w:color w:val="231F20"/>
          <w:sz w:val="16"/>
          <w:vertAlign w:val="superscript"/>
        </w:rPr>
        <w:t>*</w:t>
      </w:r>
      <w:r>
        <w:rPr>
          <w:rFonts w:ascii="Times New Roman"/>
          <w:color w:val="231F20"/>
          <w:spacing w:val="33"/>
          <w:sz w:val="16"/>
          <w:vertAlign w:val="baseline"/>
        </w:rPr>
        <w:t> </w:t>
      </w:r>
      <w:r>
        <w:rPr>
          <w:color w:val="231F20"/>
          <w:sz w:val="16"/>
          <w:vertAlign w:val="baseline"/>
        </w:rPr>
        <w:t>Refer to </w:t>
      </w:r>
      <w:r>
        <w:rPr>
          <w:rFonts w:ascii="Arial"/>
          <w:i/>
          <w:color w:val="231F20"/>
          <w:sz w:val="16"/>
          <w:vertAlign w:val="baseline"/>
        </w:rPr>
        <w:t>Guidelines on security-related training and familiarization for port facility personnel </w:t>
      </w:r>
      <w:r>
        <w:rPr>
          <w:color w:val="231F20"/>
          <w:sz w:val="16"/>
          <w:vertAlign w:val="baseline"/>
        </w:rPr>
        <w:t>(MSC.1/Circ.1341) and to </w:t>
      </w:r>
      <w:r>
        <w:rPr>
          <w:rFonts w:ascii="Arial"/>
          <w:i/>
          <w:color w:val="231F20"/>
          <w:sz w:val="16"/>
          <w:vertAlign w:val="baseline"/>
        </w:rPr>
        <w:t>Guidelines on training and certification for port facility security officers </w:t>
      </w:r>
      <w:r>
        <w:rPr>
          <w:color w:val="231F20"/>
          <w:sz w:val="16"/>
          <w:vertAlign w:val="baseline"/>
        </w:rPr>
        <w:t>(MSC.1/Circ.1188).</w:t>
      </w:r>
    </w:p>
    <w:p>
      <w:pPr>
        <w:spacing w:after="0" w:line="220" w:lineRule="auto"/>
        <w:jc w:val="left"/>
        <w:rPr>
          <w:sz w:val="16"/>
        </w:rPr>
        <w:sectPr>
          <w:footerReference w:type="default" r:id="rId5"/>
          <w:footerReference w:type="even" r:id="rId6"/>
          <w:type w:val="continuous"/>
          <w:pgSz w:w="11910" w:h="16840"/>
          <w:pgMar w:header="0" w:footer="570" w:top="0" w:bottom="760" w:left="0" w:right="0"/>
          <w:pgNumType w:start="35"/>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-625931</wp:posOffset>
                </wp:positionV>
                <wp:extent cx="360045" cy="152146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60045" cy="1521460"/>
                          <a:chExt cx="360045" cy="1521460"/>
                        </a:xfrm>
                      </wpg:grpSpPr>
                      <wps:wsp>
                        <wps:cNvPr id="17" name="Graphic 1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8" name="Textbox 1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0pt;margin-top:-49.285912pt;width:28.35pt;height:119.8pt;mso-position-horizontal-relative:page;mso-position-vertical-relative:paragraph;z-index:15730688" id="docshapegroup12" coordorigin="0,-986" coordsize="567,2396">
                <v:rect style="position:absolute;left:0;top:-986;width:567;height:2396" id="docshape13" filled="true" fillcolor="#58595b" stroked="false">
                  <v:fill type="solid"/>
                </v:rect>
                <v:shape style="position:absolute;left:0;top:-986;width:567;height:2396" type="#_x0000_t202" id="docshape14"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color w:val="231F20"/>
          <w:w w:val="105"/>
          <w:sz w:val="17"/>
        </w:rPr>
        <w:t>–</w:t>
      </w:r>
      <w:r>
        <w:rPr>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Heading2"/>
        <w:spacing w:before="94"/>
      </w:pPr>
      <w:r>
        <w:rPr/>
        <w:br w:type="column"/>
      </w: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47</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19" name="Group 19"/>
                <wp:cNvGraphicFramePr>
                  <a:graphicFrameLocks/>
                </wp:cNvGraphicFramePr>
                <a:graphic>
                  <a:graphicData uri="http://schemas.microsoft.com/office/word/2010/wordprocessingGroup">
                    <wpg:wgp>
                      <wpg:cNvPr id="19" name="Group 19"/>
                      <wpg:cNvGrpSpPr/>
                      <wpg:grpSpPr>
                        <a:xfrm>
                          <a:off x="0" y="0"/>
                          <a:ext cx="6120130" cy="6350"/>
                          <a:chExt cx="6120130" cy="6350"/>
                        </a:xfrm>
                      </wpg:grpSpPr>
                      <wps:wsp>
                        <wps:cNvPr id="20" name="Graphic 20"/>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15" coordorigin="0,0" coordsize="9638,10">
                <v:line style="position:absolute" from="0,5" to="9638,5" stroked="true" strokeweight=".5pt" strokecolor="#231f20">
                  <v:stroke dashstyle="solid"/>
                </v:line>
              </v:group>
            </w:pict>
          </mc:Fallback>
        </mc:AlternateContent>
      </w:r>
      <w:r>
        <w:rPr>
          <w:sz w:val="2"/>
        </w:rPr>
      </w:r>
    </w:p>
    <w:p>
      <w:pPr>
        <w:pStyle w:val="BodyText"/>
        <w:spacing w:before="180"/>
      </w:pPr>
    </w:p>
    <w:p>
      <w:pPr>
        <w:pStyle w:val="ListParagraph"/>
        <w:numPr>
          <w:ilvl w:val="3"/>
          <w:numId w:val="1"/>
        </w:numPr>
        <w:tabs>
          <w:tab w:pos="1930" w:val="left" w:leader="none"/>
        </w:tabs>
        <w:spacing w:line="256" w:lineRule="auto" w:before="0" w:after="0"/>
        <w:ind w:left="1930" w:right="1415" w:hanging="1080"/>
        <w:jc w:val="both"/>
        <w:rPr>
          <w:color w:val="231F20"/>
          <w:sz w:val="17"/>
        </w:rPr>
      </w:pPr>
      <w:r>
        <w:rPr>
          <w:color w:val="231F20"/>
          <w:w w:val="105"/>
          <w:sz w:val="17"/>
        </w:rPr>
        <w:t>Shore-side personnel engaged in transport by sea of dangerous goods should consider security provisions for the transport of dangerous goods commensurate with their responsibilities.</w:t>
      </w:r>
    </w:p>
    <w:p>
      <w:pPr>
        <w:pStyle w:val="BodyText"/>
        <w:spacing w:before="98"/>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Security</w:t>
      </w:r>
      <w:r>
        <w:rPr>
          <w:color w:val="231F20"/>
          <w:spacing w:val="8"/>
          <w:w w:val="105"/>
        </w:rPr>
        <w:t> </w:t>
      </w:r>
      <w:r>
        <w:rPr>
          <w:color w:val="231F20"/>
          <w:spacing w:val="-2"/>
          <w:w w:val="105"/>
        </w:rPr>
        <w:t>training</w:t>
      </w:r>
    </w:p>
    <w:p>
      <w:pPr>
        <w:pStyle w:val="ListParagraph"/>
        <w:numPr>
          <w:ilvl w:val="4"/>
          <w:numId w:val="1"/>
        </w:numPr>
        <w:tabs>
          <w:tab w:pos="1925" w:val="left" w:leader="none"/>
          <w:tab w:pos="1930" w:val="left" w:leader="none"/>
        </w:tabs>
        <w:spacing w:line="256" w:lineRule="auto" w:before="154" w:after="0"/>
        <w:ind w:left="1930" w:right="1416" w:hanging="1080"/>
        <w:jc w:val="both"/>
        <w:rPr>
          <w:color w:val="231F20"/>
          <w:sz w:val="17"/>
        </w:rPr>
      </w:pPr>
      <w:r>
        <w:rPr>
          <w:color w:val="231F20"/>
          <w:w w:val="105"/>
          <w:sz w:val="17"/>
        </w:rPr>
        <w:t>The</w:t>
      </w:r>
      <w:r>
        <w:rPr>
          <w:color w:val="231F20"/>
          <w:w w:val="105"/>
          <w:sz w:val="17"/>
        </w:rPr>
        <w:t> training</w:t>
      </w:r>
      <w:r>
        <w:rPr>
          <w:color w:val="231F20"/>
          <w:w w:val="105"/>
          <w:sz w:val="17"/>
        </w:rPr>
        <w:t> of</w:t>
      </w:r>
      <w:r>
        <w:rPr>
          <w:color w:val="231F20"/>
          <w:w w:val="105"/>
          <w:sz w:val="17"/>
        </w:rPr>
        <w:t> shore-side</w:t>
      </w:r>
      <w:r>
        <w:rPr>
          <w:color w:val="231F20"/>
          <w:w w:val="105"/>
          <w:sz w:val="17"/>
        </w:rPr>
        <w:t> personnel,</w:t>
      </w:r>
      <w:r>
        <w:rPr>
          <w:color w:val="231F20"/>
          <w:w w:val="105"/>
          <w:sz w:val="17"/>
        </w:rPr>
        <w:t> as</w:t>
      </w:r>
      <w:r>
        <w:rPr>
          <w:color w:val="231F20"/>
          <w:w w:val="105"/>
          <w:sz w:val="17"/>
        </w:rPr>
        <w:t> specified</w:t>
      </w:r>
      <w:r>
        <w:rPr>
          <w:color w:val="231F20"/>
          <w:w w:val="105"/>
          <w:sz w:val="17"/>
        </w:rPr>
        <w:t> in</w:t>
      </w:r>
      <w:r>
        <w:rPr>
          <w:color w:val="231F20"/>
          <w:w w:val="105"/>
          <w:sz w:val="17"/>
        </w:rPr>
        <w:t> chapter</w:t>
      </w:r>
      <w:r>
        <w:rPr>
          <w:color w:val="231F20"/>
          <w:w w:val="105"/>
          <w:sz w:val="17"/>
        </w:rPr>
        <w:t> 1.3,</w:t>
      </w:r>
      <w:r>
        <w:rPr>
          <w:color w:val="231F20"/>
          <w:w w:val="105"/>
          <w:sz w:val="17"/>
        </w:rPr>
        <w:t> shall</w:t>
      </w:r>
      <w:r>
        <w:rPr>
          <w:color w:val="231F20"/>
          <w:w w:val="105"/>
          <w:sz w:val="17"/>
        </w:rPr>
        <w:t> also</w:t>
      </w:r>
      <w:r>
        <w:rPr>
          <w:color w:val="231F20"/>
          <w:w w:val="105"/>
          <w:sz w:val="17"/>
        </w:rPr>
        <w:t> include</w:t>
      </w:r>
      <w:r>
        <w:rPr>
          <w:color w:val="231F20"/>
          <w:w w:val="105"/>
          <w:sz w:val="17"/>
        </w:rPr>
        <w:t> elements</w:t>
      </w:r>
      <w:r>
        <w:rPr>
          <w:color w:val="231F20"/>
          <w:w w:val="105"/>
          <w:sz w:val="17"/>
        </w:rPr>
        <w:t> of</w:t>
      </w:r>
      <w:r>
        <w:rPr>
          <w:color w:val="231F20"/>
          <w:w w:val="105"/>
          <w:sz w:val="17"/>
        </w:rPr>
        <w:t> security </w:t>
      </w:r>
      <w:r>
        <w:rPr>
          <w:color w:val="231F20"/>
          <w:spacing w:val="-2"/>
          <w:w w:val="105"/>
          <w:sz w:val="17"/>
        </w:rPr>
        <w:t>awareness.</w:t>
      </w:r>
    </w:p>
    <w:p>
      <w:pPr>
        <w:pStyle w:val="ListParagraph"/>
        <w:numPr>
          <w:ilvl w:val="4"/>
          <w:numId w:val="1"/>
        </w:numPr>
        <w:tabs>
          <w:tab w:pos="1924" w:val="left" w:leader="none"/>
          <w:tab w:pos="1930" w:val="left" w:leader="none"/>
        </w:tabs>
        <w:spacing w:line="256" w:lineRule="auto" w:before="143" w:after="0"/>
        <w:ind w:left="1930" w:right="1414" w:hanging="1081"/>
        <w:jc w:val="both"/>
        <w:rPr>
          <w:color w:val="231F20"/>
          <w:sz w:val="17"/>
        </w:rPr>
      </w:pPr>
      <w:r>
        <w:rPr>
          <w:color w:val="231F20"/>
          <w:w w:val="105"/>
          <w:sz w:val="17"/>
        </w:rPr>
        <w:t>Security awareness training should address the nature of security risks, recognizing security risks, methods to</w:t>
      </w:r>
      <w:r>
        <w:rPr>
          <w:color w:val="231F20"/>
          <w:w w:val="105"/>
          <w:sz w:val="17"/>
        </w:rPr>
        <w:t> address</w:t>
      </w:r>
      <w:r>
        <w:rPr>
          <w:color w:val="231F20"/>
          <w:w w:val="105"/>
          <w:sz w:val="17"/>
        </w:rPr>
        <w:t> and</w:t>
      </w:r>
      <w:r>
        <w:rPr>
          <w:color w:val="231F20"/>
          <w:w w:val="105"/>
          <w:sz w:val="17"/>
        </w:rPr>
        <w:t> reduce</w:t>
      </w:r>
      <w:r>
        <w:rPr>
          <w:color w:val="231F20"/>
          <w:w w:val="105"/>
          <w:sz w:val="17"/>
        </w:rPr>
        <w:t> risks</w:t>
      </w:r>
      <w:r>
        <w:rPr>
          <w:color w:val="231F20"/>
          <w:w w:val="105"/>
          <w:sz w:val="17"/>
        </w:rPr>
        <w:t> and</w:t>
      </w:r>
      <w:r>
        <w:rPr>
          <w:color w:val="231F20"/>
          <w:w w:val="105"/>
          <w:sz w:val="17"/>
        </w:rPr>
        <w:t> actions</w:t>
      </w:r>
      <w:r>
        <w:rPr>
          <w:color w:val="231F20"/>
          <w:w w:val="105"/>
          <w:sz w:val="17"/>
        </w:rPr>
        <w:t> to</w:t>
      </w:r>
      <w:r>
        <w:rPr>
          <w:color w:val="231F20"/>
          <w:w w:val="105"/>
          <w:sz w:val="17"/>
        </w:rPr>
        <w:t> be</w:t>
      </w:r>
      <w:r>
        <w:rPr>
          <w:color w:val="231F20"/>
          <w:w w:val="105"/>
          <w:sz w:val="17"/>
        </w:rPr>
        <w:t> taken</w:t>
      </w:r>
      <w:r>
        <w:rPr>
          <w:color w:val="231F20"/>
          <w:w w:val="105"/>
          <w:sz w:val="17"/>
        </w:rPr>
        <w:t> in</w:t>
      </w:r>
      <w:r>
        <w:rPr>
          <w:color w:val="231F20"/>
          <w:w w:val="105"/>
          <w:sz w:val="17"/>
        </w:rPr>
        <w:t> the</w:t>
      </w:r>
      <w:r>
        <w:rPr>
          <w:color w:val="231F20"/>
          <w:w w:val="105"/>
          <w:sz w:val="17"/>
        </w:rPr>
        <w:t> event</w:t>
      </w:r>
      <w:r>
        <w:rPr>
          <w:color w:val="231F20"/>
          <w:w w:val="105"/>
          <w:sz w:val="17"/>
        </w:rPr>
        <w:t> of</w:t>
      </w:r>
      <w:r>
        <w:rPr>
          <w:color w:val="231F20"/>
          <w:w w:val="105"/>
          <w:sz w:val="17"/>
        </w:rPr>
        <w:t> a</w:t>
      </w:r>
      <w:r>
        <w:rPr>
          <w:color w:val="231F20"/>
          <w:w w:val="105"/>
          <w:sz w:val="17"/>
        </w:rPr>
        <w:t> security</w:t>
      </w:r>
      <w:r>
        <w:rPr>
          <w:color w:val="231F20"/>
          <w:w w:val="105"/>
          <w:sz w:val="17"/>
        </w:rPr>
        <w:t> breach.</w:t>
      </w:r>
      <w:r>
        <w:rPr>
          <w:color w:val="231F20"/>
          <w:w w:val="105"/>
          <w:sz w:val="17"/>
        </w:rPr>
        <w:t> It</w:t>
      </w:r>
      <w:r>
        <w:rPr>
          <w:color w:val="231F20"/>
          <w:w w:val="105"/>
          <w:sz w:val="17"/>
        </w:rPr>
        <w:t> should</w:t>
      </w:r>
      <w:r>
        <w:rPr>
          <w:color w:val="231F20"/>
          <w:w w:val="105"/>
          <w:sz w:val="17"/>
        </w:rPr>
        <w:t> include </w:t>
      </w:r>
      <w:r>
        <w:rPr>
          <w:color w:val="231F20"/>
          <w:sz w:val="17"/>
        </w:rPr>
        <w:t>awareness of security plans (if appropriate, refer to 1.4.3) commensurate with the responsibilities of individuals </w:t>
      </w:r>
      <w:r>
        <w:rPr>
          <w:color w:val="231F20"/>
          <w:w w:val="105"/>
          <w:sz w:val="17"/>
        </w:rPr>
        <w:t>and their part in implementing security plans.</w:t>
      </w:r>
    </w:p>
    <w:p>
      <w:pPr>
        <w:pStyle w:val="ListParagraph"/>
        <w:numPr>
          <w:ilvl w:val="4"/>
          <w:numId w:val="1"/>
        </w:numPr>
        <w:tabs>
          <w:tab w:pos="1924" w:val="left" w:leader="none"/>
          <w:tab w:pos="1930" w:val="left" w:leader="none"/>
        </w:tabs>
        <w:spacing w:line="256" w:lineRule="auto" w:before="145" w:after="0"/>
        <w:ind w:left="1930" w:right="1415" w:hanging="1080"/>
        <w:jc w:val="both"/>
        <w:rPr>
          <w:color w:val="231F20"/>
          <w:sz w:val="17"/>
        </w:rPr>
      </w:pPr>
      <w:r>
        <w:rPr>
          <w:color w:val="231F20"/>
          <w:w w:val="105"/>
          <w:sz w:val="17"/>
        </w:rPr>
        <w:t>Such</w:t>
      </w:r>
      <w:r>
        <w:rPr>
          <w:color w:val="231F20"/>
          <w:w w:val="105"/>
          <w:sz w:val="17"/>
        </w:rPr>
        <w:t> training</w:t>
      </w:r>
      <w:r>
        <w:rPr>
          <w:color w:val="231F20"/>
          <w:w w:val="105"/>
          <w:sz w:val="17"/>
        </w:rPr>
        <w:t> should</w:t>
      </w:r>
      <w:r>
        <w:rPr>
          <w:color w:val="231F20"/>
          <w:w w:val="105"/>
          <w:sz w:val="17"/>
        </w:rPr>
        <w:t> be</w:t>
      </w:r>
      <w:r>
        <w:rPr>
          <w:color w:val="231F20"/>
          <w:w w:val="105"/>
          <w:sz w:val="17"/>
        </w:rPr>
        <w:t> provided</w:t>
      </w:r>
      <w:r>
        <w:rPr>
          <w:color w:val="231F20"/>
          <w:w w:val="105"/>
          <w:sz w:val="17"/>
        </w:rPr>
        <w:t> or</w:t>
      </w:r>
      <w:r>
        <w:rPr>
          <w:color w:val="231F20"/>
          <w:w w:val="105"/>
          <w:sz w:val="17"/>
        </w:rPr>
        <w:t> verified</w:t>
      </w:r>
      <w:r>
        <w:rPr>
          <w:color w:val="231F20"/>
          <w:w w:val="105"/>
          <w:sz w:val="17"/>
        </w:rPr>
        <w:t> upon</w:t>
      </w:r>
      <w:r>
        <w:rPr>
          <w:color w:val="231F20"/>
          <w:w w:val="105"/>
          <w:sz w:val="17"/>
        </w:rPr>
        <w:t> employment</w:t>
      </w:r>
      <w:r>
        <w:rPr>
          <w:color w:val="231F20"/>
          <w:w w:val="105"/>
          <w:sz w:val="17"/>
        </w:rPr>
        <w:t> in</w:t>
      </w:r>
      <w:r>
        <w:rPr>
          <w:color w:val="231F20"/>
          <w:w w:val="105"/>
          <w:sz w:val="17"/>
        </w:rPr>
        <w:t> a</w:t>
      </w:r>
      <w:r>
        <w:rPr>
          <w:color w:val="231F20"/>
          <w:w w:val="105"/>
          <w:sz w:val="17"/>
        </w:rPr>
        <w:t> position</w:t>
      </w:r>
      <w:r>
        <w:rPr>
          <w:color w:val="231F20"/>
          <w:w w:val="105"/>
          <w:sz w:val="17"/>
        </w:rPr>
        <w:t> involving</w:t>
      </w:r>
      <w:r>
        <w:rPr>
          <w:color w:val="231F20"/>
          <w:w w:val="105"/>
          <w:sz w:val="17"/>
        </w:rPr>
        <w:t> dangerous</w:t>
      </w:r>
      <w:r>
        <w:rPr>
          <w:color w:val="231F20"/>
          <w:w w:val="105"/>
          <w:sz w:val="17"/>
        </w:rPr>
        <w:t> goods transport and should be periodically supplemented with retraining.</w:t>
      </w:r>
    </w:p>
    <w:p>
      <w:pPr>
        <w:pStyle w:val="ListParagraph"/>
        <w:numPr>
          <w:ilvl w:val="4"/>
          <w:numId w:val="1"/>
        </w:numPr>
        <w:tabs>
          <w:tab w:pos="1925" w:val="left" w:leader="none"/>
          <w:tab w:pos="1930" w:val="left" w:leader="none"/>
        </w:tabs>
        <w:spacing w:line="256" w:lineRule="auto" w:before="143" w:after="0"/>
        <w:ind w:left="1930" w:right="1414" w:hanging="1080"/>
        <w:jc w:val="both"/>
        <w:rPr>
          <w:color w:val="231F20"/>
          <w:sz w:val="17"/>
        </w:rPr>
      </w:pPr>
      <w:r>
        <w:rPr>
          <w:color w:val="231F20"/>
          <w:sz w:val="17"/>
        </w:rPr>
        <w:t>Records of all security training received should be kept by the employer and made available to the employee or </w:t>
      </w:r>
      <w:r>
        <w:rPr>
          <w:color w:val="231F20"/>
          <w:w w:val="105"/>
          <w:sz w:val="17"/>
        </w:rPr>
        <w:t>competent authority, upon request. Records should be kept by the employer for a period of time established by the competent authority.</w:t>
      </w:r>
    </w:p>
    <w:p>
      <w:pPr>
        <w:pStyle w:val="BodyText"/>
      </w:pPr>
    </w:p>
    <w:p>
      <w:pPr>
        <w:pStyle w:val="BodyText"/>
        <w:spacing w:before="16"/>
      </w:pPr>
    </w:p>
    <w:p>
      <w:pPr>
        <w:pStyle w:val="Heading1"/>
        <w:numPr>
          <w:ilvl w:val="2"/>
          <w:numId w:val="1"/>
        </w:numPr>
        <w:tabs>
          <w:tab w:pos="1930" w:val="left" w:leader="none"/>
        </w:tabs>
        <w:spacing w:line="240" w:lineRule="auto" w:before="0" w:after="0"/>
        <w:ind w:left="1930" w:right="0" w:hanging="1080"/>
        <w:jc w:val="left"/>
      </w:pPr>
      <w:r>
        <w:rPr>
          <w:color w:val="231F20"/>
          <w:w w:val="105"/>
        </w:rPr>
        <w:t>Provisions</w:t>
      </w:r>
      <w:r>
        <w:rPr>
          <w:color w:val="231F20"/>
          <w:spacing w:val="-9"/>
          <w:w w:val="105"/>
        </w:rPr>
        <w:t> </w:t>
      </w:r>
      <w:r>
        <w:rPr>
          <w:color w:val="231F20"/>
          <w:w w:val="105"/>
        </w:rPr>
        <w:t>for</w:t>
      </w:r>
      <w:r>
        <w:rPr>
          <w:color w:val="231F20"/>
          <w:spacing w:val="-8"/>
          <w:w w:val="105"/>
        </w:rPr>
        <w:t> </w:t>
      </w:r>
      <w:r>
        <w:rPr>
          <w:color w:val="231F20"/>
          <w:w w:val="105"/>
        </w:rPr>
        <w:t>high</w:t>
      </w:r>
      <w:r>
        <w:rPr>
          <w:color w:val="231F20"/>
          <w:spacing w:val="-8"/>
          <w:w w:val="105"/>
        </w:rPr>
        <w:t> </w:t>
      </w:r>
      <w:r>
        <w:rPr>
          <w:color w:val="231F20"/>
          <w:w w:val="105"/>
        </w:rPr>
        <w:t>consequence</w:t>
      </w:r>
      <w:r>
        <w:rPr>
          <w:color w:val="231F20"/>
          <w:spacing w:val="-8"/>
          <w:w w:val="105"/>
        </w:rPr>
        <w:t> </w:t>
      </w:r>
      <w:r>
        <w:rPr>
          <w:color w:val="231F20"/>
          <w:w w:val="105"/>
        </w:rPr>
        <w:t>dangerous</w:t>
      </w:r>
      <w:r>
        <w:rPr>
          <w:color w:val="231F20"/>
          <w:spacing w:val="-9"/>
          <w:w w:val="105"/>
        </w:rPr>
        <w:t> </w:t>
      </w:r>
      <w:r>
        <w:rPr>
          <w:color w:val="231F20"/>
          <w:spacing w:val="-2"/>
          <w:w w:val="105"/>
        </w:rPr>
        <w:t>goods</w:t>
      </w:r>
    </w:p>
    <w:p>
      <w:pPr>
        <w:pStyle w:val="Heading2"/>
        <w:numPr>
          <w:ilvl w:val="3"/>
          <w:numId w:val="1"/>
        </w:numPr>
        <w:tabs>
          <w:tab w:pos="1930" w:val="left" w:leader="none"/>
        </w:tabs>
        <w:spacing w:line="240" w:lineRule="auto" w:before="217" w:after="0"/>
        <w:ind w:left="1930" w:right="0" w:hanging="1080"/>
        <w:jc w:val="left"/>
        <w:rPr>
          <w:color w:val="231F20"/>
        </w:rPr>
      </w:pPr>
      <w:r>
        <w:rPr>
          <w:color w:val="231F20"/>
          <w:w w:val="105"/>
        </w:rPr>
        <w:t>Definition</w:t>
      </w:r>
      <w:r>
        <w:rPr>
          <w:color w:val="231F20"/>
          <w:spacing w:val="2"/>
          <w:w w:val="105"/>
        </w:rPr>
        <w:t> </w:t>
      </w:r>
      <w:r>
        <w:rPr>
          <w:color w:val="231F20"/>
          <w:w w:val="105"/>
        </w:rPr>
        <w:t>of</w:t>
      </w:r>
      <w:r>
        <w:rPr>
          <w:color w:val="231F20"/>
          <w:spacing w:val="2"/>
          <w:w w:val="105"/>
        </w:rPr>
        <w:t> </w:t>
      </w:r>
      <w:r>
        <w:rPr>
          <w:color w:val="231F20"/>
          <w:w w:val="105"/>
        </w:rPr>
        <w:t>high</w:t>
      </w:r>
      <w:r>
        <w:rPr>
          <w:color w:val="231F20"/>
          <w:spacing w:val="2"/>
          <w:w w:val="105"/>
        </w:rPr>
        <w:t> </w:t>
      </w:r>
      <w:r>
        <w:rPr>
          <w:color w:val="231F20"/>
          <w:w w:val="105"/>
        </w:rPr>
        <w:t>consequence</w:t>
      </w:r>
      <w:r>
        <w:rPr>
          <w:color w:val="231F20"/>
          <w:spacing w:val="2"/>
          <w:w w:val="105"/>
        </w:rPr>
        <w:t> </w:t>
      </w:r>
      <w:r>
        <w:rPr>
          <w:color w:val="231F20"/>
          <w:w w:val="105"/>
        </w:rPr>
        <w:t>dangerous</w:t>
      </w:r>
      <w:r>
        <w:rPr>
          <w:color w:val="231F20"/>
          <w:spacing w:val="2"/>
          <w:w w:val="105"/>
        </w:rPr>
        <w:t> </w:t>
      </w:r>
      <w:r>
        <w:rPr>
          <w:color w:val="231F20"/>
          <w:spacing w:val="-2"/>
          <w:w w:val="105"/>
        </w:rPr>
        <w:t>goods</w:t>
      </w:r>
    </w:p>
    <w:p>
      <w:pPr>
        <w:pStyle w:val="ListParagraph"/>
        <w:numPr>
          <w:ilvl w:val="4"/>
          <w:numId w:val="1"/>
        </w:numPr>
        <w:tabs>
          <w:tab w:pos="1925" w:val="left" w:leader="none"/>
          <w:tab w:pos="1930" w:val="left" w:leader="none"/>
        </w:tabs>
        <w:spacing w:line="256" w:lineRule="auto" w:before="154" w:after="0"/>
        <w:ind w:left="1930" w:right="1414" w:hanging="1081"/>
        <w:jc w:val="both"/>
        <w:rPr>
          <w:color w:val="231F20"/>
          <w:sz w:val="17"/>
        </w:rPr>
      </w:pPr>
      <w:r>
        <w:rPr>
          <w:color w:val="231F20"/>
          <w:w w:val="105"/>
          <w:sz w:val="17"/>
        </w:rPr>
        <w:t>High consequence dangerous goods are those which have the potential for misuse in a terrorist event and which</w:t>
      </w:r>
      <w:r>
        <w:rPr>
          <w:color w:val="231F20"/>
          <w:w w:val="105"/>
          <w:sz w:val="17"/>
        </w:rPr>
        <w:t> may,</w:t>
      </w:r>
      <w:r>
        <w:rPr>
          <w:color w:val="231F20"/>
          <w:w w:val="105"/>
          <w:sz w:val="17"/>
        </w:rPr>
        <w:t> as</w:t>
      </w:r>
      <w:r>
        <w:rPr>
          <w:color w:val="231F20"/>
          <w:w w:val="105"/>
          <w:sz w:val="17"/>
        </w:rPr>
        <w:t> a</w:t>
      </w:r>
      <w:r>
        <w:rPr>
          <w:color w:val="231F20"/>
          <w:w w:val="105"/>
          <w:sz w:val="17"/>
        </w:rPr>
        <w:t> result,</w:t>
      </w:r>
      <w:r>
        <w:rPr>
          <w:color w:val="231F20"/>
          <w:w w:val="105"/>
          <w:sz w:val="17"/>
        </w:rPr>
        <w:t> produce</w:t>
      </w:r>
      <w:r>
        <w:rPr>
          <w:color w:val="231F20"/>
          <w:w w:val="105"/>
          <w:sz w:val="17"/>
        </w:rPr>
        <w:t> serious</w:t>
      </w:r>
      <w:r>
        <w:rPr>
          <w:color w:val="231F20"/>
          <w:w w:val="105"/>
          <w:sz w:val="17"/>
        </w:rPr>
        <w:t> consequences</w:t>
      </w:r>
      <w:r>
        <w:rPr>
          <w:color w:val="231F20"/>
          <w:w w:val="105"/>
          <w:sz w:val="17"/>
        </w:rPr>
        <w:t> such</w:t>
      </w:r>
      <w:r>
        <w:rPr>
          <w:color w:val="231F20"/>
          <w:w w:val="105"/>
          <w:sz w:val="17"/>
        </w:rPr>
        <w:t> as</w:t>
      </w:r>
      <w:r>
        <w:rPr>
          <w:color w:val="231F20"/>
          <w:w w:val="105"/>
          <w:sz w:val="17"/>
        </w:rPr>
        <w:t> mass</w:t>
      </w:r>
      <w:r>
        <w:rPr>
          <w:color w:val="231F20"/>
          <w:w w:val="105"/>
          <w:sz w:val="17"/>
        </w:rPr>
        <w:t> casualties,</w:t>
      </w:r>
      <w:r>
        <w:rPr>
          <w:color w:val="231F20"/>
          <w:w w:val="105"/>
          <w:sz w:val="17"/>
        </w:rPr>
        <w:t> mass</w:t>
      </w:r>
      <w:r>
        <w:rPr>
          <w:color w:val="231F20"/>
          <w:w w:val="105"/>
          <w:sz w:val="17"/>
        </w:rPr>
        <w:t> destruction</w:t>
      </w:r>
      <w:r>
        <w:rPr>
          <w:color w:val="231F20"/>
          <w:w w:val="105"/>
          <w:sz w:val="17"/>
        </w:rPr>
        <w:t> or, particularly for class 7, mass socio-economic disruption.</w:t>
      </w:r>
    </w:p>
    <w:p>
      <w:pPr>
        <w:pStyle w:val="ListParagraph"/>
        <w:numPr>
          <w:ilvl w:val="4"/>
          <w:numId w:val="1"/>
        </w:numPr>
        <w:tabs>
          <w:tab w:pos="1925" w:val="left" w:leader="none"/>
          <w:tab w:pos="1930" w:val="left" w:leader="none"/>
        </w:tabs>
        <w:spacing w:line="256" w:lineRule="auto" w:before="144" w:after="0"/>
        <w:ind w:left="1930" w:right="1414" w:hanging="1080"/>
        <w:jc w:val="both"/>
        <w:rPr>
          <w:color w:val="231F20"/>
          <w:sz w:val="17"/>
        </w:rPr>
      </w:pPr>
      <w:r>
        <w:rPr>
          <w:color w:val="231F20"/>
          <w:w w:val="105"/>
          <w:sz w:val="17"/>
        </w:rPr>
        <w:t>An indicative list of high consequence dangerous goods in classes and divisions other than class 7 is given in table 1.4.1 below.</w:t>
      </w:r>
    </w:p>
    <w:p>
      <w:pPr>
        <w:pStyle w:val="BodyText"/>
        <w:spacing w:before="98"/>
      </w:pPr>
    </w:p>
    <w:p>
      <w:pPr>
        <w:spacing w:before="0"/>
        <w:ind w:left="3588" w:right="0" w:firstLine="0"/>
        <w:jc w:val="left"/>
        <w:rPr>
          <w:rFonts w:ascii="Arial" w:hAnsi="Arial"/>
          <w:i/>
          <w:sz w:val="17"/>
        </w:rPr>
      </w:pPr>
      <w:r>
        <w:rPr>
          <w:color w:val="231F20"/>
          <w:w w:val="105"/>
          <w:sz w:val="17"/>
        </w:rPr>
        <w:t>Table</w:t>
      </w:r>
      <w:r>
        <w:rPr>
          <w:color w:val="231F20"/>
          <w:spacing w:val="-7"/>
          <w:w w:val="105"/>
          <w:sz w:val="17"/>
        </w:rPr>
        <w:t> </w:t>
      </w:r>
      <w:r>
        <w:rPr>
          <w:color w:val="231F20"/>
          <w:w w:val="105"/>
          <w:sz w:val="17"/>
        </w:rPr>
        <w:t>1.4.1</w:t>
      </w:r>
      <w:r>
        <w:rPr>
          <w:color w:val="231F20"/>
          <w:spacing w:val="-6"/>
          <w:w w:val="105"/>
          <w:sz w:val="17"/>
        </w:rPr>
        <w:t> </w:t>
      </w:r>
      <w:r>
        <w:rPr>
          <w:color w:val="231F20"/>
          <w:w w:val="105"/>
          <w:sz w:val="17"/>
        </w:rPr>
        <w:t>–</w:t>
      </w:r>
      <w:r>
        <w:rPr>
          <w:color w:val="231F20"/>
          <w:spacing w:val="-6"/>
          <w:w w:val="105"/>
          <w:sz w:val="17"/>
        </w:rPr>
        <w:t> </w:t>
      </w:r>
      <w:r>
        <w:rPr>
          <w:rFonts w:ascii="Arial" w:hAnsi="Arial"/>
          <w:i/>
          <w:color w:val="231F20"/>
          <w:w w:val="105"/>
          <w:sz w:val="17"/>
        </w:rPr>
        <w:t>Indicative</w:t>
      </w:r>
      <w:r>
        <w:rPr>
          <w:rFonts w:ascii="Arial" w:hAnsi="Arial"/>
          <w:i/>
          <w:color w:val="231F20"/>
          <w:spacing w:val="-6"/>
          <w:w w:val="105"/>
          <w:sz w:val="17"/>
        </w:rPr>
        <w:t> </w:t>
      </w:r>
      <w:r>
        <w:rPr>
          <w:rFonts w:ascii="Arial" w:hAnsi="Arial"/>
          <w:i/>
          <w:color w:val="231F20"/>
          <w:w w:val="105"/>
          <w:sz w:val="17"/>
        </w:rPr>
        <w:t>list</w:t>
      </w:r>
      <w:r>
        <w:rPr>
          <w:rFonts w:ascii="Arial" w:hAnsi="Arial"/>
          <w:i/>
          <w:color w:val="231F20"/>
          <w:spacing w:val="-6"/>
          <w:w w:val="105"/>
          <w:sz w:val="17"/>
        </w:rPr>
        <w:t> </w:t>
      </w:r>
      <w:r>
        <w:rPr>
          <w:rFonts w:ascii="Arial" w:hAnsi="Arial"/>
          <w:i/>
          <w:color w:val="231F20"/>
          <w:w w:val="105"/>
          <w:sz w:val="17"/>
        </w:rPr>
        <w:t>of</w:t>
      </w:r>
      <w:r>
        <w:rPr>
          <w:rFonts w:ascii="Arial" w:hAnsi="Arial"/>
          <w:i/>
          <w:color w:val="231F20"/>
          <w:spacing w:val="-6"/>
          <w:w w:val="105"/>
          <w:sz w:val="17"/>
        </w:rPr>
        <w:t> </w:t>
      </w:r>
      <w:r>
        <w:rPr>
          <w:rFonts w:ascii="Arial" w:hAnsi="Arial"/>
          <w:i/>
          <w:color w:val="231F20"/>
          <w:w w:val="105"/>
          <w:sz w:val="17"/>
        </w:rPr>
        <w:t>high</w:t>
      </w:r>
      <w:r>
        <w:rPr>
          <w:rFonts w:ascii="Arial" w:hAnsi="Arial"/>
          <w:i/>
          <w:color w:val="231F20"/>
          <w:spacing w:val="-7"/>
          <w:w w:val="105"/>
          <w:sz w:val="17"/>
        </w:rPr>
        <w:t> </w:t>
      </w:r>
      <w:r>
        <w:rPr>
          <w:rFonts w:ascii="Arial" w:hAnsi="Arial"/>
          <w:i/>
          <w:color w:val="231F20"/>
          <w:w w:val="105"/>
          <w:sz w:val="17"/>
        </w:rPr>
        <w:t>consequence</w:t>
      </w:r>
      <w:r>
        <w:rPr>
          <w:rFonts w:ascii="Arial" w:hAnsi="Arial"/>
          <w:i/>
          <w:color w:val="231F20"/>
          <w:spacing w:val="-6"/>
          <w:w w:val="105"/>
          <w:sz w:val="17"/>
        </w:rPr>
        <w:t> </w:t>
      </w:r>
      <w:r>
        <w:rPr>
          <w:rFonts w:ascii="Arial" w:hAnsi="Arial"/>
          <w:i/>
          <w:color w:val="231F20"/>
          <w:w w:val="105"/>
          <w:sz w:val="17"/>
        </w:rPr>
        <w:t>dangerous</w:t>
      </w:r>
      <w:r>
        <w:rPr>
          <w:rFonts w:ascii="Arial" w:hAnsi="Arial"/>
          <w:i/>
          <w:color w:val="231F20"/>
          <w:spacing w:val="-6"/>
          <w:w w:val="105"/>
          <w:sz w:val="17"/>
        </w:rPr>
        <w:t> </w:t>
      </w:r>
      <w:r>
        <w:rPr>
          <w:rFonts w:ascii="Arial" w:hAnsi="Arial"/>
          <w:i/>
          <w:color w:val="231F20"/>
          <w:spacing w:val="-4"/>
          <w:w w:val="105"/>
          <w:sz w:val="17"/>
        </w:rPr>
        <w:t>goods</w:t>
      </w:r>
    </w:p>
    <w:p>
      <w:pPr>
        <w:pStyle w:val="BodyText"/>
        <w:tabs>
          <w:tab w:pos="3730" w:val="left" w:leader="none"/>
        </w:tabs>
        <w:spacing w:before="156"/>
        <w:ind w:left="1930"/>
      </w:pPr>
      <w:r>
        <w:rPr>
          <w:color w:val="231F20"/>
        </w:rPr>
        <w:t>Class</w:t>
      </w:r>
      <w:r>
        <w:rPr>
          <w:color w:val="231F20"/>
          <w:spacing w:val="10"/>
        </w:rPr>
        <w:t> </w:t>
      </w:r>
      <w:r>
        <w:rPr>
          <w:color w:val="231F20"/>
        </w:rPr>
        <w:t>1,</w:t>
      </w:r>
      <w:r>
        <w:rPr>
          <w:color w:val="231F20"/>
          <w:spacing w:val="10"/>
        </w:rPr>
        <w:t> </w:t>
      </w:r>
      <w:r>
        <w:rPr>
          <w:color w:val="231F20"/>
        </w:rPr>
        <w:t>Division</w:t>
      </w:r>
      <w:r>
        <w:rPr>
          <w:color w:val="231F20"/>
          <w:spacing w:val="10"/>
        </w:rPr>
        <w:t> </w:t>
      </w:r>
      <w:r>
        <w:rPr>
          <w:color w:val="231F20"/>
          <w:spacing w:val="-5"/>
        </w:rPr>
        <w:t>1.1</w:t>
      </w:r>
      <w:r>
        <w:rPr>
          <w:color w:val="231F20"/>
        </w:rPr>
        <w:tab/>
      </w:r>
      <w:r>
        <w:rPr>
          <w:color w:val="231F20"/>
          <w:spacing w:val="-2"/>
        </w:rPr>
        <w:t>explosives</w:t>
      </w:r>
    </w:p>
    <w:p>
      <w:pPr>
        <w:pStyle w:val="BodyText"/>
        <w:tabs>
          <w:tab w:pos="3730" w:val="left" w:leader="none"/>
        </w:tabs>
        <w:spacing w:before="156"/>
        <w:ind w:left="1930"/>
      </w:pPr>
      <w:r>
        <w:rPr>
          <w:color w:val="231F20"/>
        </w:rPr>
        <w:t>Class</w:t>
      </w:r>
      <w:r>
        <w:rPr>
          <w:color w:val="231F20"/>
          <w:spacing w:val="10"/>
        </w:rPr>
        <w:t> </w:t>
      </w:r>
      <w:r>
        <w:rPr>
          <w:color w:val="231F20"/>
        </w:rPr>
        <w:t>1,</w:t>
      </w:r>
      <w:r>
        <w:rPr>
          <w:color w:val="231F20"/>
          <w:spacing w:val="10"/>
        </w:rPr>
        <w:t> </w:t>
      </w:r>
      <w:r>
        <w:rPr>
          <w:color w:val="231F20"/>
        </w:rPr>
        <w:t>Division</w:t>
      </w:r>
      <w:r>
        <w:rPr>
          <w:color w:val="231F20"/>
          <w:spacing w:val="10"/>
        </w:rPr>
        <w:t> </w:t>
      </w:r>
      <w:r>
        <w:rPr>
          <w:color w:val="231F20"/>
          <w:spacing w:val="-5"/>
        </w:rPr>
        <w:t>1.2</w:t>
      </w:r>
      <w:r>
        <w:rPr>
          <w:color w:val="231F20"/>
        </w:rPr>
        <w:tab/>
      </w:r>
      <w:r>
        <w:rPr>
          <w:color w:val="231F20"/>
          <w:spacing w:val="-2"/>
        </w:rPr>
        <w:t>explosives</w:t>
      </w:r>
    </w:p>
    <w:p>
      <w:pPr>
        <w:pStyle w:val="BodyText"/>
        <w:tabs>
          <w:tab w:pos="3730" w:val="left" w:leader="none"/>
        </w:tabs>
        <w:spacing w:before="156"/>
        <w:ind w:left="1930"/>
      </w:pPr>
      <w:r>
        <w:rPr>
          <w:color w:val="231F20"/>
        </w:rPr>
        <w:t>Class</w:t>
      </w:r>
      <w:r>
        <w:rPr>
          <w:color w:val="231F20"/>
          <w:spacing w:val="10"/>
        </w:rPr>
        <w:t> </w:t>
      </w:r>
      <w:r>
        <w:rPr>
          <w:color w:val="231F20"/>
        </w:rPr>
        <w:t>1,</w:t>
      </w:r>
      <w:r>
        <w:rPr>
          <w:color w:val="231F20"/>
          <w:spacing w:val="10"/>
        </w:rPr>
        <w:t> </w:t>
      </w:r>
      <w:r>
        <w:rPr>
          <w:color w:val="231F20"/>
        </w:rPr>
        <w:t>Division</w:t>
      </w:r>
      <w:r>
        <w:rPr>
          <w:color w:val="231F20"/>
          <w:spacing w:val="10"/>
        </w:rPr>
        <w:t> </w:t>
      </w:r>
      <w:r>
        <w:rPr>
          <w:color w:val="231F20"/>
          <w:spacing w:val="-5"/>
        </w:rPr>
        <w:t>1.3</w:t>
      </w:r>
      <w:r>
        <w:rPr>
          <w:color w:val="231F20"/>
        </w:rPr>
        <w:tab/>
        <w:t>compatibility</w:t>
      </w:r>
      <w:r>
        <w:rPr>
          <w:color w:val="231F20"/>
          <w:spacing w:val="34"/>
        </w:rPr>
        <w:t> </w:t>
      </w:r>
      <w:r>
        <w:rPr>
          <w:color w:val="231F20"/>
        </w:rPr>
        <w:t>group</w:t>
      </w:r>
      <w:r>
        <w:rPr>
          <w:color w:val="231F20"/>
          <w:spacing w:val="34"/>
        </w:rPr>
        <w:t> </w:t>
      </w:r>
      <w:r>
        <w:rPr>
          <w:color w:val="231F20"/>
        </w:rPr>
        <w:t>C</w:t>
      </w:r>
      <w:r>
        <w:rPr>
          <w:color w:val="231F20"/>
          <w:spacing w:val="34"/>
        </w:rPr>
        <w:t> </w:t>
      </w:r>
      <w:r>
        <w:rPr>
          <w:color w:val="231F20"/>
          <w:spacing w:val="-2"/>
        </w:rPr>
        <w:t>explosives</w:t>
      </w:r>
    </w:p>
    <w:p>
      <w:pPr>
        <w:pStyle w:val="BodyText"/>
        <w:tabs>
          <w:tab w:pos="3730" w:val="left" w:leader="none"/>
        </w:tabs>
        <w:spacing w:before="156"/>
        <w:ind w:left="1930"/>
      </w:pPr>
      <w:r>
        <w:rPr>
          <w:color w:val="231F20"/>
        </w:rPr>
        <w:t>Class</w:t>
      </w:r>
      <w:r>
        <w:rPr>
          <w:color w:val="231F20"/>
          <w:spacing w:val="10"/>
        </w:rPr>
        <w:t> </w:t>
      </w:r>
      <w:r>
        <w:rPr>
          <w:color w:val="231F20"/>
        </w:rPr>
        <w:t>1,</w:t>
      </w:r>
      <w:r>
        <w:rPr>
          <w:color w:val="231F20"/>
          <w:spacing w:val="10"/>
        </w:rPr>
        <w:t> </w:t>
      </w:r>
      <w:r>
        <w:rPr>
          <w:color w:val="231F20"/>
        </w:rPr>
        <w:t>Division</w:t>
      </w:r>
      <w:r>
        <w:rPr>
          <w:color w:val="231F20"/>
          <w:spacing w:val="10"/>
        </w:rPr>
        <w:t> </w:t>
      </w:r>
      <w:r>
        <w:rPr>
          <w:color w:val="231F20"/>
          <w:spacing w:val="-5"/>
        </w:rPr>
        <w:t>1.4</w:t>
      </w:r>
      <w:r>
        <w:rPr>
          <w:color w:val="231F20"/>
        </w:rPr>
        <w:tab/>
        <w:t>UN</w:t>
      </w:r>
      <w:r>
        <w:rPr>
          <w:color w:val="231F20"/>
          <w:spacing w:val="27"/>
        </w:rPr>
        <w:t> </w:t>
      </w:r>
      <w:r>
        <w:rPr>
          <w:color w:val="231F20"/>
        </w:rPr>
        <w:t>Nos.</w:t>
      </w:r>
      <w:r>
        <w:rPr>
          <w:color w:val="231F20"/>
          <w:spacing w:val="27"/>
        </w:rPr>
        <w:t> </w:t>
      </w:r>
      <w:r>
        <w:rPr>
          <w:color w:val="231F20"/>
        </w:rPr>
        <w:t>0104,</w:t>
      </w:r>
      <w:r>
        <w:rPr>
          <w:color w:val="231F20"/>
          <w:spacing w:val="27"/>
        </w:rPr>
        <w:t> </w:t>
      </w:r>
      <w:r>
        <w:rPr>
          <w:color w:val="231F20"/>
        </w:rPr>
        <w:t>0237,</w:t>
      </w:r>
      <w:r>
        <w:rPr>
          <w:color w:val="231F20"/>
          <w:spacing w:val="27"/>
        </w:rPr>
        <w:t> </w:t>
      </w:r>
      <w:r>
        <w:rPr>
          <w:color w:val="231F20"/>
        </w:rPr>
        <w:t>0255,</w:t>
      </w:r>
      <w:r>
        <w:rPr>
          <w:color w:val="231F20"/>
          <w:spacing w:val="27"/>
        </w:rPr>
        <w:t> </w:t>
      </w:r>
      <w:r>
        <w:rPr>
          <w:color w:val="231F20"/>
        </w:rPr>
        <w:t>0267,</w:t>
      </w:r>
      <w:r>
        <w:rPr>
          <w:color w:val="231F20"/>
          <w:spacing w:val="27"/>
        </w:rPr>
        <w:t> </w:t>
      </w:r>
      <w:r>
        <w:rPr>
          <w:color w:val="231F20"/>
        </w:rPr>
        <w:t>0289,</w:t>
      </w:r>
      <w:r>
        <w:rPr>
          <w:color w:val="231F20"/>
          <w:spacing w:val="28"/>
        </w:rPr>
        <w:t> </w:t>
      </w:r>
      <w:r>
        <w:rPr>
          <w:color w:val="231F20"/>
        </w:rPr>
        <w:t>0361,</w:t>
      </w:r>
      <w:r>
        <w:rPr>
          <w:color w:val="231F20"/>
          <w:spacing w:val="27"/>
        </w:rPr>
        <w:t> </w:t>
      </w:r>
      <w:r>
        <w:rPr>
          <w:color w:val="231F20"/>
        </w:rPr>
        <w:t>0365,</w:t>
      </w:r>
      <w:r>
        <w:rPr>
          <w:color w:val="231F20"/>
          <w:spacing w:val="27"/>
        </w:rPr>
        <w:t> </w:t>
      </w:r>
      <w:r>
        <w:rPr>
          <w:color w:val="231F20"/>
        </w:rPr>
        <w:t>0366,</w:t>
      </w:r>
      <w:r>
        <w:rPr>
          <w:color w:val="231F20"/>
          <w:spacing w:val="27"/>
        </w:rPr>
        <w:t> </w:t>
      </w:r>
      <w:r>
        <w:rPr>
          <w:color w:val="231F20"/>
        </w:rPr>
        <w:t>0440,</w:t>
      </w:r>
      <w:r>
        <w:rPr>
          <w:color w:val="231F20"/>
          <w:spacing w:val="27"/>
        </w:rPr>
        <w:t> </w:t>
      </w:r>
      <w:r>
        <w:rPr>
          <w:color w:val="231F20"/>
        </w:rPr>
        <w:t>0441,</w:t>
      </w:r>
      <w:r>
        <w:rPr>
          <w:color w:val="231F20"/>
          <w:spacing w:val="27"/>
        </w:rPr>
        <w:t> </w:t>
      </w:r>
      <w:r>
        <w:rPr>
          <w:color w:val="231F20"/>
        </w:rPr>
        <w:t>0455,</w:t>
      </w:r>
      <w:r>
        <w:rPr>
          <w:color w:val="231F20"/>
          <w:spacing w:val="27"/>
        </w:rPr>
        <w:t> </w:t>
      </w:r>
      <w:r>
        <w:rPr>
          <w:color w:val="231F20"/>
          <w:spacing w:val="-2"/>
        </w:rPr>
        <w:t>0456,</w:t>
      </w:r>
    </w:p>
    <w:p>
      <w:pPr>
        <w:pStyle w:val="BodyText"/>
        <w:spacing w:before="15"/>
        <w:ind w:left="3730"/>
      </w:pPr>
      <w:r>
        <w:rPr>
          <w:color w:val="231F20"/>
        </w:rPr>
        <w:t>0500,</w:t>
      </w:r>
      <w:r>
        <w:rPr>
          <w:color w:val="231F20"/>
          <w:spacing w:val="7"/>
        </w:rPr>
        <w:t> </w:t>
      </w:r>
      <w:r>
        <w:rPr>
          <w:color w:val="231F20"/>
        </w:rPr>
        <w:t>0512</w:t>
      </w:r>
      <w:r>
        <w:rPr>
          <w:color w:val="231F20"/>
          <w:spacing w:val="7"/>
        </w:rPr>
        <w:t> </w:t>
      </w:r>
      <w:r>
        <w:rPr>
          <w:color w:val="231F20"/>
        </w:rPr>
        <w:t>and</w:t>
      </w:r>
      <w:r>
        <w:rPr>
          <w:color w:val="231F20"/>
          <w:spacing w:val="7"/>
        </w:rPr>
        <w:t> </w:t>
      </w:r>
      <w:r>
        <w:rPr>
          <w:color w:val="231F20"/>
          <w:spacing w:val="-4"/>
        </w:rPr>
        <w:t>0513</w:t>
      </w:r>
    </w:p>
    <w:p>
      <w:pPr>
        <w:pStyle w:val="BodyText"/>
        <w:tabs>
          <w:tab w:pos="3730" w:val="left" w:leader="none"/>
        </w:tabs>
        <w:spacing w:before="156"/>
        <w:ind w:left="1930"/>
      </w:pPr>
      <w:r>
        <w:rPr>
          <w:color w:val="231F20"/>
        </w:rPr>
        <w:t>Class</w:t>
      </w:r>
      <w:r>
        <w:rPr>
          <w:color w:val="231F20"/>
          <w:spacing w:val="10"/>
        </w:rPr>
        <w:t> </w:t>
      </w:r>
      <w:r>
        <w:rPr>
          <w:color w:val="231F20"/>
        </w:rPr>
        <w:t>1,</w:t>
      </w:r>
      <w:r>
        <w:rPr>
          <w:color w:val="231F20"/>
          <w:spacing w:val="10"/>
        </w:rPr>
        <w:t> </w:t>
      </w:r>
      <w:r>
        <w:rPr>
          <w:color w:val="231F20"/>
        </w:rPr>
        <w:t>Division</w:t>
      </w:r>
      <w:r>
        <w:rPr>
          <w:color w:val="231F20"/>
          <w:spacing w:val="10"/>
        </w:rPr>
        <w:t> </w:t>
      </w:r>
      <w:r>
        <w:rPr>
          <w:color w:val="231F20"/>
          <w:spacing w:val="-5"/>
        </w:rPr>
        <w:t>1.5</w:t>
      </w:r>
      <w:r>
        <w:rPr>
          <w:color w:val="231F20"/>
        </w:rPr>
        <w:tab/>
      </w:r>
      <w:r>
        <w:rPr>
          <w:color w:val="231F20"/>
          <w:spacing w:val="-2"/>
        </w:rPr>
        <w:t>explosives</w:t>
      </w:r>
    </w:p>
    <w:p>
      <w:pPr>
        <w:pStyle w:val="BodyText"/>
        <w:tabs>
          <w:tab w:pos="3730" w:val="left" w:leader="none"/>
        </w:tabs>
        <w:spacing w:before="156"/>
        <w:ind w:left="1930"/>
      </w:pPr>
      <w:r>
        <w:rPr>
          <w:color w:val="231F20"/>
        </w:rPr>
        <w:t>Class</w:t>
      </w:r>
      <w:r>
        <w:rPr>
          <w:color w:val="231F20"/>
          <w:spacing w:val="10"/>
        </w:rPr>
        <w:t> </w:t>
      </w:r>
      <w:r>
        <w:rPr>
          <w:color w:val="231F20"/>
        </w:rPr>
        <w:t>1,</w:t>
      </w:r>
      <w:r>
        <w:rPr>
          <w:color w:val="231F20"/>
          <w:spacing w:val="10"/>
        </w:rPr>
        <w:t> </w:t>
      </w:r>
      <w:r>
        <w:rPr>
          <w:color w:val="231F20"/>
        </w:rPr>
        <w:t>Division</w:t>
      </w:r>
      <w:r>
        <w:rPr>
          <w:color w:val="231F20"/>
          <w:spacing w:val="10"/>
        </w:rPr>
        <w:t> </w:t>
      </w:r>
      <w:r>
        <w:rPr>
          <w:color w:val="231F20"/>
          <w:spacing w:val="-5"/>
        </w:rPr>
        <w:t>1.6</w:t>
      </w:r>
      <w:r>
        <w:rPr>
          <w:color w:val="231F20"/>
        </w:rPr>
        <w:tab/>
      </w:r>
      <w:r>
        <w:rPr>
          <w:color w:val="231F20"/>
          <w:spacing w:val="-2"/>
        </w:rPr>
        <w:t>explosives</w:t>
      </w:r>
    </w:p>
    <w:p>
      <w:pPr>
        <w:pStyle w:val="BodyText"/>
        <w:tabs>
          <w:tab w:pos="3730" w:val="left" w:leader="none"/>
        </w:tabs>
        <w:spacing w:line="256" w:lineRule="auto" w:before="156"/>
        <w:ind w:left="3730" w:right="1415" w:hanging="1801"/>
        <w:jc w:val="both"/>
      </w:pPr>
      <w:r>
        <w:rPr>
          <w:color w:val="231F20"/>
          <w:w w:val="105"/>
        </w:rPr>
        <w:t>Class 2.1</w:t>
      </w:r>
      <w:r>
        <w:rPr>
          <w:color w:val="231F20"/>
        </w:rPr>
        <w:tab/>
      </w:r>
      <w:r>
        <w:rPr>
          <w:color w:val="231F20"/>
          <w:w w:val="105"/>
        </w:rPr>
        <w:t>flammable gases in quantities greater than 3,000 L in a road tank vehicle, a railway tank wagon or a portable tank</w:t>
      </w:r>
    </w:p>
    <w:p>
      <w:pPr>
        <w:pStyle w:val="BodyText"/>
        <w:tabs>
          <w:tab w:pos="3729" w:val="left" w:leader="none"/>
        </w:tabs>
        <w:spacing w:before="143"/>
        <w:ind w:left="1930"/>
      </w:pPr>
      <w:r>
        <w:rPr>
          <w:color w:val="231F20"/>
        </w:rPr>
        <w:t>Class</w:t>
      </w:r>
      <w:r>
        <w:rPr>
          <w:color w:val="231F20"/>
          <w:spacing w:val="13"/>
        </w:rPr>
        <w:t> </w:t>
      </w:r>
      <w:r>
        <w:rPr>
          <w:color w:val="231F20"/>
          <w:spacing w:val="-5"/>
        </w:rPr>
        <w:t>2.3</w:t>
      </w:r>
      <w:r>
        <w:rPr>
          <w:color w:val="231F20"/>
        </w:rPr>
        <w:tab/>
        <w:t>toxic</w:t>
      </w:r>
      <w:r>
        <w:rPr>
          <w:color w:val="231F20"/>
          <w:spacing w:val="25"/>
        </w:rPr>
        <w:t> </w:t>
      </w:r>
      <w:r>
        <w:rPr>
          <w:color w:val="231F20"/>
          <w:spacing w:val="-4"/>
        </w:rPr>
        <w:t>gases</w:t>
      </w:r>
    </w:p>
    <w:p>
      <w:pPr>
        <w:pStyle w:val="BodyText"/>
        <w:tabs>
          <w:tab w:pos="3730" w:val="left" w:leader="none"/>
        </w:tabs>
        <w:spacing w:line="256" w:lineRule="auto" w:before="156"/>
        <w:ind w:left="3730" w:right="1416" w:hanging="1801"/>
        <w:jc w:val="both"/>
      </w:pPr>
      <w:r>
        <w:rPr>
          <w:color w:val="231F20"/>
          <w:w w:val="105"/>
        </w:rPr>
        <w:t>Class 3</w:t>
      </w:r>
      <w:r>
        <w:rPr>
          <w:color w:val="231F20"/>
        </w:rPr>
        <w:tab/>
      </w:r>
      <w:r>
        <w:rPr>
          <w:color w:val="231F20"/>
          <w:w w:val="105"/>
        </w:rPr>
        <w:t>flammable</w:t>
      </w:r>
      <w:r>
        <w:rPr>
          <w:color w:val="231F20"/>
          <w:spacing w:val="-8"/>
          <w:w w:val="105"/>
        </w:rPr>
        <w:t> </w:t>
      </w:r>
      <w:r>
        <w:rPr>
          <w:color w:val="231F20"/>
          <w:w w:val="105"/>
        </w:rPr>
        <w:t>liquids</w:t>
      </w:r>
      <w:r>
        <w:rPr>
          <w:color w:val="231F20"/>
          <w:spacing w:val="-8"/>
          <w:w w:val="105"/>
        </w:rPr>
        <w:t> </w:t>
      </w:r>
      <w:r>
        <w:rPr>
          <w:color w:val="231F20"/>
          <w:w w:val="105"/>
        </w:rPr>
        <w:t>of</w:t>
      </w:r>
      <w:r>
        <w:rPr>
          <w:color w:val="231F20"/>
          <w:spacing w:val="-8"/>
          <w:w w:val="105"/>
        </w:rPr>
        <w:t> </w:t>
      </w:r>
      <w:r>
        <w:rPr>
          <w:color w:val="231F20"/>
          <w:w w:val="105"/>
        </w:rPr>
        <w:t>packing</w:t>
      </w:r>
      <w:r>
        <w:rPr>
          <w:color w:val="231F20"/>
          <w:spacing w:val="-8"/>
          <w:w w:val="105"/>
        </w:rPr>
        <w:t> </w:t>
      </w:r>
      <w:r>
        <w:rPr>
          <w:color w:val="231F20"/>
          <w:w w:val="105"/>
        </w:rPr>
        <w:t>groups</w:t>
      </w:r>
      <w:r>
        <w:rPr>
          <w:color w:val="231F20"/>
          <w:spacing w:val="-8"/>
          <w:w w:val="105"/>
        </w:rPr>
        <w:t> </w:t>
      </w:r>
      <w:r>
        <w:rPr>
          <w:color w:val="231F20"/>
          <w:w w:val="105"/>
        </w:rPr>
        <w:t>I</w:t>
      </w:r>
      <w:r>
        <w:rPr>
          <w:color w:val="231F20"/>
          <w:spacing w:val="-8"/>
          <w:w w:val="105"/>
        </w:rPr>
        <w:t> </w:t>
      </w:r>
      <w:r>
        <w:rPr>
          <w:color w:val="231F20"/>
          <w:w w:val="105"/>
        </w:rPr>
        <w:t>and</w:t>
      </w:r>
      <w:r>
        <w:rPr>
          <w:color w:val="231F20"/>
          <w:spacing w:val="-8"/>
          <w:w w:val="105"/>
        </w:rPr>
        <w:t> </w:t>
      </w:r>
      <w:r>
        <w:rPr>
          <w:color w:val="231F20"/>
          <w:w w:val="105"/>
        </w:rPr>
        <w:t>II</w:t>
      </w:r>
      <w:r>
        <w:rPr>
          <w:color w:val="231F20"/>
          <w:spacing w:val="-8"/>
          <w:w w:val="105"/>
        </w:rPr>
        <w:t> </w:t>
      </w:r>
      <w:r>
        <w:rPr>
          <w:color w:val="231F20"/>
          <w:w w:val="105"/>
        </w:rPr>
        <w:t>in</w:t>
      </w:r>
      <w:r>
        <w:rPr>
          <w:color w:val="231F20"/>
          <w:spacing w:val="-8"/>
          <w:w w:val="105"/>
        </w:rPr>
        <w:t> </w:t>
      </w:r>
      <w:r>
        <w:rPr>
          <w:color w:val="231F20"/>
          <w:w w:val="105"/>
        </w:rPr>
        <w:t>quantities</w:t>
      </w:r>
      <w:r>
        <w:rPr>
          <w:color w:val="231F20"/>
          <w:spacing w:val="-8"/>
          <w:w w:val="105"/>
        </w:rPr>
        <w:t> </w:t>
      </w:r>
      <w:r>
        <w:rPr>
          <w:color w:val="231F20"/>
          <w:w w:val="105"/>
        </w:rPr>
        <w:t>greater</w:t>
      </w:r>
      <w:r>
        <w:rPr>
          <w:color w:val="231F20"/>
          <w:spacing w:val="-8"/>
          <w:w w:val="105"/>
        </w:rPr>
        <w:t> </w:t>
      </w:r>
      <w:r>
        <w:rPr>
          <w:color w:val="231F20"/>
          <w:w w:val="105"/>
        </w:rPr>
        <w:t>than</w:t>
      </w:r>
      <w:r>
        <w:rPr>
          <w:color w:val="231F20"/>
          <w:spacing w:val="-8"/>
          <w:w w:val="105"/>
        </w:rPr>
        <w:t> </w:t>
      </w:r>
      <w:r>
        <w:rPr>
          <w:color w:val="231F20"/>
          <w:w w:val="105"/>
        </w:rPr>
        <w:t>3,000</w:t>
      </w:r>
      <w:r>
        <w:rPr>
          <w:color w:val="231F20"/>
          <w:spacing w:val="-8"/>
          <w:w w:val="105"/>
        </w:rPr>
        <w:t> </w:t>
      </w:r>
      <w:r>
        <w:rPr>
          <w:color w:val="231F20"/>
          <w:w w:val="105"/>
        </w:rPr>
        <w:t>L</w:t>
      </w:r>
      <w:r>
        <w:rPr>
          <w:color w:val="231F20"/>
          <w:spacing w:val="-8"/>
          <w:w w:val="105"/>
        </w:rPr>
        <w:t> </w:t>
      </w:r>
      <w:r>
        <w:rPr>
          <w:color w:val="231F20"/>
          <w:w w:val="105"/>
        </w:rPr>
        <w:t>in</w:t>
      </w:r>
      <w:r>
        <w:rPr>
          <w:color w:val="231F20"/>
          <w:spacing w:val="-8"/>
          <w:w w:val="105"/>
        </w:rPr>
        <w:t> </w:t>
      </w:r>
      <w:r>
        <w:rPr>
          <w:color w:val="231F20"/>
          <w:w w:val="105"/>
        </w:rPr>
        <w:t>a</w:t>
      </w:r>
      <w:r>
        <w:rPr>
          <w:color w:val="231F20"/>
          <w:spacing w:val="-8"/>
          <w:w w:val="105"/>
        </w:rPr>
        <w:t> </w:t>
      </w:r>
      <w:r>
        <w:rPr>
          <w:color w:val="231F20"/>
          <w:w w:val="105"/>
        </w:rPr>
        <w:t>road tank vehicle, a railway tank wagon or a portable tank</w:t>
      </w:r>
    </w:p>
    <w:p>
      <w:pPr>
        <w:pStyle w:val="BodyText"/>
        <w:tabs>
          <w:tab w:pos="3729" w:val="left" w:leader="none"/>
        </w:tabs>
        <w:spacing w:before="143"/>
        <w:ind w:left="1930"/>
      </w:pPr>
      <w:r>
        <w:rPr>
          <w:color w:val="231F20"/>
        </w:rPr>
        <w:t>Class</w:t>
      </w:r>
      <w:r>
        <w:rPr>
          <w:color w:val="231F20"/>
          <w:spacing w:val="13"/>
        </w:rPr>
        <w:t> </w:t>
      </w:r>
      <w:r>
        <w:rPr>
          <w:color w:val="231F20"/>
          <w:spacing w:val="-10"/>
        </w:rPr>
        <w:t>3</w:t>
      </w:r>
      <w:r>
        <w:rPr>
          <w:color w:val="231F20"/>
        </w:rPr>
        <w:tab/>
        <w:t>liquid</w:t>
      </w:r>
      <w:r>
        <w:rPr>
          <w:color w:val="231F20"/>
          <w:spacing w:val="34"/>
        </w:rPr>
        <w:t> </w:t>
      </w:r>
      <w:r>
        <w:rPr>
          <w:color w:val="231F20"/>
        </w:rPr>
        <w:t>desensitized</w:t>
      </w:r>
      <w:r>
        <w:rPr>
          <w:color w:val="231F20"/>
          <w:spacing w:val="34"/>
        </w:rPr>
        <w:t> </w:t>
      </w:r>
      <w:r>
        <w:rPr>
          <w:color w:val="231F20"/>
          <w:spacing w:val="-2"/>
        </w:rPr>
        <w:t>explosives</w:t>
      </w:r>
    </w:p>
    <w:p>
      <w:pPr>
        <w:pStyle w:val="BodyText"/>
        <w:tabs>
          <w:tab w:pos="3729" w:val="left" w:leader="none"/>
        </w:tabs>
        <w:spacing w:before="157"/>
        <w:ind w:left="1930"/>
      </w:pPr>
      <w:r>
        <w:rPr>
          <w:color w:val="231F20"/>
        </w:rPr>
        <w:t>Class</w:t>
      </w:r>
      <w:r>
        <w:rPr>
          <w:color w:val="231F20"/>
          <w:spacing w:val="13"/>
        </w:rPr>
        <w:t> </w:t>
      </w:r>
      <w:r>
        <w:rPr>
          <w:color w:val="231F20"/>
          <w:spacing w:val="-5"/>
        </w:rPr>
        <w:t>4.1</w:t>
      </w:r>
      <w:r>
        <w:rPr>
          <w:color w:val="231F20"/>
        </w:rPr>
        <w:tab/>
        <w:t>solid</w:t>
      </w:r>
      <w:r>
        <w:rPr>
          <w:color w:val="231F20"/>
          <w:spacing w:val="32"/>
        </w:rPr>
        <w:t> </w:t>
      </w:r>
      <w:r>
        <w:rPr>
          <w:color w:val="231F20"/>
        </w:rPr>
        <w:t>desensitized</w:t>
      </w:r>
      <w:r>
        <w:rPr>
          <w:color w:val="231F20"/>
          <w:spacing w:val="32"/>
        </w:rPr>
        <w:t> </w:t>
      </w:r>
      <w:r>
        <w:rPr>
          <w:color w:val="231F20"/>
          <w:spacing w:val="-2"/>
        </w:rPr>
        <w:t>explosives</w:t>
      </w:r>
    </w:p>
    <w:p>
      <w:pPr>
        <w:pStyle w:val="BodyText"/>
        <w:tabs>
          <w:tab w:pos="3730" w:val="left" w:leader="none"/>
        </w:tabs>
        <w:spacing w:line="256" w:lineRule="auto" w:before="156"/>
        <w:ind w:left="3730" w:right="1417" w:hanging="1801"/>
        <w:jc w:val="both"/>
      </w:pPr>
      <w:r>
        <w:rPr>
          <w:color w:val="231F20"/>
          <w:w w:val="105"/>
        </w:rPr>
        <w:t>Class 4.2</w:t>
      </w:r>
      <w:r>
        <w:rPr>
          <w:color w:val="231F20"/>
        </w:rPr>
        <w:tab/>
      </w:r>
      <w:r>
        <w:rPr>
          <w:color w:val="231F20"/>
          <w:w w:val="105"/>
        </w:rPr>
        <w:t>goods of packing group I in quantities greater than 3,000 kg or 3,000 L in a road tank vehicle, a railway tank wagon, a portable tank or a bulk container</w:t>
      </w:r>
    </w:p>
    <w:p>
      <w:pPr>
        <w:pStyle w:val="BodyText"/>
        <w:tabs>
          <w:tab w:pos="3730" w:val="left" w:leader="none"/>
        </w:tabs>
        <w:spacing w:line="256" w:lineRule="auto" w:before="143"/>
        <w:ind w:left="3730" w:right="1417" w:hanging="1801"/>
        <w:jc w:val="both"/>
      </w:pPr>
      <w:r>
        <w:rPr>
          <w:color w:val="231F20"/>
          <w:w w:val="105"/>
        </w:rPr>
        <w:t>Class 4.3</w:t>
      </w:r>
      <w:r>
        <w:rPr>
          <w:color w:val="231F20"/>
        </w:rPr>
        <w:tab/>
      </w:r>
      <w:r>
        <w:rPr>
          <w:color w:val="231F20"/>
          <w:w w:val="105"/>
        </w:rPr>
        <w:t>goods of packing group I in quantities greater than 3,000 kg or 3,000 L in a road tank vehicle, a railway tank wagon, a portable tank or a bulk container</w:t>
      </w:r>
    </w:p>
    <w:p>
      <w:pPr>
        <w:pStyle w:val="BodyText"/>
        <w:tabs>
          <w:tab w:pos="3730" w:val="left" w:leader="none"/>
        </w:tabs>
        <w:spacing w:line="256" w:lineRule="auto" w:before="143"/>
        <w:ind w:left="3730" w:right="1415" w:hanging="1801"/>
        <w:jc w:val="both"/>
      </w:pPr>
      <w:r>
        <w:rPr>
          <w:color w:val="231F20"/>
          <w:w w:val="105"/>
        </w:rPr>
        <w:t>Class 5.1</w:t>
      </w:r>
      <w:r>
        <w:rPr>
          <w:color w:val="231F20"/>
        </w:rPr>
        <w:tab/>
      </w:r>
      <w:r>
        <w:rPr>
          <w:color w:val="231F20"/>
          <w:w w:val="105"/>
        </w:rPr>
        <w:t>oxidizing liquids of packing group I in quantities greater than 3,000 L in a road tank vehicle, a railway tank wagon or a portable tank</w:t>
      </w:r>
    </w:p>
    <w:p>
      <w:pPr>
        <w:pStyle w:val="BodyText"/>
        <w:tabs>
          <w:tab w:pos="3730" w:val="left" w:leader="none"/>
        </w:tabs>
        <w:spacing w:line="256" w:lineRule="auto" w:before="143"/>
        <w:ind w:left="3730" w:right="1415" w:hanging="1801"/>
        <w:jc w:val="both"/>
      </w:pPr>
      <w:r>
        <w:rPr>
          <w:color w:val="231F20"/>
          <w:w w:val="105"/>
        </w:rPr>
        <w:t>Class 5.1</w:t>
      </w:r>
      <w:r>
        <w:rPr>
          <w:color w:val="231F20"/>
        </w:rPr>
        <w:tab/>
      </w:r>
      <w:r>
        <w:rPr>
          <w:color w:val="231F20"/>
          <w:w w:val="105"/>
        </w:rPr>
        <w:t>perchlorates, ammonium nitrate, ammonium nitrate fertilizers and ammonium nitrate emulsions or suspensions or gels in quantities greater than 3,000 kg or 3,000 L in a road tank vehicle, a railway tank wagon, a portable tank or a bulk container</w:t>
      </w:r>
    </w:p>
    <w:p>
      <w:pPr>
        <w:pStyle w:val="BodyText"/>
        <w:spacing w:after="0" w:line="256" w:lineRule="auto"/>
        <w:jc w:val="both"/>
        <w:sectPr>
          <w:type w:val="continuous"/>
          <w:pgSz w:w="11910" w:h="16840"/>
          <w:pgMar w:header="0" w:footer="570" w:top="0" w:bottom="760" w:left="0" w:right="0"/>
        </w:sectPr>
      </w:pPr>
    </w:p>
    <w:p>
      <w:pPr>
        <w:pStyle w:val="BodyText"/>
        <w:spacing w:before="72"/>
        <w:rPr>
          <w:sz w:val="18"/>
        </w:rPr>
      </w:pPr>
    </w:p>
    <w:p>
      <w:pPr>
        <w:pStyle w:val="Heading2"/>
        <w:spacing w:before="0"/>
      </w:pPr>
      <w:r>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-188457</wp:posOffset>
                </wp:positionV>
                <wp:extent cx="360045" cy="152146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60045" cy="1521460"/>
                          <a:chExt cx="360045" cy="1521460"/>
                        </a:xfrm>
                      </wpg:grpSpPr>
                      <wps:wsp>
                        <wps:cNvPr id="22" name="Graphic 22"/>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3" name="Textbox 23"/>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31712" id="docshapegroup16" coordorigin="11339,-297" coordsize="567,2396">
                <v:rect style="position:absolute;left:11338;top:-297;width:567;height:2396" id="docshape17" filled="true" fillcolor="#58595b" stroked="false">
                  <v:fill type="solid"/>
                </v:rect>
                <v:shape style="position:absolute;left:11338;top:-297;width:567;height:2396" type="#_x0000_t202" id="docshape18"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48</w:t>
      </w:r>
    </w:p>
    <w:p>
      <w:pPr>
        <w:pStyle w:val="BodyText"/>
        <w:spacing w:before="59"/>
        <w:rPr>
          <w:sz w:val="18"/>
        </w:rPr>
      </w:pPr>
    </w:p>
    <w:p>
      <w:pPr>
        <w:pStyle w:val="BodyText"/>
        <w:ind w:right="848"/>
        <w:jc w:val="right"/>
      </w:pPr>
      <w:r>
        <w:rPr>
          <w:color w:val="231F20"/>
          <w:w w:val="105"/>
        </w:rPr>
        <w:t>Chapter</w:t>
      </w:r>
      <w:r>
        <w:rPr>
          <w:color w:val="231F20"/>
          <w:spacing w:val="5"/>
          <w:w w:val="105"/>
        </w:rPr>
        <w:t> </w:t>
      </w:r>
      <w:r>
        <w:rPr>
          <w:color w:val="231F20"/>
          <w:w w:val="105"/>
        </w:rPr>
        <w:t>1.4</w:t>
      </w:r>
      <w:r>
        <w:rPr>
          <w:color w:val="231F20"/>
          <w:spacing w:val="5"/>
          <w:w w:val="105"/>
        </w:rPr>
        <w:t> </w:t>
      </w:r>
      <w:r>
        <w:rPr>
          <w:color w:val="231F20"/>
          <w:w w:val="105"/>
        </w:rPr>
        <w:t>–</w:t>
      </w:r>
      <w:r>
        <w:rPr>
          <w:color w:val="231F20"/>
          <w:spacing w:val="5"/>
          <w:w w:val="105"/>
        </w:rPr>
        <w:t> </w:t>
      </w:r>
      <w:r>
        <w:rPr>
          <w:color w:val="231F20"/>
          <w:w w:val="105"/>
        </w:rPr>
        <w:t>Security</w:t>
      </w:r>
      <w:r>
        <w:rPr>
          <w:color w:val="231F20"/>
          <w:spacing w:val="5"/>
          <w:w w:val="105"/>
        </w:rPr>
        <w:t> </w:t>
      </w:r>
      <w:r>
        <w:rPr>
          <w:color w:val="231F20"/>
          <w:spacing w:val="-2"/>
          <w:w w:val="105"/>
        </w:rPr>
        <w:t>provisions</w:t>
      </w:r>
    </w:p>
    <w:p>
      <w:pPr>
        <w:pStyle w:val="BodyText"/>
        <w:spacing w:before="7"/>
        <w:rPr>
          <w:sz w:val="5"/>
        </w:rPr>
      </w:pPr>
      <w:r>
        <w:rPr>
          <w:sz w:val="5"/>
        </w:rPr>
        <mc:AlternateContent>
          <mc:Choice Requires="wps">
            <w:drawing>
              <wp:anchor distT="0" distB="0" distL="0" distR="0" allowOverlap="1" layoutInCell="1" locked="0" behindDoc="1" simplePos="0" relativeHeight="487590400">
                <wp:simplePos x="0" y="0"/>
                <wp:positionH relativeFrom="page">
                  <wp:posOffset>899999</wp:posOffset>
                </wp:positionH>
                <wp:positionV relativeFrom="paragraph">
                  <wp:posOffset>56648</wp:posOffset>
                </wp:positionV>
                <wp:extent cx="612013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60546pt;width:481.9pt;height:.1pt;mso-position-horizontal-relative:page;mso-position-vertical-relative:paragraph;z-index:-15726080;mso-wrap-distance-left:0;mso-wrap-distance-right:0" id="docshape19"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pStyle w:val="BodyText"/>
        <w:tabs>
          <w:tab w:pos="4297" w:val="left" w:leader="none"/>
        </w:tabs>
        <w:ind w:left="2497"/>
      </w:pPr>
      <w:r>
        <w:rPr>
          <w:color w:val="231F20"/>
        </w:rPr>
        <w:t>Class</w:t>
      </w:r>
      <w:r>
        <w:rPr>
          <w:color w:val="231F20"/>
          <w:spacing w:val="13"/>
        </w:rPr>
        <w:t> </w:t>
      </w:r>
      <w:r>
        <w:rPr>
          <w:color w:val="231F20"/>
          <w:spacing w:val="-5"/>
        </w:rPr>
        <w:t>6.1</w:t>
      </w:r>
      <w:r>
        <w:rPr>
          <w:color w:val="231F20"/>
        </w:rPr>
        <w:tab/>
        <w:t>toxic</w:t>
      </w:r>
      <w:r>
        <w:rPr>
          <w:color w:val="231F20"/>
          <w:spacing w:val="30"/>
        </w:rPr>
        <w:t> </w:t>
      </w:r>
      <w:r>
        <w:rPr>
          <w:color w:val="231F20"/>
        </w:rPr>
        <w:t>substances</w:t>
      </w:r>
      <w:r>
        <w:rPr>
          <w:color w:val="231F20"/>
          <w:spacing w:val="30"/>
        </w:rPr>
        <w:t> </w:t>
      </w:r>
      <w:r>
        <w:rPr>
          <w:color w:val="231F20"/>
        </w:rPr>
        <w:t>of</w:t>
      </w:r>
      <w:r>
        <w:rPr>
          <w:color w:val="231F20"/>
          <w:spacing w:val="30"/>
        </w:rPr>
        <w:t> </w:t>
      </w:r>
      <w:r>
        <w:rPr>
          <w:color w:val="231F20"/>
        </w:rPr>
        <w:t>packing</w:t>
      </w:r>
      <w:r>
        <w:rPr>
          <w:color w:val="231F20"/>
          <w:spacing w:val="30"/>
        </w:rPr>
        <w:t> </w:t>
      </w:r>
      <w:r>
        <w:rPr>
          <w:color w:val="231F20"/>
        </w:rPr>
        <w:t>group</w:t>
      </w:r>
      <w:r>
        <w:rPr>
          <w:color w:val="231F20"/>
          <w:spacing w:val="30"/>
        </w:rPr>
        <w:t> </w:t>
      </w:r>
      <w:r>
        <w:rPr>
          <w:color w:val="231F20"/>
          <w:spacing w:val="-10"/>
        </w:rPr>
        <w:t>I</w:t>
      </w:r>
    </w:p>
    <w:p>
      <w:pPr>
        <w:pStyle w:val="BodyText"/>
        <w:tabs>
          <w:tab w:pos="4297" w:val="left" w:leader="none"/>
        </w:tabs>
        <w:spacing w:line="256" w:lineRule="auto" w:before="135"/>
        <w:ind w:left="4297" w:right="849" w:hanging="1801"/>
      </w:pPr>
      <w:r>
        <w:rPr>
          <w:color w:val="231F20"/>
          <w:w w:val="105"/>
        </w:rPr>
        <w:t>Class 6.2</w:t>
      </w:r>
      <w:r>
        <w:rPr>
          <w:color w:val="231F20"/>
        </w:rPr>
        <w:tab/>
      </w:r>
      <w:r>
        <w:rPr>
          <w:color w:val="231F20"/>
          <w:w w:val="105"/>
        </w:rPr>
        <w:t>infectious substances of Category A (UN 2814 and UN 2900) and medical waste of Category A (UN 3549)</w:t>
      </w:r>
    </w:p>
    <w:p>
      <w:pPr>
        <w:pStyle w:val="BodyText"/>
        <w:tabs>
          <w:tab w:pos="4297" w:val="left" w:leader="none"/>
        </w:tabs>
        <w:spacing w:line="256" w:lineRule="auto" w:before="121"/>
        <w:ind w:left="4297" w:right="849" w:hanging="1801"/>
      </w:pPr>
      <w:r>
        <w:rPr>
          <w:color w:val="231F20"/>
          <w:w w:val="105"/>
        </w:rPr>
        <w:t>Class 8</w:t>
      </w:r>
      <w:r>
        <w:rPr>
          <w:color w:val="231F20"/>
        </w:rPr>
        <w:tab/>
      </w:r>
      <w:r>
        <w:rPr>
          <w:color w:val="231F20"/>
          <w:w w:val="105"/>
        </w:rPr>
        <w:t>corrosive</w:t>
      </w:r>
      <w:r>
        <w:rPr>
          <w:color w:val="231F20"/>
          <w:spacing w:val="-2"/>
          <w:w w:val="105"/>
        </w:rPr>
        <w:t> </w:t>
      </w:r>
      <w:r>
        <w:rPr>
          <w:color w:val="231F20"/>
          <w:w w:val="105"/>
        </w:rPr>
        <w:t>substances</w:t>
      </w:r>
      <w:r>
        <w:rPr>
          <w:color w:val="231F20"/>
          <w:spacing w:val="-2"/>
          <w:w w:val="105"/>
        </w:rPr>
        <w:t> </w:t>
      </w:r>
      <w:r>
        <w:rPr>
          <w:color w:val="231F20"/>
          <w:w w:val="105"/>
        </w:rPr>
        <w:t>of</w:t>
      </w:r>
      <w:r>
        <w:rPr>
          <w:color w:val="231F20"/>
          <w:spacing w:val="-2"/>
          <w:w w:val="105"/>
        </w:rPr>
        <w:t> </w:t>
      </w:r>
      <w:r>
        <w:rPr>
          <w:color w:val="231F20"/>
          <w:w w:val="105"/>
        </w:rPr>
        <w:t>packing</w:t>
      </w:r>
      <w:r>
        <w:rPr>
          <w:color w:val="231F20"/>
          <w:spacing w:val="-2"/>
          <w:w w:val="105"/>
        </w:rPr>
        <w:t> </w:t>
      </w:r>
      <w:r>
        <w:rPr>
          <w:color w:val="231F20"/>
          <w:w w:val="105"/>
        </w:rPr>
        <w:t>group</w:t>
      </w:r>
      <w:r>
        <w:rPr>
          <w:color w:val="231F20"/>
          <w:spacing w:val="-2"/>
          <w:w w:val="105"/>
        </w:rPr>
        <w:t> </w:t>
      </w:r>
      <w:r>
        <w:rPr>
          <w:color w:val="231F20"/>
          <w:w w:val="105"/>
        </w:rPr>
        <w:t>I</w:t>
      </w:r>
      <w:r>
        <w:rPr>
          <w:color w:val="231F20"/>
          <w:spacing w:val="-2"/>
          <w:w w:val="105"/>
        </w:rPr>
        <w:t> </w:t>
      </w:r>
      <w:r>
        <w:rPr>
          <w:color w:val="231F20"/>
          <w:w w:val="105"/>
        </w:rPr>
        <w:t>in</w:t>
      </w:r>
      <w:r>
        <w:rPr>
          <w:color w:val="231F20"/>
          <w:spacing w:val="-2"/>
          <w:w w:val="105"/>
        </w:rPr>
        <w:t> </w:t>
      </w:r>
      <w:r>
        <w:rPr>
          <w:color w:val="231F20"/>
          <w:w w:val="105"/>
        </w:rPr>
        <w:t>quantities</w:t>
      </w:r>
      <w:r>
        <w:rPr>
          <w:color w:val="231F20"/>
          <w:spacing w:val="-2"/>
          <w:w w:val="105"/>
        </w:rPr>
        <w:t> </w:t>
      </w:r>
      <w:r>
        <w:rPr>
          <w:color w:val="231F20"/>
          <w:w w:val="105"/>
        </w:rPr>
        <w:t>greater</w:t>
      </w:r>
      <w:r>
        <w:rPr>
          <w:color w:val="231F20"/>
          <w:spacing w:val="-2"/>
          <w:w w:val="105"/>
        </w:rPr>
        <w:t> </w:t>
      </w:r>
      <w:r>
        <w:rPr>
          <w:color w:val="231F20"/>
          <w:w w:val="105"/>
        </w:rPr>
        <w:t>than</w:t>
      </w:r>
      <w:r>
        <w:rPr>
          <w:color w:val="231F20"/>
          <w:spacing w:val="-2"/>
          <w:w w:val="105"/>
        </w:rPr>
        <w:t> </w:t>
      </w:r>
      <w:r>
        <w:rPr>
          <w:color w:val="231F20"/>
          <w:w w:val="105"/>
        </w:rPr>
        <w:t>3,000</w:t>
      </w:r>
      <w:r>
        <w:rPr>
          <w:color w:val="231F20"/>
          <w:spacing w:val="-2"/>
          <w:w w:val="105"/>
        </w:rPr>
        <w:t> </w:t>
      </w:r>
      <w:r>
        <w:rPr>
          <w:color w:val="231F20"/>
          <w:w w:val="105"/>
        </w:rPr>
        <w:t>kg</w:t>
      </w:r>
      <w:r>
        <w:rPr>
          <w:color w:val="231F20"/>
          <w:spacing w:val="-2"/>
          <w:w w:val="105"/>
        </w:rPr>
        <w:t> </w:t>
      </w:r>
      <w:r>
        <w:rPr>
          <w:color w:val="231F20"/>
          <w:w w:val="105"/>
        </w:rPr>
        <w:t>or</w:t>
      </w:r>
      <w:r>
        <w:rPr>
          <w:color w:val="231F20"/>
          <w:spacing w:val="-2"/>
          <w:w w:val="105"/>
        </w:rPr>
        <w:t> </w:t>
      </w:r>
      <w:r>
        <w:rPr>
          <w:color w:val="231F20"/>
          <w:w w:val="105"/>
        </w:rPr>
        <w:t>3,000</w:t>
      </w:r>
      <w:r>
        <w:rPr>
          <w:color w:val="231F20"/>
          <w:spacing w:val="-2"/>
          <w:w w:val="105"/>
        </w:rPr>
        <w:t> </w:t>
      </w:r>
      <w:r>
        <w:rPr>
          <w:color w:val="231F20"/>
          <w:w w:val="105"/>
        </w:rPr>
        <w:t>L in a road tank vehicle, a railway tank wagon, a portable tank or a bulk container</w:t>
      </w:r>
    </w:p>
    <w:p>
      <w:pPr>
        <w:pStyle w:val="ListParagraph"/>
        <w:numPr>
          <w:ilvl w:val="4"/>
          <w:numId w:val="1"/>
        </w:numPr>
        <w:tabs>
          <w:tab w:pos="2492" w:val="left" w:leader="none"/>
          <w:tab w:pos="2497" w:val="left" w:leader="none"/>
        </w:tabs>
        <w:spacing w:line="256" w:lineRule="auto" w:before="122" w:after="0"/>
        <w:ind w:left="2497" w:right="847" w:hanging="1080"/>
        <w:jc w:val="both"/>
        <w:rPr>
          <w:color w:val="231F20"/>
          <w:sz w:val="17"/>
        </w:rPr>
      </w:pPr>
      <w:r>
        <w:rPr>
          <w:color w:val="231F20"/>
          <w:w w:val="105"/>
          <w:sz w:val="17"/>
        </w:rPr>
        <w:t>For dangerous goods of class 7, high consequence radioactive material is that with an activity equal to or greater than a transport security threshold of 3,000 </w:t>
      </w:r>
      <w:r>
        <w:rPr>
          <w:rFonts w:ascii="Arial"/>
          <w:i/>
          <w:color w:val="231F20"/>
          <w:w w:val="105"/>
          <w:sz w:val="17"/>
        </w:rPr>
        <w:t>A</w:t>
      </w:r>
      <w:r>
        <w:rPr>
          <w:color w:val="231F20"/>
          <w:w w:val="105"/>
          <w:sz w:val="17"/>
          <w:vertAlign w:val="subscript"/>
        </w:rPr>
        <w:t>2</w:t>
      </w:r>
      <w:r>
        <w:rPr>
          <w:color w:val="231F20"/>
          <w:w w:val="105"/>
          <w:sz w:val="17"/>
          <w:vertAlign w:val="baseline"/>
        </w:rPr>
        <w:t> per single package (see also 2.7.2.2.1) except for the following radionuclides where the transport security threshold is given in table 1.4.2 below.</w:t>
      </w:r>
    </w:p>
    <w:p>
      <w:pPr>
        <w:pStyle w:val="BodyText"/>
        <w:spacing w:before="77"/>
      </w:pPr>
    </w:p>
    <w:p>
      <w:pPr>
        <w:spacing w:before="0"/>
        <w:ind w:left="4057" w:right="0" w:firstLine="0"/>
        <w:jc w:val="left"/>
        <w:rPr>
          <w:rFonts w:ascii="Arial" w:hAnsi="Arial"/>
          <w:i/>
          <w:sz w:val="17"/>
        </w:rPr>
      </w:pPr>
      <w:r>
        <w:rPr>
          <w:color w:val="231F20"/>
          <w:w w:val="105"/>
          <w:sz w:val="17"/>
        </w:rPr>
        <w:t>Table</w:t>
      </w:r>
      <w:r>
        <w:rPr>
          <w:color w:val="231F20"/>
          <w:spacing w:val="-3"/>
          <w:w w:val="105"/>
          <w:sz w:val="17"/>
        </w:rPr>
        <w:t> </w:t>
      </w:r>
      <w:r>
        <w:rPr>
          <w:color w:val="231F20"/>
          <w:w w:val="105"/>
          <w:sz w:val="17"/>
        </w:rPr>
        <w:t>1.4.2</w:t>
      </w:r>
      <w:r>
        <w:rPr>
          <w:color w:val="231F20"/>
          <w:spacing w:val="-3"/>
          <w:w w:val="105"/>
          <w:sz w:val="17"/>
        </w:rPr>
        <w:t> </w:t>
      </w:r>
      <w:r>
        <w:rPr>
          <w:color w:val="231F20"/>
          <w:w w:val="105"/>
          <w:sz w:val="17"/>
        </w:rPr>
        <w:t>–</w:t>
      </w:r>
      <w:r>
        <w:rPr>
          <w:color w:val="231F20"/>
          <w:spacing w:val="-3"/>
          <w:w w:val="105"/>
          <w:sz w:val="17"/>
        </w:rPr>
        <w:t> </w:t>
      </w:r>
      <w:r>
        <w:rPr>
          <w:rFonts w:ascii="Arial" w:hAnsi="Arial"/>
          <w:i/>
          <w:color w:val="231F20"/>
          <w:w w:val="105"/>
          <w:sz w:val="17"/>
        </w:rPr>
        <w:t>Transport</w:t>
      </w:r>
      <w:r>
        <w:rPr>
          <w:rFonts w:ascii="Arial" w:hAnsi="Arial"/>
          <w:i/>
          <w:color w:val="231F20"/>
          <w:spacing w:val="-3"/>
          <w:w w:val="105"/>
          <w:sz w:val="17"/>
        </w:rPr>
        <w:t> </w:t>
      </w:r>
      <w:r>
        <w:rPr>
          <w:rFonts w:ascii="Arial" w:hAnsi="Arial"/>
          <w:i/>
          <w:color w:val="231F20"/>
          <w:w w:val="105"/>
          <w:sz w:val="17"/>
        </w:rPr>
        <w:t>security</w:t>
      </w:r>
      <w:r>
        <w:rPr>
          <w:rFonts w:ascii="Arial" w:hAnsi="Arial"/>
          <w:i/>
          <w:color w:val="231F20"/>
          <w:spacing w:val="-3"/>
          <w:w w:val="105"/>
          <w:sz w:val="17"/>
        </w:rPr>
        <w:t> </w:t>
      </w:r>
      <w:r>
        <w:rPr>
          <w:rFonts w:ascii="Arial" w:hAnsi="Arial"/>
          <w:i/>
          <w:color w:val="231F20"/>
          <w:w w:val="105"/>
          <w:sz w:val="17"/>
        </w:rPr>
        <w:t>thresholds</w:t>
      </w:r>
      <w:r>
        <w:rPr>
          <w:rFonts w:ascii="Arial" w:hAnsi="Arial"/>
          <w:i/>
          <w:color w:val="231F20"/>
          <w:spacing w:val="-3"/>
          <w:w w:val="105"/>
          <w:sz w:val="17"/>
        </w:rPr>
        <w:t> </w:t>
      </w:r>
      <w:r>
        <w:rPr>
          <w:rFonts w:ascii="Arial" w:hAnsi="Arial"/>
          <w:i/>
          <w:color w:val="231F20"/>
          <w:w w:val="105"/>
          <w:sz w:val="17"/>
        </w:rPr>
        <w:t>for</w:t>
      </w:r>
      <w:r>
        <w:rPr>
          <w:rFonts w:ascii="Arial" w:hAnsi="Arial"/>
          <w:i/>
          <w:color w:val="231F20"/>
          <w:spacing w:val="-3"/>
          <w:w w:val="105"/>
          <w:sz w:val="17"/>
        </w:rPr>
        <w:t> </w:t>
      </w:r>
      <w:r>
        <w:rPr>
          <w:rFonts w:ascii="Arial" w:hAnsi="Arial"/>
          <w:i/>
          <w:color w:val="231F20"/>
          <w:w w:val="105"/>
          <w:sz w:val="17"/>
        </w:rPr>
        <w:t>specific</w:t>
      </w:r>
      <w:r>
        <w:rPr>
          <w:rFonts w:ascii="Arial" w:hAnsi="Arial"/>
          <w:i/>
          <w:color w:val="231F20"/>
          <w:spacing w:val="-2"/>
          <w:w w:val="105"/>
          <w:sz w:val="17"/>
        </w:rPr>
        <w:t> radionuclides</w:t>
      </w:r>
    </w:p>
    <w:p>
      <w:pPr>
        <w:pStyle w:val="BodyText"/>
        <w:spacing w:before="6"/>
        <w:rPr>
          <w:rFonts w:ascii="Arial"/>
          <w:i/>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300" w:hRule="atLeast"/>
        </w:trPr>
        <w:tc>
          <w:tcPr>
            <w:tcW w:w="2849" w:type="dxa"/>
          </w:tcPr>
          <w:p>
            <w:pPr>
              <w:pStyle w:val="TableParagraph"/>
              <w:spacing w:before="45"/>
              <w:ind w:left="12"/>
              <w:rPr>
                <w:sz w:val="15"/>
              </w:rPr>
            </w:pPr>
            <w:r>
              <w:rPr>
                <w:color w:val="231F20"/>
                <w:spacing w:val="-2"/>
                <w:w w:val="105"/>
                <w:sz w:val="15"/>
              </w:rPr>
              <w:t>Element</w:t>
            </w:r>
          </w:p>
        </w:tc>
        <w:tc>
          <w:tcPr>
            <w:tcW w:w="2849" w:type="dxa"/>
          </w:tcPr>
          <w:p>
            <w:pPr>
              <w:pStyle w:val="TableParagraph"/>
              <w:spacing w:before="45"/>
              <w:ind w:left="10"/>
              <w:rPr>
                <w:sz w:val="15"/>
              </w:rPr>
            </w:pPr>
            <w:r>
              <w:rPr>
                <w:color w:val="231F20"/>
                <w:spacing w:val="-2"/>
                <w:w w:val="110"/>
                <w:sz w:val="15"/>
              </w:rPr>
              <w:t>Radionuclide</w:t>
            </w:r>
          </w:p>
        </w:tc>
        <w:tc>
          <w:tcPr>
            <w:tcW w:w="2849" w:type="dxa"/>
          </w:tcPr>
          <w:p>
            <w:pPr>
              <w:pStyle w:val="TableParagraph"/>
              <w:spacing w:before="45"/>
              <w:ind w:left="161"/>
              <w:jc w:val="left"/>
              <w:rPr>
                <w:sz w:val="15"/>
              </w:rPr>
            </w:pPr>
            <w:r>
              <w:rPr>
                <w:color w:val="231F20"/>
                <w:spacing w:val="4"/>
                <w:sz w:val="15"/>
              </w:rPr>
              <w:t>Transport</w:t>
            </w:r>
            <w:r>
              <w:rPr>
                <w:color w:val="231F20"/>
                <w:spacing w:val="33"/>
                <w:sz w:val="15"/>
              </w:rPr>
              <w:t> </w:t>
            </w:r>
            <w:r>
              <w:rPr>
                <w:color w:val="231F20"/>
                <w:spacing w:val="4"/>
                <w:sz w:val="15"/>
              </w:rPr>
              <w:t>security</w:t>
            </w:r>
            <w:r>
              <w:rPr>
                <w:color w:val="231F20"/>
                <w:spacing w:val="34"/>
                <w:sz w:val="15"/>
              </w:rPr>
              <w:t> </w:t>
            </w:r>
            <w:r>
              <w:rPr>
                <w:color w:val="231F20"/>
                <w:spacing w:val="4"/>
                <w:sz w:val="15"/>
              </w:rPr>
              <w:t>threshold</w:t>
            </w:r>
            <w:r>
              <w:rPr>
                <w:color w:val="231F20"/>
                <w:spacing w:val="34"/>
                <w:sz w:val="15"/>
              </w:rPr>
              <w:t> </w:t>
            </w:r>
            <w:r>
              <w:rPr>
                <w:color w:val="231F20"/>
                <w:spacing w:val="-4"/>
                <w:sz w:val="15"/>
              </w:rPr>
              <w:t>(TBq)</w:t>
            </w:r>
          </w:p>
        </w:tc>
      </w:tr>
      <w:tr>
        <w:trPr>
          <w:trHeight w:val="305" w:hRule="atLeast"/>
        </w:trPr>
        <w:tc>
          <w:tcPr>
            <w:tcW w:w="2849" w:type="dxa"/>
            <w:tcBorders>
              <w:bottom w:val="nil"/>
            </w:tcBorders>
            <w:shd w:val="clear" w:color="auto" w:fill="E6E7E8"/>
          </w:tcPr>
          <w:p>
            <w:pPr>
              <w:pStyle w:val="TableParagraph"/>
              <w:spacing w:before="45"/>
              <w:jc w:val="left"/>
              <w:rPr>
                <w:sz w:val="15"/>
              </w:rPr>
            </w:pPr>
            <w:r>
              <w:rPr>
                <w:color w:val="231F20"/>
                <w:spacing w:val="-2"/>
                <w:w w:val="105"/>
                <w:sz w:val="15"/>
              </w:rPr>
              <w:t>Americium</w:t>
            </w:r>
          </w:p>
        </w:tc>
        <w:tc>
          <w:tcPr>
            <w:tcW w:w="2849" w:type="dxa"/>
            <w:tcBorders>
              <w:bottom w:val="nil"/>
            </w:tcBorders>
            <w:shd w:val="clear" w:color="auto" w:fill="E6E7E8"/>
          </w:tcPr>
          <w:p>
            <w:pPr>
              <w:pStyle w:val="TableParagraph"/>
              <w:spacing w:before="45"/>
              <w:ind w:left="2"/>
              <w:rPr>
                <w:sz w:val="15"/>
              </w:rPr>
            </w:pPr>
            <w:r>
              <w:rPr>
                <w:color w:val="231F20"/>
                <w:w w:val="105"/>
                <w:sz w:val="15"/>
              </w:rPr>
              <w:t>Am-</w:t>
            </w:r>
            <w:r>
              <w:rPr>
                <w:color w:val="231F20"/>
                <w:spacing w:val="-5"/>
                <w:w w:val="105"/>
                <w:sz w:val="15"/>
              </w:rPr>
              <w:t>241</w:t>
            </w:r>
          </w:p>
        </w:tc>
        <w:tc>
          <w:tcPr>
            <w:tcW w:w="2849" w:type="dxa"/>
            <w:tcBorders>
              <w:bottom w:val="nil"/>
            </w:tcBorders>
            <w:shd w:val="clear" w:color="auto" w:fill="E6E7E8"/>
          </w:tcPr>
          <w:p>
            <w:pPr>
              <w:pStyle w:val="TableParagraph"/>
              <w:spacing w:before="45"/>
              <w:ind w:left="564"/>
              <w:rPr>
                <w:sz w:val="15"/>
              </w:rPr>
            </w:pPr>
            <w:r>
              <w:rPr>
                <w:color w:val="231F20"/>
                <w:spacing w:val="-5"/>
                <w:w w:val="105"/>
                <w:sz w:val="15"/>
              </w:rPr>
              <w:t>0.6</w:t>
            </w:r>
          </w:p>
        </w:tc>
      </w:tr>
      <w:tr>
        <w:trPr>
          <w:trHeight w:val="310" w:hRule="atLeast"/>
        </w:trPr>
        <w:tc>
          <w:tcPr>
            <w:tcW w:w="2849" w:type="dxa"/>
            <w:tcBorders>
              <w:top w:val="nil"/>
              <w:bottom w:val="nil"/>
            </w:tcBorders>
          </w:tcPr>
          <w:p>
            <w:pPr>
              <w:pStyle w:val="TableParagraph"/>
              <w:spacing w:before="50"/>
              <w:jc w:val="left"/>
              <w:rPr>
                <w:sz w:val="15"/>
              </w:rPr>
            </w:pPr>
            <w:r>
              <w:rPr>
                <w:color w:val="231F20"/>
                <w:spacing w:val="-4"/>
                <w:w w:val="105"/>
                <w:sz w:val="15"/>
              </w:rPr>
              <w:t>Gold</w:t>
            </w:r>
          </w:p>
        </w:tc>
        <w:tc>
          <w:tcPr>
            <w:tcW w:w="2849" w:type="dxa"/>
            <w:tcBorders>
              <w:top w:val="nil"/>
              <w:bottom w:val="nil"/>
            </w:tcBorders>
          </w:tcPr>
          <w:p>
            <w:pPr>
              <w:pStyle w:val="TableParagraph"/>
              <w:spacing w:before="50"/>
              <w:ind w:left="10"/>
              <w:rPr>
                <w:sz w:val="15"/>
              </w:rPr>
            </w:pPr>
            <w:r>
              <w:rPr>
                <w:color w:val="231F20"/>
                <w:spacing w:val="-2"/>
                <w:sz w:val="15"/>
              </w:rPr>
              <w:t>Au-</w:t>
            </w:r>
            <w:r>
              <w:rPr>
                <w:color w:val="231F20"/>
                <w:spacing w:val="-5"/>
                <w:sz w:val="15"/>
              </w:rPr>
              <w:t>198</w:t>
            </w:r>
          </w:p>
        </w:tc>
        <w:tc>
          <w:tcPr>
            <w:tcW w:w="2849" w:type="dxa"/>
            <w:tcBorders>
              <w:top w:val="nil"/>
              <w:bottom w:val="nil"/>
            </w:tcBorders>
          </w:tcPr>
          <w:p>
            <w:pPr>
              <w:pStyle w:val="TableParagraph"/>
              <w:spacing w:before="50"/>
              <w:ind w:left="436"/>
              <w:rPr>
                <w:sz w:val="15"/>
              </w:rPr>
            </w:pPr>
            <w:r>
              <w:rPr>
                <w:color w:val="231F20"/>
                <w:spacing w:val="-10"/>
                <w:w w:val="105"/>
                <w:sz w:val="15"/>
              </w:rPr>
              <w:t>2</w:t>
            </w:r>
          </w:p>
        </w:tc>
      </w:tr>
      <w:tr>
        <w:trPr>
          <w:trHeight w:val="310" w:hRule="atLeast"/>
        </w:trPr>
        <w:tc>
          <w:tcPr>
            <w:tcW w:w="2849" w:type="dxa"/>
            <w:tcBorders>
              <w:top w:val="nil"/>
              <w:bottom w:val="nil"/>
            </w:tcBorders>
            <w:shd w:val="clear" w:color="auto" w:fill="E6E7E8"/>
          </w:tcPr>
          <w:p>
            <w:pPr>
              <w:pStyle w:val="TableParagraph"/>
              <w:spacing w:before="50"/>
              <w:jc w:val="left"/>
              <w:rPr>
                <w:sz w:val="15"/>
              </w:rPr>
            </w:pPr>
            <w:r>
              <w:rPr>
                <w:color w:val="231F20"/>
                <w:spacing w:val="-2"/>
                <w:w w:val="105"/>
                <w:sz w:val="15"/>
              </w:rPr>
              <w:t>Cadmium</w:t>
            </w:r>
          </w:p>
        </w:tc>
        <w:tc>
          <w:tcPr>
            <w:tcW w:w="2849" w:type="dxa"/>
            <w:tcBorders>
              <w:top w:val="nil"/>
              <w:bottom w:val="nil"/>
            </w:tcBorders>
            <w:shd w:val="clear" w:color="auto" w:fill="E6E7E8"/>
          </w:tcPr>
          <w:p>
            <w:pPr>
              <w:pStyle w:val="TableParagraph"/>
              <w:spacing w:before="50"/>
              <w:ind w:left="11"/>
              <w:rPr>
                <w:sz w:val="15"/>
              </w:rPr>
            </w:pPr>
            <w:r>
              <w:rPr>
                <w:color w:val="231F20"/>
                <w:w w:val="105"/>
                <w:sz w:val="15"/>
              </w:rPr>
              <w:t>Cd-</w:t>
            </w:r>
            <w:r>
              <w:rPr>
                <w:color w:val="231F20"/>
                <w:spacing w:val="-5"/>
                <w:w w:val="105"/>
                <w:sz w:val="15"/>
              </w:rPr>
              <w:t>109</w:t>
            </w:r>
          </w:p>
        </w:tc>
        <w:tc>
          <w:tcPr>
            <w:tcW w:w="2849" w:type="dxa"/>
            <w:tcBorders>
              <w:top w:val="nil"/>
              <w:bottom w:val="nil"/>
            </w:tcBorders>
            <w:shd w:val="clear" w:color="auto" w:fill="E6E7E8"/>
          </w:tcPr>
          <w:p>
            <w:pPr>
              <w:pStyle w:val="TableParagraph"/>
              <w:spacing w:before="50"/>
              <w:ind w:left="259"/>
              <w:rPr>
                <w:sz w:val="15"/>
              </w:rPr>
            </w:pPr>
            <w:r>
              <w:rPr>
                <w:color w:val="231F20"/>
                <w:spacing w:val="-5"/>
                <w:w w:val="105"/>
                <w:sz w:val="15"/>
              </w:rPr>
              <w:t>200</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Californium</w:t>
            </w:r>
          </w:p>
        </w:tc>
        <w:tc>
          <w:tcPr>
            <w:tcW w:w="2849" w:type="dxa"/>
            <w:tcBorders>
              <w:top w:val="nil"/>
              <w:bottom w:val="nil"/>
            </w:tcBorders>
          </w:tcPr>
          <w:p>
            <w:pPr>
              <w:pStyle w:val="TableParagraph"/>
              <w:ind w:left="11"/>
              <w:rPr>
                <w:sz w:val="15"/>
              </w:rPr>
            </w:pPr>
            <w:r>
              <w:rPr>
                <w:color w:val="231F20"/>
                <w:w w:val="105"/>
                <w:sz w:val="15"/>
              </w:rPr>
              <w:t>Cf-</w:t>
            </w:r>
            <w:r>
              <w:rPr>
                <w:color w:val="231F20"/>
                <w:spacing w:val="-5"/>
                <w:w w:val="105"/>
                <w:sz w:val="15"/>
              </w:rPr>
              <w:t>252</w:t>
            </w:r>
          </w:p>
        </w:tc>
        <w:tc>
          <w:tcPr>
            <w:tcW w:w="2849" w:type="dxa"/>
            <w:tcBorders>
              <w:top w:val="nil"/>
              <w:bottom w:val="nil"/>
            </w:tcBorders>
          </w:tcPr>
          <w:p>
            <w:pPr>
              <w:pStyle w:val="TableParagraph"/>
              <w:ind w:left="569"/>
              <w:rPr>
                <w:sz w:val="15"/>
              </w:rPr>
            </w:pPr>
            <w:r>
              <w:rPr>
                <w:color w:val="231F20"/>
                <w:spacing w:val="-5"/>
                <w:w w:val="105"/>
                <w:sz w:val="15"/>
              </w:rPr>
              <w:t>0.2</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w w:val="105"/>
                <w:sz w:val="15"/>
              </w:rPr>
              <w:t>Curium</w:t>
            </w:r>
          </w:p>
        </w:tc>
        <w:tc>
          <w:tcPr>
            <w:tcW w:w="2849" w:type="dxa"/>
            <w:tcBorders>
              <w:top w:val="nil"/>
              <w:bottom w:val="nil"/>
            </w:tcBorders>
            <w:shd w:val="clear" w:color="auto" w:fill="E6E7E8"/>
          </w:tcPr>
          <w:p>
            <w:pPr>
              <w:pStyle w:val="TableParagraph"/>
              <w:ind w:left="11"/>
              <w:rPr>
                <w:sz w:val="15"/>
              </w:rPr>
            </w:pPr>
            <w:r>
              <w:rPr>
                <w:color w:val="231F20"/>
                <w:w w:val="105"/>
                <w:sz w:val="15"/>
              </w:rPr>
              <w:t>Cm-</w:t>
            </w:r>
            <w:r>
              <w:rPr>
                <w:color w:val="231F20"/>
                <w:spacing w:val="-5"/>
                <w:w w:val="105"/>
                <w:sz w:val="15"/>
              </w:rPr>
              <w:t>244</w:t>
            </w:r>
          </w:p>
        </w:tc>
        <w:tc>
          <w:tcPr>
            <w:tcW w:w="2849" w:type="dxa"/>
            <w:tcBorders>
              <w:top w:val="nil"/>
              <w:bottom w:val="nil"/>
            </w:tcBorders>
            <w:shd w:val="clear" w:color="auto" w:fill="E6E7E8"/>
          </w:tcPr>
          <w:p>
            <w:pPr>
              <w:pStyle w:val="TableParagraph"/>
              <w:ind w:left="566"/>
              <w:rPr>
                <w:sz w:val="15"/>
              </w:rPr>
            </w:pPr>
            <w:r>
              <w:rPr>
                <w:color w:val="231F20"/>
                <w:spacing w:val="-5"/>
                <w:w w:val="105"/>
                <w:sz w:val="15"/>
              </w:rPr>
              <w:t>0.5</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Cobalt</w:t>
            </w:r>
          </w:p>
        </w:tc>
        <w:tc>
          <w:tcPr>
            <w:tcW w:w="2849" w:type="dxa"/>
            <w:tcBorders>
              <w:top w:val="nil"/>
              <w:bottom w:val="nil"/>
            </w:tcBorders>
          </w:tcPr>
          <w:p>
            <w:pPr>
              <w:pStyle w:val="TableParagraph"/>
              <w:ind w:left="9"/>
              <w:rPr>
                <w:sz w:val="15"/>
              </w:rPr>
            </w:pPr>
            <w:r>
              <w:rPr>
                <w:color w:val="231F20"/>
                <w:w w:val="105"/>
                <w:sz w:val="15"/>
              </w:rPr>
              <w:t>Co-</w:t>
            </w:r>
            <w:r>
              <w:rPr>
                <w:color w:val="231F20"/>
                <w:spacing w:val="-5"/>
                <w:w w:val="105"/>
                <w:sz w:val="15"/>
              </w:rPr>
              <w:t>57</w:t>
            </w:r>
          </w:p>
        </w:tc>
        <w:tc>
          <w:tcPr>
            <w:tcW w:w="2849" w:type="dxa"/>
            <w:tcBorders>
              <w:top w:val="nil"/>
              <w:bottom w:val="nil"/>
            </w:tcBorders>
          </w:tcPr>
          <w:p>
            <w:pPr>
              <w:pStyle w:val="TableParagraph"/>
              <w:ind w:left="436"/>
              <w:rPr>
                <w:sz w:val="15"/>
              </w:rPr>
            </w:pPr>
            <w:r>
              <w:rPr>
                <w:color w:val="231F20"/>
                <w:spacing w:val="-10"/>
                <w:w w:val="105"/>
                <w:sz w:val="15"/>
              </w:rPr>
              <w:t>7</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w w:val="105"/>
                <w:sz w:val="15"/>
              </w:rPr>
              <w:t>Cobalt</w:t>
            </w:r>
          </w:p>
        </w:tc>
        <w:tc>
          <w:tcPr>
            <w:tcW w:w="2849" w:type="dxa"/>
            <w:tcBorders>
              <w:top w:val="nil"/>
              <w:bottom w:val="nil"/>
            </w:tcBorders>
            <w:shd w:val="clear" w:color="auto" w:fill="E6E7E8"/>
          </w:tcPr>
          <w:p>
            <w:pPr>
              <w:pStyle w:val="TableParagraph"/>
              <w:ind w:left="11"/>
              <w:rPr>
                <w:sz w:val="15"/>
              </w:rPr>
            </w:pPr>
            <w:r>
              <w:rPr>
                <w:color w:val="231F20"/>
                <w:w w:val="105"/>
                <w:sz w:val="15"/>
              </w:rPr>
              <w:t>Co-</w:t>
            </w:r>
            <w:r>
              <w:rPr>
                <w:color w:val="231F20"/>
                <w:spacing w:val="-5"/>
                <w:w w:val="105"/>
                <w:sz w:val="15"/>
              </w:rPr>
              <w:t>60</w:t>
            </w:r>
          </w:p>
        </w:tc>
        <w:tc>
          <w:tcPr>
            <w:tcW w:w="2849" w:type="dxa"/>
            <w:tcBorders>
              <w:top w:val="nil"/>
              <w:bottom w:val="nil"/>
            </w:tcBorders>
            <w:shd w:val="clear" w:color="auto" w:fill="E6E7E8"/>
          </w:tcPr>
          <w:p>
            <w:pPr>
              <w:pStyle w:val="TableParagraph"/>
              <w:ind w:left="567"/>
              <w:rPr>
                <w:sz w:val="15"/>
              </w:rPr>
            </w:pPr>
            <w:r>
              <w:rPr>
                <w:color w:val="231F20"/>
                <w:spacing w:val="-5"/>
                <w:w w:val="105"/>
                <w:sz w:val="15"/>
              </w:rPr>
              <w:t>0.3</w:t>
            </w:r>
          </w:p>
        </w:tc>
      </w:tr>
      <w:tr>
        <w:trPr>
          <w:trHeight w:val="310" w:hRule="atLeast"/>
        </w:trPr>
        <w:tc>
          <w:tcPr>
            <w:tcW w:w="2849" w:type="dxa"/>
            <w:tcBorders>
              <w:top w:val="nil"/>
              <w:bottom w:val="nil"/>
            </w:tcBorders>
          </w:tcPr>
          <w:p>
            <w:pPr>
              <w:pStyle w:val="TableParagraph"/>
              <w:jc w:val="left"/>
              <w:rPr>
                <w:sz w:val="15"/>
              </w:rPr>
            </w:pPr>
            <w:r>
              <w:rPr>
                <w:color w:val="231F20"/>
                <w:spacing w:val="-2"/>
                <w:sz w:val="15"/>
              </w:rPr>
              <w:t>Caesium</w:t>
            </w:r>
          </w:p>
        </w:tc>
        <w:tc>
          <w:tcPr>
            <w:tcW w:w="2849" w:type="dxa"/>
            <w:tcBorders>
              <w:top w:val="nil"/>
              <w:bottom w:val="nil"/>
            </w:tcBorders>
          </w:tcPr>
          <w:p>
            <w:pPr>
              <w:pStyle w:val="TableParagraph"/>
              <w:ind w:left="11"/>
              <w:rPr>
                <w:sz w:val="15"/>
              </w:rPr>
            </w:pPr>
            <w:r>
              <w:rPr>
                <w:color w:val="231F20"/>
                <w:sz w:val="15"/>
              </w:rPr>
              <w:t>Cs-</w:t>
            </w:r>
            <w:r>
              <w:rPr>
                <w:color w:val="231F20"/>
                <w:spacing w:val="-5"/>
                <w:sz w:val="15"/>
              </w:rPr>
              <w:t>137</w:t>
            </w:r>
          </w:p>
        </w:tc>
        <w:tc>
          <w:tcPr>
            <w:tcW w:w="2849" w:type="dxa"/>
            <w:tcBorders>
              <w:top w:val="nil"/>
              <w:bottom w:val="nil"/>
            </w:tcBorders>
          </w:tcPr>
          <w:p>
            <w:pPr>
              <w:pStyle w:val="TableParagraph"/>
              <w:ind w:left="436"/>
              <w:rPr>
                <w:sz w:val="15"/>
              </w:rPr>
            </w:pPr>
            <w:r>
              <w:rPr>
                <w:color w:val="231F20"/>
                <w:spacing w:val="-10"/>
                <w:w w:val="105"/>
                <w:sz w:val="15"/>
              </w:rPr>
              <w:t>1</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4"/>
                <w:sz w:val="15"/>
              </w:rPr>
              <w:t>Iron</w:t>
            </w:r>
          </w:p>
        </w:tc>
        <w:tc>
          <w:tcPr>
            <w:tcW w:w="2849" w:type="dxa"/>
            <w:tcBorders>
              <w:top w:val="nil"/>
              <w:bottom w:val="nil"/>
            </w:tcBorders>
            <w:shd w:val="clear" w:color="auto" w:fill="E6E7E8"/>
          </w:tcPr>
          <w:p>
            <w:pPr>
              <w:pStyle w:val="TableParagraph"/>
              <w:ind w:left="11"/>
              <w:rPr>
                <w:sz w:val="15"/>
              </w:rPr>
            </w:pPr>
            <w:r>
              <w:rPr>
                <w:color w:val="231F20"/>
                <w:sz w:val="15"/>
              </w:rPr>
              <w:t>Fe-</w:t>
            </w:r>
            <w:r>
              <w:rPr>
                <w:color w:val="231F20"/>
                <w:spacing w:val="-5"/>
                <w:sz w:val="15"/>
              </w:rPr>
              <w:t>55</w:t>
            </w:r>
          </w:p>
        </w:tc>
        <w:tc>
          <w:tcPr>
            <w:tcW w:w="2849" w:type="dxa"/>
            <w:tcBorders>
              <w:top w:val="nil"/>
              <w:bottom w:val="nil"/>
            </w:tcBorders>
            <w:shd w:val="clear" w:color="auto" w:fill="E6E7E8"/>
          </w:tcPr>
          <w:p>
            <w:pPr>
              <w:pStyle w:val="TableParagraph"/>
              <w:ind w:left="129"/>
              <w:rPr>
                <w:sz w:val="15"/>
              </w:rPr>
            </w:pPr>
            <w:r>
              <w:rPr>
                <w:color w:val="231F20"/>
                <w:spacing w:val="-2"/>
                <w:w w:val="105"/>
                <w:sz w:val="15"/>
              </w:rPr>
              <w:t>8,000</w:t>
            </w:r>
          </w:p>
        </w:tc>
      </w:tr>
      <w:tr>
        <w:trPr>
          <w:trHeight w:val="310" w:hRule="atLeast"/>
        </w:trPr>
        <w:tc>
          <w:tcPr>
            <w:tcW w:w="2849" w:type="dxa"/>
            <w:tcBorders>
              <w:top w:val="nil"/>
              <w:bottom w:val="nil"/>
            </w:tcBorders>
          </w:tcPr>
          <w:p>
            <w:pPr>
              <w:pStyle w:val="TableParagraph"/>
              <w:jc w:val="left"/>
              <w:rPr>
                <w:sz w:val="15"/>
              </w:rPr>
            </w:pPr>
            <w:r>
              <w:rPr>
                <w:color w:val="231F20"/>
                <w:spacing w:val="-2"/>
                <w:sz w:val="15"/>
              </w:rPr>
              <w:t>Germanium</w:t>
            </w:r>
          </w:p>
        </w:tc>
        <w:tc>
          <w:tcPr>
            <w:tcW w:w="2849" w:type="dxa"/>
            <w:tcBorders>
              <w:top w:val="nil"/>
              <w:bottom w:val="nil"/>
            </w:tcBorders>
          </w:tcPr>
          <w:p>
            <w:pPr>
              <w:pStyle w:val="TableParagraph"/>
              <w:ind w:left="14"/>
              <w:rPr>
                <w:sz w:val="15"/>
              </w:rPr>
            </w:pPr>
            <w:r>
              <w:rPr>
                <w:color w:val="231F20"/>
                <w:sz w:val="15"/>
              </w:rPr>
              <w:t>Ge-</w:t>
            </w:r>
            <w:r>
              <w:rPr>
                <w:color w:val="231F20"/>
                <w:spacing w:val="-5"/>
                <w:sz w:val="15"/>
              </w:rPr>
              <w:t>68</w:t>
            </w:r>
          </w:p>
        </w:tc>
        <w:tc>
          <w:tcPr>
            <w:tcW w:w="2849" w:type="dxa"/>
            <w:tcBorders>
              <w:top w:val="nil"/>
              <w:bottom w:val="nil"/>
            </w:tcBorders>
          </w:tcPr>
          <w:p>
            <w:pPr>
              <w:pStyle w:val="TableParagraph"/>
              <w:ind w:left="436"/>
              <w:rPr>
                <w:sz w:val="15"/>
              </w:rPr>
            </w:pPr>
            <w:r>
              <w:rPr>
                <w:color w:val="231F20"/>
                <w:spacing w:val="-10"/>
                <w:w w:val="105"/>
                <w:sz w:val="15"/>
              </w:rPr>
              <w:t>7</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w w:val="105"/>
                <w:sz w:val="15"/>
              </w:rPr>
              <w:t>Gadolinium</w:t>
            </w:r>
          </w:p>
        </w:tc>
        <w:tc>
          <w:tcPr>
            <w:tcW w:w="2849" w:type="dxa"/>
            <w:tcBorders>
              <w:top w:val="nil"/>
              <w:bottom w:val="nil"/>
            </w:tcBorders>
            <w:shd w:val="clear" w:color="auto" w:fill="E6E7E8"/>
          </w:tcPr>
          <w:p>
            <w:pPr>
              <w:pStyle w:val="TableParagraph"/>
              <w:ind w:left="11"/>
              <w:rPr>
                <w:sz w:val="15"/>
              </w:rPr>
            </w:pPr>
            <w:r>
              <w:rPr>
                <w:color w:val="231F20"/>
                <w:spacing w:val="-2"/>
                <w:w w:val="105"/>
                <w:sz w:val="15"/>
              </w:rPr>
              <w:t>Gd-</w:t>
            </w:r>
            <w:r>
              <w:rPr>
                <w:color w:val="231F20"/>
                <w:spacing w:val="-5"/>
                <w:w w:val="105"/>
                <w:sz w:val="15"/>
              </w:rPr>
              <w:t>153</w:t>
            </w:r>
          </w:p>
        </w:tc>
        <w:tc>
          <w:tcPr>
            <w:tcW w:w="2849" w:type="dxa"/>
            <w:tcBorders>
              <w:top w:val="nil"/>
              <w:bottom w:val="nil"/>
            </w:tcBorders>
            <w:shd w:val="clear" w:color="auto" w:fill="E6E7E8"/>
          </w:tcPr>
          <w:p>
            <w:pPr>
              <w:pStyle w:val="TableParagraph"/>
              <w:ind w:left="350"/>
              <w:rPr>
                <w:sz w:val="15"/>
              </w:rPr>
            </w:pPr>
            <w:r>
              <w:rPr>
                <w:color w:val="231F20"/>
                <w:spacing w:val="-5"/>
                <w:w w:val="105"/>
                <w:sz w:val="15"/>
              </w:rPr>
              <w:t>10</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Iridium</w:t>
            </w:r>
          </w:p>
        </w:tc>
        <w:tc>
          <w:tcPr>
            <w:tcW w:w="2849" w:type="dxa"/>
            <w:tcBorders>
              <w:top w:val="nil"/>
              <w:bottom w:val="nil"/>
            </w:tcBorders>
          </w:tcPr>
          <w:p>
            <w:pPr>
              <w:pStyle w:val="TableParagraph"/>
              <w:ind w:left="11"/>
              <w:rPr>
                <w:sz w:val="15"/>
              </w:rPr>
            </w:pPr>
            <w:r>
              <w:rPr>
                <w:color w:val="231F20"/>
                <w:spacing w:val="-5"/>
                <w:sz w:val="15"/>
              </w:rPr>
              <w:t>Ir-192</w:t>
            </w:r>
          </w:p>
        </w:tc>
        <w:tc>
          <w:tcPr>
            <w:tcW w:w="2849" w:type="dxa"/>
            <w:tcBorders>
              <w:top w:val="nil"/>
              <w:bottom w:val="nil"/>
            </w:tcBorders>
          </w:tcPr>
          <w:p>
            <w:pPr>
              <w:pStyle w:val="TableParagraph"/>
              <w:ind w:left="566"/>
              <w:rPr>
                <w:sz w:val="15"/>
              </w:rPr>
            </w:pPr>
            <w:r>
              <w:rPr>
                <w:color w:val="231F20"/>
                <w:spacing w:val="-5"/>
                <w:w w:val="105"/>
                <w:sz w:val="15"/>
              </w:rPr>
              <w:t>0.8</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w w:val="105"/>
                <w:sz w:val="15"/>
              </w:rPr>
              <w:t>Nickel</w:t>
            </w:r>
          </w:p>
        </w:tc>
        <w:tc>
          <w:tcPr>
            <w:tcW w:w="2849" w:type="dxa"/>
            <w:tcBorders>
              <w:top w:val="nil"/>
              <w:bottom w:val="nil"/>
            </w:tcBorders>
            <w:shd w:val="clear" w:color="auto" w:fill="E6E7E8"/>
          </w:tcPr>
          <w:p>
            <w:pPr>
              <w:pStyle w:val="TableParagraph"/>
              <w:ind w:left="11"/>
              <w:rPr>
                <w:sz w:val="15"/>
              </w:rPr>
            </w:pPr>
            <w:r>
              <w:rPr>
                <w:color w:val="231F20"/>
                <w:w w:val="105"/>
                <w:sz w:val="15"/>
              </w:rPr>
              <w:t>Ni-</w:t>
            </w:r>
            <w:r>
              <w:rPr>
                <w:color w:val="231F20"/>
                <w:spacing w:val="-5"/>
                <w:w w:val="105"/>
                <w:sz w:val="15"/>
              </w:rPr>
              <w:t>63</w:t>
            </w:r>
          </w:p>
        </w:tc>
        <w:tc>
          <w:tcPr>
            <w:tcW w:w="2849" w:type="dxa"/>
            <w:tcBorders>
              <w:top w:val="nil"/>
              <w:bottom w:val="nil"/>
            </w:tcBorders>
            <w:shd w:val="clear" w:color="auto" w:fill="E6E7E8"/>
          </w:tcPr>
          <w:p>
            <w:pPr>
              <w:pStyle w:val="TableParagraph"/>
              <w:ind w:left="256"/>
              <w:rPr>
                <w:sz w:val="15"/>
              </w:rPr>
            </w:pPr>
            <w:r>
              <w:rPr>
                <w:color w:val="231F20"/>
                <w:spacing w:val="-5"/>
                <w:w w:val="105"/>
                <w:sz w:val="15"/>
              </w:rPr>
              <w:t>600</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Palladium</w:t>
            </w:r>
          </w:p>
        </w:tc>
        <w:tc>
          <w:tcPr>
            <w:tcW w:w="2849" w:type="dxa"/>
            <w:tcBorders>
              <w:top w:val="nil"/>
              <w:bottom w:val="nil"/>
            </w:tcBorders>
          </w:tcPr>
          <w:p>
            <w:pPr>
              <w:pStyle w:val="TableParagraph"/>
              <w:ind w:left="11"/>
              <w:rPr>
                <w:sz w:val="15"/>
              </w:rPr>
            </w:pPr>
            <w:r>
              <w:rPr>
                <w:color w:val="231F20"/>
                <w:spacing w:val="-4"/>
                <w:w w:val="105"/>
                <w:sz w:val="15"/>
              </w:rPr>
              <w:t>Pd-</w:t>
            </w:r>
            <w:r>
              <w:rPr>
                <w:color w:val="231F20"/>
                <w:spacing w:val="-5"/>
                <w:w w:val="105"/>
                <w:sz w:val="15"/>
              </w:rPr>
              <w:t>103</w:t>
            </w:r>
          </w:p>
        </w:tc>
        <w:tc>
          <w:tcPr>
            <w:tcW w:w="2849" w:type="dxa"/>
            <w:tcBorders>
              <w:top w:val="nil"/>
              <w:bottom w:val="nil"/>
            </w:tcBorders>
          </w:tcPr>
          <w:p>
            <w:pPr>
              <w:pStyle w:val="TableParagraph"/>
              <w:ind w:left="255"/>
              <w:rPr>
                <w:sz w:val="15"/>
              </w:rPr>
            </w:pPr>
            <w:r>
              <w:rPr>
                <w:color w:val="231F20"/>
                <w:spacing w:val="-5"/>
                <w:w w:val="105"/>
                <w:sz w:val="15"/>
              </w:rPr>
              <w:t>900</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w w:val="105"/>
                <w:sz w:val="15"/>
              </w:rPr>
              <w:t>Promethium</w:t>
            </w:r>
          </w:p>
        </w:tc>
        <w:tc>
          <w:tcPr>
            <w:tcW w:w="2849" w:type="dxa"/>
            <w:tcBorders>
              <w:top w:val="nil"/>
              <w:bottom w:val="nil"/>
            </w:tcBorders>
            <w:shd w:val="clear" w:color="auto" w:fill="E6E7E8"/>
          </w:tcPr>
          <w:p>
            <w:pPr>
              <w:pStyle w:val="TableParagraph"/>
              <w:ind w:left="11"/>
              <w:rPr>
                <w:sz w:val="15"/>
              </w:rPr>
            </w:pPr>
            <w:r>
              <w:rPr>
                <w:color w:val="231F20"/>
                <w:sz w:val="15"/>
              </w:rPr>
              <w:t>Pm-</w:t>
            </w:r>
            <w:r>
              <w:rPr>
                <w:color w:val="231F20"/>
                <w:spacing w:val="-5"/>
                <w:sz w:val="15"/>
              </w:rPr>
              <w:t>147</w:t>
            </w:r>
          </w:p>
        </w:tc>
        <w:tc>
          <w:tcPr>
            <w:tcW w:w="2849" w:type="dxa"/>
            <w:tcBorders>
              <w:top w:val="nil"/>
              <w:bottom w:val="nil"/>
            </w:tcBorders>
            <w:shd w:val="clear" w:color="auto" w:fill="E6E7E8"/>
          </w:tcPr>
          <w:p>
            <w:pPr>
              <w:pStyle w:val="TableParagraph"/>
              <w:ind w:left="257"/>
              <w:rPr>
                <w:sz w:val="15"/>
              </w:rPr>
            </w:pPr>
            <w:r>
              <w:rPr>
                <w:color w:val="231F20"/>
                <w:spacing w:val="-5"/>
                <w:w w:val="105"/>
                <w:sz w:val="15"/>
              </w:rPr>
              <w:t>400</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Polonium</w:t>
            </w:r>
          </w:p>
        </w:tc>
        <w:tc>
          <w:tcPr>
            <w:tcW w:w="2849" w:type="dxa"/>
            <w:tcBorders>
              <w:top w:val="nil"/>
              <w:bottom w:val="nil"/>
            </w:tcBorders>
          </w:tcPr>
          <w:p>
            <w:pPr>
              <w:pStyle w:val="TableParagraph"/>
              <w:ind w:left="11"/>
              <w:rPr>
                <w:sz w:val="15"/>
              </w:rPr>
            </w:pPr>
            <w:r>
              <w:rPr>
                <w:color w:val="231F20"/>
                <w:w w:val="105"/>
                <w:sz w:val="15"/>
              </w:rPr>
              <w:t>Po-</w:t>
            </w:r>
            <w:r>
              <w:rPr>
                <w:color w:val="231F20"/>
                <w:spacing w:val="-5"/>
                <w:w w:val="105"/>
                <w:sz w:val="15"/>
              </w:rPr>
              <w:t>210</w:t>
            </w:r>
          </w:p>
        </w:tc>
        <w:tc>
          <w:tcPr>
            <w:tcW w:w="2849" w:type="dxa"/>
            <w:tcBorders>
              <w:top w:val="nil"/>
              <w:bottom w:val="nil"/>
            </w:tcBorders>
          </w:tcPr>
          <w:p>
            <w:pPr>
              <w:pStyle w:val="TableParagraph"/>
              <w:ind w:left="565"/>
              <w:rPr>
                <w:sz w:val="15"/>
              </w:rPr>
            </w:pPr>
            <w:r>
              <w:rPr>
                <w:color w:val="231F20"/>
                <w:spacing w:val="-5"/>
                <w:w w:val="105"/>
                <w:sz w:val="15"/>
              </w:rPr>
              <w:t>0.6</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w w:val="105"/>
                <w:sz w:val="15"/>
              </w:rPr>
              <w:t>Plutonium</w:t>
            </w:r>
          </w:p>
        </w:tc>
        <w:tc>
          <w:tcPr>
            <w:tcW w:w="2849" w:type="dxa"/>
            <w:tcBorders>
              <w:top w:val="nil"/>
              <w:bottom w:val="nil"/>
            </w:tcBorders>
            <w:shd w:val="clear" w:color="auto" w:fill="E6E7E8"/>
          </w:tcPr>
          <w:p>
            <w:pPr>
              <w:pStyle w:val="TableParagraph"/>
              <w:ind w:left="11"/>
              <w:rPr>
                <w:sz w:val="15"/>
              </w:rPr>
            </w:pPr>
            <w:r>
              <w:rPr>
                <w:color w:val="231F20"/>
                <w:w w:val="105"/>
                <w:sz w:val="15"/>
              </w:rPr>
              <w:t>Pu-</w:t>
            </w:r>
            <w:r>
              <w:rPr>
                <w:color w:val="231F20"/>
                <w:spacing w:val="-5"/>
                <w:w w:val="105"/>
                <w:sz w:val="15"/>
              </w:rPr>
              <w:t>238</w:t>
            </w:r>
          </w:p>
        </w:tc>
        <w:tc>
          <w:tcPr>
            <w:tcW w:w="2849" w:type="dxa"/>
            <w:tcBorders>
              <w:top w:val="nil"/>
              <w:bottom w:val="nil"/>
            </w:tcBorders>
            <w:shd w:val="clear" w:color="auto" w:fill="E6E7E8"/>
          </w:tcPr>
          <w:p>
            <w:pPr>
              <w:pStyle w:val="TableParagraph"/>
              <w:ind w:left="565"/>
              <w:rPr>
                <w:sz w:val="15"/>
              </w:rPr>
            </w:pPr>
            <w:r>
              <w:rPr>
                <w:color w:val="231F20"/>
                <w:spacing w:val="-5"/>
                <w:w w:val="105"/>
                <w:sz w:val="15"/>
              </w:rPr>
              <w:t>0.6</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Plutonium</w:t>
            </w:r>
          </w:p>
        </w:tc>
        <w:tc>
          <w:tcPr>
            <w:tcW w:w="2849" w:type="dxa"/>
            <w:tcBorders>
              <w:top w:val="nil"/>
              <w:bottom w:val="nil"/>
            </w:tcBorders>
          </w:tcPr>
          <w:p>
            <w:pPr>
              <w:pStyle w:val="TableParagraph"/>
              <w:ind w:left="11"/>
              <w:rPr>
                <w:sz w:val="15"/>
              </w:rPr>
            </w:pPr>
            <w:r>
              <w:rPr>
                <w:color w:val="231F20"/>
                <w:w w:val="105"/>
                <w:sz w:val="15"/>
              </w:rPr>
              <w:t>Pu-</w:t>
            </w:r>
            <w:r>
              <w:rPr>
                <w:color w:val="231F20"/>
                <w:spacing w:val="-5"/>
                <w:w w:val="105"/>
                <w:sz w:val="15"/>
              </w:rPr>
              <w:t>239</w:t>
            </w:r>
          </w:p>
        </w:tc>
        <w:tc>
          <w:tcPr>
            <w:tcW w:w="2849" w:type="dxa"/>
            <w:tcBorders>
              <w:top w:val="nil"/>
              <w:bottom w:val="nil"/>
            </w:tcBorders>
          </w:tcPr>
          <w:p>
            <w:pPr>
              <w:pStyle w:val="TableParagraph"/>
              <w:ind w:left="565"/>
              <w:rPr>
                <w:sz w:val="15"/>
              </w:rPr>
            </w:pPr>
            <w:r>
              <w:rPr>
                <w:color w:val="231F20"/>
                <w:spacing w:val="-5"/>
                <w:w w:val="105"/>
                <w:sz w:val="15"/>
              </w:rPr>
              <w:t>0.6</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w w:val="105"/>
                <w:sz w:val="15"/>
              </w:rPr>
              <w:t>Radium</w:t>
            </w:r>
          </w:p>
        </w:tc>
        <w:tc>
          <w:tcPr>
            <w:tcW w:w="2849" w:type="dxa"/>
            <w:tcBorders>
              <w:top w:val="nil"/>
              <w:bottom w:val="nil"/>
            </w:tcBorders>
            <w:shd w:val="clear" w:color="auto" w:fill="E6E7E8"/>
          </w:tcPr>
          <w:p>
            <w:pPr>
              <w:pStyle w:val="TableParagraph"/>
              <w:ind w:left="11"/>
              <w:rPr>
                <w:sz w:val="15"/>
              </w:rPr>
            </w:pPr>
            <w:r>
              <w:rPr>
                <w:color w:val="231F20"/>
                <w:sz w:val="15"/>
              </w:rPr>
              <w:t>Ra-</w:t>
            </w:r>
            <w:r>
              <w:rPr>
                <w:color w:val="231F20"/>
                <w:spacing w:val="-5"/>
                <w:sz w:val="15"/>
              </w:rPr>
              <w:t>226</w:t>
            </w:r>
          </w:p>
        </w:tc>
        <w:tc>
          <w:tcPr>
            <w:tcW w:w="2849" w:type="dxa"/>
            <w:tcBorders>
              <w:top w:val="nil"/>
              <w:bottom w:val="nil"/>
            </w:tcBorders>
            <w:shd w:val="clear" w:color="auto" w:fill="E6E7E8"/>
          </w:tcPr>
          <w:p>
            <w:pPr>
              <w:pStyle w:val="TableParagraph"/>
              <w:ind w:left="565"/>
              <w:rPr>
                <w:sz w:val="15"/>
              </w:rPr>
            </w:pPr>
            <w:r>
              <w:rPr>
                <w:color w:val="231F20"/>
                <w:spacing w:val="-5"/>
                <w:w w:val="105"/>
                <w:sz w:val="15"/>
              </w:rPr>
              <w:t>0.4</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Ruthenium</w:t>
            </w:r>
          </w:p>
        </w:tc>
        <w:tc>
          <w:tcPr>
            <w:tcW w:w="2849" w:type="dxa"/>
            <w:tcBorders>
              <w:top w:val="nil"/>
              <w:bottom w:val="nil"/>
            </w:tcBorders>
          </w:tcPr>
          <w:p>
            <w:pPr>
              <w:pStyle w:val="TableParagraph"/>
              <w:ind w:left="11"/>
              <w:rPr>
                <w:sz w:val="15"/>
              </w:rPr>
            </w:pPr>
            <w:r>
              <w:rPr>
                <w:color w:val="231F20"/>
                <w:spacing w:val="-2"/>
                <w:sz w:val="15"/>
              </w:rPr>
              <w:t>Ru-</w:t>
            </w:r>
            <w:r>
              <w:rPr>
                <w:color w:val="231F20"/>
                <w:spacing w:val="-5"/>
                <w:sz w:val="15"/>
              </w:rPr>
              <w:t>106</w:t>
            </w:r>
          </w:p>
        </w:tc>
        <w:tc>
          <w:tcPr>
            <w:tcW w:w="2849" w:type="dxa"/>
            <w:tcBorders>
              <w:top w:val="nil"/>
              <w:bottom w:val="nil"/>
            </w:tcBorders>
          </w:tcPr>
          <w:p>
            <w:pPr>
              <w:pStyle w:val="TableParagraph"/>
              <w:ind w:left="436"/>
              <w:rPr>
                <w:sz w:val="15"/>
              </w:rPr>
            </w:pPr>
            <w:r>
              <w:rPr>
                <w:color w:val="231F20"/>
                <w:spacing w:val="-10"/>
                <w:w w:val="105"/>
                <w:sz w:val="15"/>
              </w:rPr>
              <w:t>3</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sz w:val="15"/>
              </w:rPr>
              <w:t>Selenium</w:t>
            </w:r>
          </w:p>
        </w:tc>
        <w:tc>
          <w:tcPr>
            <w:tcW w:w="2849" w:type="dxa"/>
            <w:tcBorders>
              <w:top w:val="nil"/>
              <w:bottom w:val="nil"/>
            </w:tcBorders>
            <w:shd w:val="clear" w:color="auto" w:fill="E6E7E8"/>
          </w:tcPr>
          <w:p>
            <w:pPr>
              <w:pStyle w:val="TableParagraph"/>
              <w:ind w:left="11"/>
              <w:rPr>
                <w:sz w:val="15"/>
              </w:rPr>
            </w:pPr>
            <w:r>
              <w:rPr>
                <w:color w:val="231F20"/>
                <w:sz w:val="15"/>
              </w:rPr>
              <w:t>Se-</w:t>
            </w:r>
            <w:r>
              <w:rPr>
                <w:color w:val="231F20"/>
                <w:spacing w:val="-5"/>
                <w:sz w:val="15"/>
              </w:rPr>
              <w:t>75</w:t>
            </w:r>
          </w:p>
        </w:tc>
        <w:tc>
          <w:tcPr>
            <w:tcW w:w="2849" w:type="dxa"/>
            <w:tcBorders>
              <w:top w:val="nil"/>
              <w:bottom w:val="nil"/>
            </w:tcBorders>
            <w:shd w:val="clear" w:color="auto" w:fill="E6E7E8"/>
          </w:tcPr>
          <w:p>
            <w:pPr>
              <w:pStyle w:val="TableParagraph"/>
              <w:ind w:left="436"/>
              <w:rPr>
                <w:sz w:val="15"/>
              </w:rPr>
            </w:pPr>
            <w:r>
              <w:rPr>
                <w:color w:val="231F20"/>
                <w:spacing w:val="-10"/>
                <w:w w:val="105"/>
                <w:sz w:val="15"/>
              </w:rPr>
              <w:t>2</w:t>
            </w:r>
          </w:p>
        </w:tc>
      </w:tr>
      <w:tr>
        <w:trPr>
          <w:trHeight w:val="310" w:hRule="atLeast"/>
        </w:trPr>
        <w:tc>
          <w:tcPr>
            <w:tcW w:w="2849" w:type="dxa"/>
            <w:tcBorders>
              <w:top w:val="nil"/>
              <w:bottom w:val="nil"/>
            </w:tcBorders>
          </w:tcPr>
          <w:p>
            <w:pPr>
              <w:pStyle w:val="TableParagraph"/>
              <w:jc w:val="left"/>
              <w:rPr>
                <w:sz w:val="15"/>
              </w:rPr>
            </w:pPr>
            <w:r>
              <w:rPr>
                <w:color w:val="231F20"/>
                <w:spacing w:val="-2"/>
                <w:w w:val="105"/>
                <w:sz w:val="15"/>
              </w:rPr>
              <w:t>Strontium</w:t>
            </w:r>
          </w:p>
        </w:tc>
        <w:tc>
          <w:tcPr>
            <w:tcW w:w="2849" w:type="dxa"/>
            <w:tcBorders>
              <w:top w:val="nil"/>
              <w:bottom w:val="nil"/>
            </w:tcBorders>
          </w:tcPr>
          <w:p>
            <w:pPr>
              <w:pStyle w:val="TableParagraph"/>
              <w:ind w:left="11"/>
              <w:rPr>
                <w:sz w:val="15"/>
              </w:rPr>
            </w:pPr>
            <w:r>
              <w:rPr>
                <w:color w:val="231F20"/>
                <w:w w:val="105"/>
                <w:sz w:val="15"/>
              </w:rPr>
              <w:t>Sr-</w:t>
            </w:r>
            <w:r>
              <w:rPr>
                <w:color w:val="231F20"/>
                <w:spacing w:val="-5"/>
                <w:w w:val="105"/>
                <w:sz w:val="15"/>
              </w:rPr>
              <w:t>90</w:t>
            </w:r>
          </w:p>
        </w:tc>
        <w:tc>
          <w:tcPr>
            <w:tcW w:w="2849" w:type="dxa"/>
            <w:tcBorders>
              <w:top w:val="nil"/>
              <w:bottom w:val="nil"/>
            </w:tcBorders>
          </w:tcPr>
          <w:p>
            <w:pPr>
              <w:pStyle w:val="TableParagraph"/>
              <w:ind w:left="350"/>
              <w:rPr>
                <w:sz w:val="15"/>
              </w:rPr>
            </w:pPr>
            <w:r>
              <w:rPr>
                <w:color w:val="231F20"/>
                <w:spacing w:val="-5"/>
                <w:w w:val="105"/>
                <w:sz w:val="15"/>
              </w:rPr>
              <w:t>10</w:t>
            </w:r>
          </w:p>
        </w:tc>
      </w:tr>
      <w:tr>
        <w:trPr>
          <w:trHeight w:val="310" w:hRule="atLeast"/>
        </w:trPr>
        <w:tc>
          <w:tcPr>
            <w:tcW w:w="2849" w:type="dxa"/>
            <w:tcBorders>
              <w:top w:val="nil"/>
              <w:bottom w:val="nil"/>
            </w:tcBorders>
            <w:shd w:val="clear" w:color="auto" w:fill="E6E7E8"/>
          </w:tcPr>
          <w:p>
            <w:pPr>
              <w:pStyle w:val="TableParagraph"/>
              <w:jc w:val="left"/>
              <w:rPr>
                <w:sz w:val="15"/>
              </w:rPr>
            </w:pPr>
            <w:r>
              <w:rPr>
                <w:color w:val="231F20"/>
                <w:spacing w:val="-2"/>
                <w:sz w:val="15"/>
              </w:rPr>
              <w:t>Thallium</w:t>
            </w:r>
          </w:p>
        </w:tc>
        <w:tc>
          <w:tcPr>
            <w:tcW w:w="2849" w:type="dxa"/>
            <w:tcBorders>
              <w:top w:val="nil"/>
              <w:bottom w:val="nil"/>
            </w:tcBorders>
            <w:shd w:val="clear" w:color="auto" w:fill="E6E7E8"/>
          </w:tcPr>
          <w:p>
            <w:pPr>
              <w:pStyle w:val="TableParagraph"/>
              <w:ind w:left="11"/>
              <w:rPr>
                <w:sz w:val="15"/>
              </w:rPr>
            </w:pPr>
            <w:r>
              <w:rPr>
                <w:color w:val="231F20"/>
                <w:sz w:val="15"/>
              </w:rPr>
              <w:t>Tl-</w:t>
            </w:r>
            <w:r>
              <w:rPr>
                <w:color w:val="231F20"/>
                <w:spacing w:val="-5"/>
                <w:sz w:val="15"/>
              </w:rPr>
              <w:t>204</w:t>
            </w:r>
          </w:p>
        </w:tc>
        <w:tc>
          <w:tcPr>
            <w:tcW w:w="2849" w:type="dxa"/>
            <w:tcBorders>
              <w:top w:val="nil"/>
              <w:bottom w:val="nil"/>
            </w:tcBorders>
            <w:shd w:val="clear" w:color="auto" w:fill="E6E7E8"/>
          </w:tcPr>
          <w:p>
            <w:pPr>
              <w:pStyle w:val="TableParagraph"/>
              <w:ind w:left="259"/>
              <w:rPr>
                <w:sz w:val="15"/>
              </w:rPr>
            </w:pPr>
            <w:r>
              <w:rPr>
                <w:color w:val="231F20"/>
                <w:spacing w:val="-5"/>
                <w:w w:val="105"/>
                <w:sz w:val="15"/>
              </w:rPr>
              <w:t>200</w:t>
            </w:r>
          </w:p>
        </w:tc>
      </w:tr>
      <w:tr>
        <w:trPr>
          <w:trHeight w:val="310" w:hRule="atLeast"/>
        </w:trPr>
        <w:tc>
          <w:tcPr>
            <w:tcW w:w="2849" w:type="dxa"/>
            <w:tcBorders>
              <w:top w:val="nil"/>
              <w:bottom w:val="nil"/>
            </w:tcBorders>
          </w:tcPr>
          <w:p>
            <w:pPr>
              <w:pStyle w:val="TableParagraph"/>
              <w:jc w:val="left"/>
              <w:rPr>
                <w:sz w:val="15"/>
              </w:rPr>
            </w:pPr>
            <w:r>
              <w:rPr>
                <w:color w:val="231F20"/>
                <w:spacing w:val="-2"/>
                <w:sz w:val="15"/>
              </w:rPr>
              <w:t>Thulium</w:t>
            </w:r>
          </w:p>
        </w:tc>
        <w:tc>
          <w:tcPr>
            <w:tcW w:w="2849" w:type="dxa"/>
            <w:tcBorders>
              <w:top w:val="nil"/>
              <w:bottom w:val="nil"/>
            </w:tcBorders>
          </w:tcPr>
          <w:p>
            <w:pPr>
              <w:pStyle w:val="TableParagraph"/>
              <w:ind w:left="11"/>
              <w:rPr>
                <w:sz w:val="15"/>
              </w:rPr>
            </w:pPr>
            <w:r>
              <w:rPr>
                <w:color w:val="231F20"/>
                <w:spacing w:val="-7"/>
                <w:w w:val="105"/>
                <w:sz w:val="15"/>
              </w:rPr>
              <w:t>Tm-</w:t>
            </w:r>
            <w:r>
              <w:rPr>
                <w:color w:val="231F20"/>
                <w:spacing w:val="-5"/>
                <w:w w:val="105"/>
                <w:sz w:val="15"/>
              </w:rPr>
              <w:t>170</w:t>
            </w:r>
          </w:p>
        </w:tc>
        <w:tc>
          <w:tcPr>
            <w:tcW w:w="2849" w:type="dxa"/>
            <w:tcBorders>
              <w:top w:val="nil"/>
              <w:bottom w:val="nil"/>
            </w:tcBorders>
          </w:tcPr>
          <w:p>
            <w:pPr>
              <w:pStyle w:val="TableParagraph"/>
              <w:ind w:left="259"/>
              <w:rPr>
                <w:sz w:val="15"/>
              </w:rPr>
            </w:pPr>
            <w:r>
              <w:rPr>
                <w:color w:val="231F20"/>
                <w:spacing w:val="-5"/>
                <w:w w:val="105"/>
                <w:sz w:val="15"/>
              </w:rPr>
              <w:t>200</w:t>
            </w:r>
          </w:p>
        </w:tc>
      </w:tr>
      <w:tr>
        <w:trPr>
          <w:trHeight w:val="305" w:hRule="atLeast"/>
        </w:trPr>
        <w:tc>
          <w:tcPr>
            <w:tcW w:w="2849" w:type="dxa"/>
            <w:tcBorders>
              <w:top w:val="nil"/>
            </w:tcBorders>
            <w:shd w:val="clear" w:color="auto" w:fill="E6E7E8"/>
          </w:tcPr>
          <w:p>
            <w:pPr>
              <w:pStyle w:val="TableParagraph"/>
              <w:spacing w:before="48"/>
              <w:jc w:val="left"/>
              <w:rPr>
                <w:sz w:val="15"/>
              </w:rPr>
            </w:pPr>
            <w:r>
              <w:rPr>
                <w:color w:val="231F20"/>
                <w:spacing w:val="-2"/>
                <w:w w:val="105"/>
                <w:sz w:val="15"/>
              </w:rPr>
              <w:t>Ytterbium</w:t>
            </w:r>
          </w:p>
        </w:tc>
        <w:tc>
          <w:tcPr>
            <w:tcW w:w="2849" w:type="dxa"/>
            <w:tcBorders>
              <w:top w:val="nil"/>
            </w:tcBorders>
            <w:shd w:val="clear" w:color="auto" w:fill="E6E7E8"/>
          </w:tcPr>
          <w:p>
            <w:pPr>
              <w:pStyle w:val="TableParagraph"/>
              <w:spacing w:before="48"/>
              <w:ind w:left="11"/>
              <w:rPr>
                <w:sz w:val="15"/>
              </w:rPr>
            </w:pPr>
            <w:r>
              <w:rPr>
                <w:color w:val="231F20"/>
                <w:spacing w:val="-2"/>
                <w:w w:val="105"/>
                <w:sz w:val="15"/>
              </w:rPr>
              <w:t>Yb-</w:t>
            </w:r>
            <w:r>
              <w:rPr>
                <w:color w:val="231F20"/>
                <w:spacing w:val="-5"/>
                <w:w w:val="105"/>
                <w:sz w:val="15"/>
              </w:rPr>
              <w:t>169</w:t>
            </w:r>
          </w:p>
        </w:tc>
        <w:tc>
          <w:tcPr>
            <w:tcW w:w="2849" w:type="dxa"/>
            <w:tcBorders>
              <w:top w:val="nil"/>
            </w:tcBorders>
            <w:shd w:val="clear" w:color="auto" w:fill="E6E7E8"/>
          </w:tcPr>
          <w:p>
            <w:pPr>
              <w:pStyle w:val="TableParagraph"/>
              <w:spacing w:before="48"/>
              <w:ind w:left="436"/>
              <w:rPr>
                <w:sz w:val="15"/>
              </w:rPr>
            </w:pPr>
            <w:r>
              <w:rPr>
                <w:color w:val="231F20"/>
                <w:spacing w:val="-10"/>
                <w:w w:val="105"/>
                <w:sz w:val="15"/>
              </w:rPr>
              <w:t>3</w:t>
            </w:r>
          </w:p>
        </w:tc>
      </w:tr>
    </w:tbl>
    <w:p>
      <w:pPr>
        <w:pStyle w:val="BodyText"/>
        <w:spacing w:before="52"/>
        <w:rPr>
          <w:rFonts w:ascii="Arial"/>
          <w:i/>
        </w:rPr>
      </w:pPr>
    </w:p>
    <w:p>
      <w:pPr>
        <w:pStyle w:val="ListParagraph"/>
        <w:numPr>
          <w:ilvl w:val="4"/>
          <w:numId w:val="1"/>
        </w:numPr>
        <w:tabs>
          <w:tab w:pos="2492" w:val="left" w:leader="none"/>
          <w:tab w:pos="2497" w:val="left" w:leader="none"/>
        </w:tabs>
        <w:spacing w:line="256" w:lineRule="auto" w:before="0" w:after="0"/>
        <w:ind w:left="2497" w:right="847" w:hanging="1080"/>
        <w:jc w:val="both"/>
        <w:rPr>
          <w:color w:val="231F20"/>
          <w:sz w:val="17"/>
        </w:rPr>
      </w:pPr>
      <w:r>
        <w:rPr>
          <w:color w:val="231F20"/>
          <w:w w:val="105"/>
          <w:sz w:val="17"/>
        </w:rPr>
        <w:t>For</w:t>
      </w:r>
      <w:r>
        <w:rPr>
          <w:color w:val="231F20"/>
          <w:spacing w:val="27"/>
          <w:w w:val="105"/>
          <w:sz w:val="17"/>
        </w:rPr>
        <w:t> </w:t>
      </w:r>
      <w:r>
        <w:rPr>
          <w:color w:val="231F20"/>
          <w:w w:val="105"/>
          <w:sz w:val="17"/>
        </w:rPr>
        <w:t>mixtures</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radionuclides,</w:t>
      </w:r>
      <w:r>
        <w:rPr>
          <w:color w:val="231F20"/>
          <w:spacing w:val="27"/>
          <w:w w:val="105"/>
          <w:sz w:val="17"/>
        </w:rPr>
        <w:t> </w:t>
      </w:r>
      <w:r>
        <w:rPr>
          <w:color w:val="231F20"/>
          <w:w w:val="105"/>
          <w:sz w:val="17"/>
        </w:rPr>
        <w:t>determination</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whether</w:t>
      </w:r>
      <w:r>
        <w:rPr>
          <w:color w:val="231F20"/>
          <w:spacing w:val="27"/>
          <w:w w:val="105"/>
          <w:sz w:val="17"/>
        </w:rPr>
        <w:t> </w:t>
      </w:r>
      <w:r>
        <w:rPr>
          <w:color w:val="231F20"/>
          <w:w w:val="105"/>
          <w:sz w:val="17"/>
        </w:rPr>
        <w:t>or</w:t>
      </w:r>
      <w:r>
        <w:rPr>
          <w:color w:val="231F20"/>
          <w:spacing w:val="27"/>
          <w:w w:val="105"/>
          <w:sz w:val="17"/>
        </w:rPr>
        <w:t> </w:t>
      </w:r>
      <w:r>
        <w:rPr>
          <w:color w:val="231F20"/>
          <w:w w:val="105"/>
          <w:sz w:val="17"/>
        </w:rPr>
        <w:t>not</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transport</w:t>
      </w:r>
      <w:r>
        <w:rPr>
          <w:color w:val="231F20"/>
          <w:spacing w:val="27"/>
          <w:w w:val="105"/>
          <w:sz w:val="17"/>
        </w:rPr>
        <w:t> </w:t>
      </w:r>
      <w:r>
        <w:rPr>
          <w:color w:val="231F20"/>
          <w:w w:val="105"/>
          <w:sz w:val="17"/>
        </w:rPr>
        <w:t>security</w:t>
      </w:r>
      <w:r>
        <w:rPr>
          <w:color w:val="231F20"/>
          <w:spacing w:val="27"/>
          <w:w w:val="105"/>
          <w:sz w:val="17"/>
        </w:rPr>
        <w:t> </w:t>
      </w:r>
      <w:r>
        <w:rPr>
          <w:color w:val="231F20"/>
          <w:w w:val="105"/>
          <w:sz w:val="17"/>
        </w:rPr>
        <w:t>threshold</w:t>
      </w:r>
      <w:r>
        <w:rPr>
          <w:color w:val="231F20"/>
          <w:spacing w:val="27"/>
          <w:w w:val="105"/>
          <w:sz w:val="17"/>
        </w:rPr>
        <w:t> </w:t>
      </w:r>
      <w:r>
        <w:rPr>
          <w:color w:val="231F20"/>
          <w:w w:val="105"/>
          <w:sz w:val="17"/>
        </w:rPr>
        <w:t>has</w:t>
      </w:r>
      <w:r>
        <w:rPr>
          <w:color w:val="231F20"/>
          <w:spacing w:val="27"/>
          <w:w w:val="105"/>
          <w:sz w:val="17"/>
        </w:rPr>
        <w:t> </w:t>
      </w:r>
      <w:r>
        <w:rPr>
          <w:color w:val="231F20"/>
          <w:w w:val="105"/>
          <w:sz w:val="17"/>
        </w:rPr>
        <w:t>been met or exceeded can be calculated by summing the ratios of activity present for each radionuclide divided</w:t>
      </w:r>
      <w:r>
        <w:rPr>
          <w:color w:val="231F20"/>
          <w:spacing w:val="80"/>
          <w:w w:val="105"/>
          <w:sz w:val="17"/>
        </w:rPr>
        <w:t> </w:t>
      </w:r>
      <w:r>
        <w:rPr>
          <w:color w:val="231F20"/>
          <w:w w:val="105"/>
          <w:sz w:val="17"/>
        </w:rPr>
        <w:t>by the transport security threshold for that radionuclide. If the sum of the fractions is less than 1, then the radioactivity threshold for the mixture has not been met nor exceeded.</w:t>
      </w:r>
    </w:p>
    <w:p>
      <w:pPr>
        <w:pStyle w:val="BodyText"/>
        <w:spacing w:before="124"/>
        <w:ind w:left="2497"/>
      </w:pPr>
      <w:r>
        <w:rPr>
          <w:color w:val="231F20"/>
          <w:w w:val="105"/>
        </w:rPr>
        <w:t>This</w:t>
      </w:r>
      <w:r>
        <w:rPr>
          <w:color w:val="231F20"/>
          <w:spacing w:val="-3"/>
          <w:w w:val="105"/>
        </w:rPr>
        <w:t> </w:t>
      </w:r>
      <w:r>
        <w:rPr>
          <w:color w:val="231F20"/>
          <w:w w:val="105"/>
        </w:rPr>
        <w:t>calculation</w:t>
      </w:r>
      <w:r>
        <w:rPr>
          <w:color w:val="231F20"/>
          <w:spacing w:val="-2"/>
          <w:w w:val="105"/>
        </w:rPr>
        <w:t> </w:t>
      </w:r>
      <w:r>
        <w:rPr>
          <w:color w:val="231F20"/>
          <w:w w:val="105"/>
        </w:rPr>
        <w:t>can</w:t>
      </w:r>
      <w:r>
        <w:rPr>
          <w:color w:val="231F20"/>
          <w:spacing w:val="-2"/>
          <w:w w:val="105"/>
        </w:rPr>
        <w:t> </w:t>
      </w:r>
      <w:r>
        <w:rPr>
          <w:color w:val="231F20"/>
          <w:w w:val="105"/>
        </w:rPr>
        <w:t>be</w:t>
      </w:r>
      <w:r>
        <w:rPr>
          <w:color w:val="231F20"/>
          <w:spacing w:val="-2"/>
          <w:w w:val="105"/>
        </w:rPr>
        <w:t> </w:t>
      </w:r>
      <w:r>
        <w:rPr>
          <w:color w:val="231F20"/>
          <w:w w:val="105"/>
        </w:rPr>
        <w:t>made</w:t>
      </w:r>
      <w:r>
        <w:rPr>
          <w:color w:val="231F20"/>
          <w:spacing w:val="-2"/>
          <w:w w:val="105"/>
        </w:rPr>
        <w:t> </w:t>
      </w:r>
      <w:r>
        <w:rPr>
          <w:color w:val="231F20"/>
          <w:w w:val="105"/>
        </w:rPr>
        <w:t>with</w:t>
      </w:r>
      <w:r>
        <w:rPr>
          <w:color w:val="231F20"/>
          <w:spacing w:val="-2"/>
          <w:w w:val="105"/>
        </w:rPr>
        <w:t> </w:t>
      </w:r>
      <w:r>
        <w:rPr>
          <w:color w:val="231F20"/>
          <w:w w:val="105"/>
        </w:rPr>
        <w:t>the</w:t>
      </w:r>
      <w:r>
        <w:rPr>
          <w:color w:val="231F20"/>
          <w:spacing w:val="-2"/>
          <w:w w:val="105"/>
        </w:rPr>
        <w:t> formula:</w:t>
      </w:r>
    </w:p>
    <w:p>
      <w:pPr>
        <w:spacing w:line="53" w:lineRule="exact" w:before="55"/>
        <w:ind w:left="3185" w:right="0" w:firstLine="0"/>
        <w:jc w:val="left"/>
        <w:rPr>
          <w:rFonts w:ascii="Arial"/>
          <w:i/>
          <w:position w:val="-3"/>
          <w:sz w:val="11"/>
        </w:rPr>
      </w:pPr>
      <w:r>
        <w:rPr>
          <w:rFonts w:ascii="Arial"/>
          <w:i/>
          <w:color w:val="231F20"/>
          <w:spacing w:val="-5"/>
          <w:w w:val="105"/>
          <w:sz w:val="16"/>
          <w:u w:val="single" w:color="221E1F"/>
        </w:rPr>
        <w:t>A</w:t>
      </w:r>
      <w:r>
        <w:rPr>
          <w:rFonts w:ascii="Arial"/>
          <w:i/>
          <w:color w:val="231F20"/>
          <w:spacing w:val="-5"/>
          <w:w w:val="105"/>
          <w:position w:val="-3"/>
          <w:sz w:val="11"/>
        </w:rPr>
        <w:t>i</w:t>
      </w:r>
    </w:p>
    <w:p>
      <w:pPr>
        <w:spacing w:line="309" w:lineRule="exact" w:before="0"/>
        <w:ind w:left="2857" w:right="0" w:firstLine="0"/>
        <w:jc w:val="left"/>
        <w:rPr>
          <w:sz w:val="17"/>
        </w:rPr>
      </w:pPr>
      <w:r>
        <w:rPr>
          <w:sz w:val="17"/>
        </w:rPr>
        <mc:AlternateContent>
          <mc:Choice Requires="wps">
            <w:drawing>
              <wp:anchor distT="0" distB="0" distL="0" distR="0" allowOverlap="1" layoutInCell="1" locked="0" behindDoc="1" simplePos="0" relativeHeight="487347712">
                <wp:simplePos x="0" y="0"/>
                <wp:positionH relativeFrom="page">
                  <wp:posOffset>2015008</wp:posOffset>
                </wp:positionH>
                <wp:positionV relativeFrom="paragraph">
                  <wp:posOffset>120026</wp:posOffset>
                </wp:positionV>
                <wp:extent cx="60960" cy="12573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0960" cy="125730"/>
                        </a:xfrm>
                        <a:prstGeom prst="rect">
                          <a:avLst/>
                        </a:prstGeom>
                      </wps:spPr>
                      <wps:txbx>
                        <w:txbxContent>
                          <w:p>
                            <w:pPr>
                              <w:spacing w:before="11"/>
                              <w:ind w:left="0" w:right="0" w:firstLine="0"/>
                              <w:jc w:val="left"/>
                              <w:rPr>
                                <w:rFonts w:ascii="Arial"/>
                                <w:i/>
                                <w:sz w:val="16"/>
                              </w:rPr>
                            </w:pPr>
                            <w:r>
                              <w:rPr>
                                <w:rFonts w:ascii="Arial"/>
                                <w:i/>
                                <w:color w:val="231F20"/>
                                <w:spacing w:val="-13"/>
                                <w:sz w:val="16"/>
                              </w:rPr>
                              <w:t>T</w:t>
                            </w:r>
                          </w:p>
                        </w:txbxContent>
                      </wps:txbx>
                      <wps:bodyPr wrap="square" lIns="0" tIns="0" rIns="0" bIns="0" rtlCol="0">
                        <a:noAutofit/>
                      </wps:bodyPr>
                    </wps:wsp>
                  </a:graphicData>
                </a:graphic>
              </wp:anchor>
            </w:drawing>
          </mc:Choice>
          <mc:Fallback>
            <w:pict>
              <v:shape style="position:absolute;margin-left:158.662094pt;margin-top:9.450890pt;width:4.8pt;height:9.9pt;mso-position-horizontal-relative:page;mso-position-vertical-relative:paragraph;z-index:-15968768" type="#_x0000_t202" id="docshape20" filled="false" stroked="false">
                <v:textbox inset="0,0,0,0">
                  <w:txbxContent>
                    <w:p>
                      <w:pPr>
                        <w:spacing w:before="11"/>
                        <w:ind w:left="0" w:right="0" w:firstLine="0"/>
                        <w:jc w:val="left"/>
                        <w:rPr>
                          <w:rFonts w:ascii="Arial"/>
                          <w:i/>
                          <w:sz w:val="16"/>
                        </w:rPr>
                      </w:pPr>
                      <w:r>
                        <w:rPr>
                          <w:rFonts w:ascii="Arial"/>
                          <w:i/>
                          <w:color w:val="231F20"/>
                          <w:spacing w:val="-13"/>
                          <w:sz w:val="16"/>
                        </w:rPr>
                        <w:t>T</w:t>
                      </w:r>
                    </w:p>
                  </w:txbxContent>
                </v:textbox>
                <w10:wrap type="none"/>
              </v:shape>
            </w:pict>
          </mc:Fallback>
        </mc:AlternateContent>
      </w:r>
      <w:r>
        <w:rPr>
          <w:rFonts w:ascii="Georgia" w:hAnsi="Georgia"/>
          <w:color w:val="231F20"/>
          <w:w w:val="135"/>
          <w:position w:val="-7"/>
          <w:sz w:val="29"/>
        </w:rPr>
        <w:t>∑</w:t>
      </w:r>
      <w:r>
        <w:rPr>
          <w:rFonts w:ascii="Georgia" w:hAnsi="Georgia"/>
          <w:color w:val="231F20"/>
          <w:spacing w:val="2"/>
          <w:w w:val="135"/>
          <w:position w:val="-7"/>
          <w:sz w:val="29"/>
        </w:rPr>
        <w:t>  </w:t>
      </w:r>
      <w:r>
        <w:rPr>
          <w:rFonts w:ascii="Georgia" w:hAnsi="Georgia"/>
          <w:color w:val="231F20"/>
          <w:w w:val="135"/>
          <w:sz w:val="17"/>
        </w:rPr>
        <w:t>&lt;</w:t>
      </w:r>
      <w:r>
        <w:rPr>
          <w:rFonts w:ascii="Georgia" w:hAnsi="Georgia"/>
          <w:color w:val="231F20"/>
          <w:spacing w:val="-1"/>
          <w:w w:val="135"/>
          <w:sz w:val="17"/>
        </w:rPr>
        <w:t> </w:t>
      </w:r>
      <w:r>
        <w:rPr>
          <w:color w:val="231F20"/>
          <w:spacing w:val="-10"/>
          <w:w w:val="120"/>
          <w:sz w:val="17"/>
        </w:rPr>
        <w:t>1</w:t>
      </w:r>
    </w:p>
    <w:p>
      <w:pPr>
        <w:tabs>
          <w:tab w:pos="3271" w:val="left" w:leader="none"/>
        </w:tabs>
        <w:spacing w:line="175" w:lineRule="auto" w:before="0"/>
        <w:ind w:left="3000" w:right="0" w:firstLine="0"/>
        <w:jc w:val="left"/>
        <w:rPr>
          <w:rFonts w:ascii="Arial"/>
          <w:i/>
          <w:sz w:val="11"/>
        </w:rPr>
      </w:pPr>
      <w:r>
        <w:rPr>
          <w:rFonts w:ascii="Arial"/>
          <w:i/>
          <w:color w:val="231F20"/>
          <w:spacing w:val="-10"/>
          <w:w w:val="105"/>
          <w:position w:val="-3"/>
          <w:sz w:val="12"/>
        </w:rPr>
        <w:t>i</w:t>
      </w:r>
      <w:r>
        <w:rPr>
          <w:rFonts w:ascii="Arial"/>
          <w:i/>
          <w:color w:val="231F20"/>
          <w:position w:val="-3"/>
          <w:sz w:val="12"/>
        </w:rPr>
        <w:tab/>
      </w:r>
      <w:r>
        <w:rPr>
          <w:rFonts w:ascii="Arial"/>
          <w:i/>
          <w:color w:val="231F20"/>
          <w:spacing w:val="-10"/>
          <w:w w:val="105"/>
          <w:sz w:val="11"/>
        </w:rPr>
        <w:t>i</w:t>
      </w:r>
    </w:p>
    <w:p>
      <w:pPr>
        <w:pStyle w:val="BodyText"/>
        <w:spacing w:before="7"/>
        <w:rPr>
          <w:rFonts w:ascii="Arial"/>
          <w:i/>
          <w:sz w:val="11"/>
        </w:rPr>
      </w:pPr>
    </w:p>
    <w:p>
      <w:pPr>
        <w:pStyle w:val="BodyText"/>
        <w:spacing w:before="1"/>
        <w:ind w:left="2497"/>
      </w:pPr>
      <w:r>
        <w:rPr>
          <w:color w:val="231F20"/>
          <w:spacing w:val="-2"/>
        </w:rPr>
        <w:t>where:</w:t>
      </w:r>
    </w:p>
    <w:p>
      <w:pPr>
        <w:pStyle w:val="BodyText"/>
        <w:spacing w:before="134"/>
        <w:ind w:left="2857"/>
      </w:pPr>
      <w:r>
        <w:rPr>
          <w:rFonts w:ascii="Arial"/>
          <w:i/>
          <w:color w:val="231F20"/>
          <w:w w:val="105"/>
        </w:rPr>
        <w:t>A</w:t>
      </w:r>
      <w:r>
        <w:rPr>
          <w:rFonts w:ascii="Arial"/>
          <w:i/>
          <w:color w:val="231F20"/>
          <w:w w:val="105"/>
          <w:position w:val="-3"/>
          <w:sz w:val="12"/>
        </w:rPr>
        <w:t>i</w:t>
      </w:r>
      <w:r>
        <w:rPr>
          <w:rFonts w:ascii="Arial"/>
          <w:i/>
          <w:color w:val="231F20"/>
          <w:spacing w:val="13"/>
          <w:w w:val="105"/>
          <w:position w:val="-3"/>
          <w:sz w:val="12"/>
        </w:rPr>
        <w:t> </w:t>
      </w:r>
      <w:r>
        <w:rPr>
          <w:color w:val="231F20"/>
          <w:w w:val="105"/>
        </w:rPr>
        <w:t>= activity</w:t>
      </w:r>
      <w:r>
        <w:rPr>
          <w:color w:val="231F20"/>
          <w:spacing w:val="-1"/>
          <w:w w:val="105"/>
        </w:rPr>
        <w:t> </w:t>
      </w:r>
      <w:r>
        <w:rPr>
          <w:color w:val="231F20"/>
          <w:w w:val="105"/>
        </w:rPr>
        <w:t>of</w:t>
      </w:r>
      <w:r>
        <w:rPr>
          <w:color w:val="231F20"/>
          <w:spacing w:val="-1"/>
          <w:w w:val="105"/>
        </w:rPr>
        <w:t> </w:t>
      </w:r>
      <w:r>
        <w:rPr>
          <w:color w:val="231F20"/>
          <w:w w:val="105"/>
        </w:rPr>
        <w:t>radionuclide </w:t>
      </w:r>
      <w:r>
        <w:rPr>
          <w:rFonts w:ascii="Arial"/>
          <w:i/>
          <w:color w:val="231F20"/>
          <w:w w:val="105"/>
        </w:rPr>
        <w:t>i</w:t>
      </w:r>
      <w:r>
        <w:rPr>
          <w:rFonts w:ascii="Arial"/>
          <w:i/>
          <w:color w:val="231F20"/>
          <w:spacing w:val="-1"/>
          <w:w w:val="105"/>
        </w:rPr>
        <w:t> </w:t>
      </w:r>
      <w:r>
        <w:rPr>
          <w:color w:val="231F20"/>
          <w:w w:val="105"/>
        </w:rPr>
        <w:t>that</w:t>
      </w:r>
      <w:r>
        <w:rPr>
          <w:color w:val="231F20"/>
          <w:spacing w:val="-1"/>
          <w:w w:val="105"/>
        </w:rPr>
        <w:t> </w:t>
      </w:r>
      <w:r>
        <w:rPr>
          <w:color w:val="231F20"/>
          <w:w w:val="105"/>
        </w:rPr>
        <w:t>is</w:t>
      </w:r>
      <w:r>
        <w:rPr>
          <w:color w:val="231F20"/>
          <w:spacing w:val="-1"/>
          <w:w w:val="105"/>
        </w:rPr>
        <w:t> </w:t>
      </w:r>
      <w:r>
        <w:rPr>
          <w:color w:val="231F20"/>
          <w:w w:val="105"/>
        </w:rPr>
        <w:t>present in</w:t>
      </w:r>
      <w:r>
        <w:rPr>
          <w:color w:val="231F20"/>
          <w:spacing w:val="-1"/>
          <w:w w:val="105"/>
        </w:rPr>
        <w:t> </w:t>
      </w:r>
      <w:r>
        <w:rPr>
          <w:color w:val="231F20"/>
          <w:w w:val="105"/>
        </w:rPr>
        <w:t>a</w:t>
      </w:r>
      <w:r>
        <w:rPr>
          <w:color w:val="231F20"/>
          <w:spacing w:val="-1"/>
          <w:w w:val="105"/>
        </w:rPr>
        <w:t> </w:t>
      </w:r>
      <w:r>
        <w:rPr>
          <w:color w:val="231F20"/>
          <w:w w:val="105"/>
        </w:rPr>
        <w:t>package </w:t>
      </w:r>
      <w:r>
        <w:rPr>
          <w:color w:val="231F20"/>
          <w:spacing w:val="-2"/>
          <w:w w:val="105"/>
        </w:rPr>
        <w:t>(TBq)</w:t>
      </w:r>
    </w:p>
    <w:p>
      <w:pPr>
        <w:pStyle w:val="BodyText"/>
        <w:spacing w:before="105"/>
        <w:ind w:left="2857"/>
      </w:pPr>
      <w:r>
        <w:rPr>
          <w:rFonts w:ascii="Arial"/>
          <w:i/>
          <w:color w:val="231F20"/>
          <w:w w:val="105"/>
        </w:rPr>
        <w:t>T</w:t>
      </w:r>
      <w:r>
        <w:rPr>
          <w:rFonts w:ascii="Arial"/>
          <w:i/>
          <w:color w:val="231F20"/>
          <w:w w:val="105"/>
          <w:position w:val="-3"/>
          <w:sz w:val="12"/>
        </w:rPr>
        <w:t>i </w:t>
      </w:r>
      <w:r>
        <w:rPr>
          <w:color w:val="231F20"/>
          <w:w w:val="105"/>
        </w:rPr>
        <w:t>=</w:t>
      </w:r>
      <w:r>
        <w:rPr>
          <w:color w:val="231F20"/>
          <w:spacing w:val="2"/>
          <w:w w:val="105"/>
        </w:rPr>
        <w:t> </w:t>
      </w:r>
      <w:r>
        <w:rPr>
          <w:color w:val="231F20"/>
          <w:w w:val="105"/>
        </w:rPr>
        <w:t>transport</w:t>
      </w:r>
      <w:r>
        <w:rPr>
          <w:color w:val="231F20"/>
          <w:spacing w:val="3"/>
          <w:w w:val="105"/>
        </w:rPr>
        <w:t> </w:t>
      </w:r>
      <w:r>
        <w:rPr>
          <w:color w:val="231F20"/>
          <w:w w:val="105"/>
        </w:rPr>
        <w:t>security</w:t>
      </w:r>
      <w:r>
        <w:rPr>
          <w:color w:val="231F20"/>
          <w:spacing w:val="2"/>
          <w:w w:val="105"/>
        </w:rPr>
        <w:t> </w:t>
      </w:r>
      <w:r>
        <w:rPr>
          <w:color w:val="231F20"/>
          <w:w w:val="105"/>
        </w:rPr>
        <w:t>threshold</w:t>
      </w:r>
      <w:r>
        <w:rPr>
          <w:color w:val="231F20"/>
          <w:spacing w:val="2"/>
          <w:w w:val="105"/>
        </w:rPr>
        <w:t> </w:t>
      </w:r>
      <w:r>
        <w:rPr>
          <w:color w:val="231F20"/>
          <w:w w:val="105"/>
        </w:rPr>
        <w:t>for</w:t>
      </w:r>
      <w:r>
        <w:rPr>
          <w:color w:val="231F20"/>
          <w:spacing w:val="2"/>
          <w:w w:val="105"/>
        </w:rPr>
        <w:t> </w:t>
      </w:r>
      <w:r>
        <w:rPr>
          <w:color w:val="231F20"/>
          <w:w w:val="105"/>
        </w:rPr>
        <w:t>radionuclide</w:t>
      </w:r>
      <w:r>
        <w:rPr>
          <w:color w:val="231F20"/>
          <w:spacing w:val="2"/>
          <w:w w:val="105"/>
        </w:rPr>
        <w:t> </w:t>
      </w:r>
      <w:r>
        <w:rPr>
          <w:rFonts w:ascii="Arial"/>
          <w:i/>
          <w:color w:val="231F20"/>
          <w:w w:val="105"/>
        </w:rPr>
        <w:t>i</w:t>
      </w:r>
      <w:r>
        <w:rPr>
          <w:rFonts w:ascii="Arial"/>
          <w:i/>
          <w:color w:val="231F20"/>
          <w:spacing w:val="3"/>
          <w:w w:val="105"/>
        </w:rPr>
        <w:t> </w:t>
      </w:r>
      <w:r>
        <w:rPr>
          <w:color w:val="231F20"/>
          <w:spacing w:val="-2"/>
          <w:w w:val="105"/>
        </w:rPr>
        <w:t>(TBq).</w:t>
      </w:r>
    </w:p>
    <w:p>
      <w:pPr>
        <w:pStyle w:val="BodyText"/>
        <w:spacing w:after="0"/>
        <w:sectPr>
          <w:pgSz w:w="11910" w:h="16840"/>
          <w:pgMar w:header="0" w:footer="570" w:top="0" w:bottom="760" w:left="0" w:right="0"/>
        </w:sectPr>
      </w:pPr>
    </w:p>
    <w:p>
      <w:pPr>
        <w:pStyle w:val="BodyText"/>
        <w:spacing w:before="1"/>
        <w:rPr>
          <w:sz w:val="16"/>
        </w:rPr>
      </w:pPr>
    </w:p>
    <w:p>
      <w:pPr>
        <w:pStyle w:val="BodyText"/>
        <w:spacing w:after="0"/>
        <w:rPr>
          <w:sz w:val="16"/>
        </w:rPr>
        <w:sectPr>
          <w:pgSz w:w="11910" w:h="16840"/>
          <w:pgMar w:header="0" w:footer="570" w:top="0" w:bottom="760" w:left="0" w:right="0"/>
        </w:sectPr>
      </w:pPr>
    </w:p>
    <w:p>
      <w:pPr>
        <w:pStyle w:val="BodyText"/>
      </w:pPr>
    </w:p>
    <w:p>
      <w:pPr>
        <w:pStyle w:val="BodyText"/>
      </w:pPr>
    </w:p>
    <w:p>
      <w:pPr>
        <w:pStyle w:val="BodyText"/>
      </w:pPr>
    </w:p>
    <w:p>
      <w:pPr>
        <w:pStyle w:val="BodyText"/>
        <w:spacing w:before="1"/>
      </w:pPr>
    </w:p>
    <w:p>
      <w:pPr>
        <w:spacing w:before="0"/>
        <w:ind w:left="850"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-625931</wp:posOffset>
                </wp:positionV>
                <wp:extent cx="360045" cy="152146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60045" cy="1521460"/>
                          <a:chExt cx="360045" cy="1521460"/>
                        </a:xfrm>
                      </wpg:grpSpPr>
                      <wps:wsp>
                        <wps:cNvPr id="27" name="Graphic 2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28" name="Textbox 28"/>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0pt;margin-top:-49.285912pt;width:28.35pt;height:119.8pt;mso-position-horizontal-relative:page;mso-position-vertical-relative:paragraph;z-index:15733248" id="docshapegroup21" coordorigin="0,-986" coordsize="567,2396">
                <v:rect style="position:absolute;left:0;top:-986;width:567;height:2396" id="docshape22" filled="true" fillcolor="#58595b" stroked="false">
                  <v:fill type="solid"/>
                </v:rect>
                <v:shape style="position:absolute;left:0;top:-986;width:567;height:2396" type="#_x0000_t202" id="docshape23"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1</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color w:val="231F20"/>
          <w:w w:val="105"/>
          <w:sz w:val="17"/>
        </w:rPr>
        <w:t>–</w:t>
      </w:r>
      <w:r>
        <w:rPr>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Heading2"/>
        <w:spacing w:before="94"/>
      </w:pPr>
      <w:r>
        <w:rPr/>
        <w:br w:type="column"/>
      </w: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49</w:t>
      </w:r>
    </w:p>
    <w:p>
      <w:pPr>
        <w:spacing w:after="0"/>
        <w:jc w:val="right"/>
        <w:rPr>
          <w:sz w:val="18"/>
        </w:rPr>
        <w:sectPr>
          <w:type w:val="continuous"/>
          <w:pgSz w:w="11910" w:h="16840"/>
          <w:pgMar w:header="0" w:footer="570" w:top="0" w:bottom="760" w:left="0" w:right="0"/>
          <w:cols w:num="2" w:equalWidth="0">
            <w:col w:w="5116" w:space="3568"/>
            <w:col w:w="3226"/>
          </w:cols>
        </w:sectPr>
      </w:pPr>
    </w:p>
    <w:p>
      <w:pPr>
        <w:pStyle w:val="BodyText"/>
        <w:spacing w:before="8"/>
        <w:rPr>
          <w:sz w:val="7"/>
        </w:rPr>
      </w:pPr>
    </w:p>
    <w:p>
      <w:pPr>
        <w:spacing w:line="20" w:lineRule="exact"/>
        <w:ind w:left="850" w:right="0" w:firstLine="0"/>
        <w:rPr>
          <w:sz w:val="2"/>
        </w:rPr>
      </w:pPr>
      <w:r>
        <w:rPr>
          <w:sz w:val="2"/>
        </w:rPr>
        <mc:AlternateContent>
          <mc:Choice Requires="wps">
            <w:drawing>
              <wp:inline distT="0" distB="0" distL="0" distR="0">
                <wp:extent cx="6120130" cy="6350"/>
                <wp:effectExtent l="9525" t="0" r="0" b="3175"/>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24" coordorigin="0,0" coordsize="9638,10">
                <v:line style="position:absolute" from="0,5" to="9638,5" stroked="true" strokeweight=".5pt" strokecolor="#231f20">
                  <v:stroke dashstyle="solid"/>
                </v:line>
              </v:group>
            </w:pict>
          </mc:Fallback>
        </mc:AlternateContent>
      </w:r>
      <w:r>
        <w:rPr>
          <w:sz w:val="2"/>
        </w:rPr>
      </w:r>
    </w:p>
    <w:p>
      <w:pPr>
        <w:pStyle w:val="BodyText"/>
        <w:spacing w:before="180"/>
      </w:pPr>
    </w:p>
    <w:p>
      <w:pPr>
        <w:pStyle w:val="ListParagraph"/>
        <w:numPr>
          <w:ilvl w:val="4"/>
          <w:numId w:val="1"/>
        </w:numPr>
        <w:tabs>
          <w:tab w:pos="1925" w:val="left" w:leader="none"/>
          <w:tab w:pos="1930" w:val="left" w:leader="none"/>
        </w:tabs>
        <w:spacing w:line="256" w:lineRule="auto" w:before="0" w:after="0"/>
        <w:ind w:left="1930" w:right="1414" w:hanging="1080"/>
        <w:jc w:val="both"/>
        <w:rPr>
          <w:color w:val="231F20"/>
          <w:sz w:val="17"/>
        </w:rPr>
      </w:pPr>
      <w:r>
        <w:rPr>
          <w:color w:val="231F20"/>
          <w:w w:val="105"/>
          <w:sz w:val="17"/>
        </w:rPr>
        <w:t>When</w:t>
      </w:r>
      <w:r>
        <w:rPr>
          <w:color w:val="231F20"/>
          <w:spacing w:val="-9"/>
          <w:w w:val="105"/>
          <w:sz w:val="17"/>
        </w:rPr>
        <w:t> </w:t>
      </w:r>
      <w:r>
        <w:rPr>
          <w:color w:val="231F20"/>
          <w:w w:val="105"/>
          <w:sz w:val="17"/>
        </w:rPr>
        <w:t>radioactive</w:t>
      </w:r>
      <w:r>
        <w:rPr>
          <w:color w:val="231F20"/>
          <w:spacing w:val="-9"/>
          <w:w w:val="105"/>
          <w:sz w:val="17"/>
        </w:rPr>
        <w:t> </w:t>
      </w:r>
      <w:r>
        <w:rPr>
          <w:color w:val="231F20"/>
          <w:w w:val="105"/>
          <w:sz w:val="17"/>
        </w:rPr>
        <w:t>materials</w:t>
      </w:r>
      <w:r>
        <w:rPr>
          <w:color w:val="231F20"/>
          <w:spacing w:val="-9"/>
          <w:w w:val="105"/>
          <w:sz w:val="17"/>
        </w:rPr>
        <w:t> </w:t>
      </w:r>
      <w:r>
        <w:rPr>
          <w:color w:val="231F20"/>
          <w:w w:val="105"/>
          <w:sz w:val="17"/>
        </w:rPr>
        <w:t>possess</w:t>
      </w:r>
      <w:r>
        <w:rPr>
          <w:color w:val="231F20"/>
          <w:spacing w:val="-9"/>
          <w:w w:val="105"/>
          <w:sz w:val="17"/>
        </w:rPr>
        <w:t> </w:t>
      </w:r>
      <w:r>
        <w:rPr>
          <w:color w:val="231F20"/>
          <w:w w:val="105"/>
          <w:sz w:val="17"/>
        </w:rPr>
        <w:t>subsidiary</w:t>
      </w:r>
      <w:r>
        <w:rPr>
          <w:color w:val="231F20"/>
          <w:spacing w:val="-9"/>
          <w:w w:val="105"/>
          <w:sz w:val="17"/>
        </w:rPr>
        <w:t> </w:t>
      </w:r>
      <w:r>
        <w:rPr>
          <w:color w:val="231F20"/>
          <w:w w:val="105"/>
          <w:sz w:val="17"/>
        </w:rPr>
        <w:t>hazards</w:t>
      </w:r>
      <w:r>
        <w:rPr>
          <w:color w:val="231F20"/>
          <w:spacing w:val="-9"/>
          <w:w w:val="105"/>
          <w:sz w:val="17"/>
        </w:rPr>
        <w:t> </w:t>
      </w:r>
      <w:r>
        <w:rPr>
          <w:color w:val="231F20"/>
          <w:w w:val="105"/>
          <w:sz w:val="17"/>
        </w:rPr>
        <w:t>of</w:t>
      </w:r>
      <w:r>
        <w:rPr>
          <w:color w:val="231F20"/>
          <w:spacing w:val="-9"/>
          <w:w w:val="105"/>
          <w:sz w:val="17"/>
        </w:rPr>
        <w:t> </w:t>
      </w:r>
      <w:r>
        <w:rPr>
          <w:color w:val="231F20"/>
          <w:w w:val="105"/>
          <w:sz w:val="17"/>
        </w:rPr>
        <w:t>other</w:t>
      </w:r>
      <w:r>
        <w:rPr>
          <w:color w:val="231F20"/>
          <w:spacing w:val="-9"/>
          <w:w w:val="105"/>
          <w:sz w:val="17"/>
        </w:rPr>
        <w:t> </w:t>
      </w:r>
      <w:r>
        <w:rPr>
          <w:color w:val="231F20"/>
          <w:w w:val="105"/>
          <w:sz w:val="17"/>
        </w:rPr>
        <w:t>classes</w:t>
      </w:r>
      <w:r>
        <w:rPr>
          <w:color w:val="231F20"/>
          <w:spacing w:val="-9"/>
          <w:w w:val="105"/>
          <w:sz w:val="17"/>
        </w:rPr>
        <w:t> </w:t>
      </w:r>
      <w:r>
        <w:rPr>
          <w:color w:val="231F20"/>
          <w:w w:val="105"/>
          <w:sz w:val="17"/>
        </w:rPr>
        <w:t>or</w:t>
      </w:r>
      <w:r>
        <w:rPr>
          <w:color w:val="231F20"/>
          <w:spacing w:val="-9"/>
          <w:w w:val="105"/>
          <w:sz w:val="17"/>
        </w:rPr>
        <w:t> </w:t>
      </w:r>
      <w:r>
        <w:rPr>
          <w:color w:val="231F20"/>
          <w:w w:val="105"/>
          <w:sz w:val="17"/>
        </w:rPr>
        <w:t>divisions,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criteria</w:t>
      </w:r>
      <w:r>
        <w:rPr>
          <w:color w:val="231F20"/>
          <w:spacing w:val="-9"/>
          <w:w w:val="105"/>
          <w:sz w:val="17"/>
        </w:rPr>
        <w:t> </w:t>
      </w:r>
      <w:r>
        <w:rPr>
          <w:color w:val="231F20"/>
          <w:w w:val="105"/>
          <w:sz w:val="17"/>
        </w:rPr>
        <w:t>of</w:t>
      </w:r>
      <w:r>
        <w:rPr>
          <w:color w:val="231F20"/>
          <w:spacing w:val="-9"/>
          <w:w w:val="105"/>
          <w:sz w:val="17"/>
        </w:rPr>
        <w:t> </w:t>
      </w:r>
      <w:r>
        <w:rPr>
          <w:color w:val="231F20"/>
          <w:w w:val="105"/>
          <w:sz w:val="17"/>
        </w:rPr>
        <w:t>table</w:t>
      </w:r>
      <w:r>
        <w:rPr>
          <w:color w:val="231F20"/>
          <w:spacing w:val="-9"/>
          <w:w w:val="105"/>
          <w:sz w:val="17"/>
        </w:rPr>
        <w:t> </w:t>
      </w:r>
      <w:r>
        <w:rPr>
          <w:color w:val="231F20"/>
          <w:w w:val="105"/>
          <w:sz w:val="17"/>
        </w:rPr>
        <w:t>1.4.1 should also be taken into account (see also 1.5.5.1).</w:t>
      </w:r>
    </w:p>
    <w:p>
      <w:pPr>
        <w:pStyle w:val="BodyText"/>
        <w:spacing w:before="77"/>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Specific</w:t>
      </w:r>
      <w:r>
        <w:rPr>
          <w:color w:val="231F20"/>
          <w:spacing w:val="8"/>
          <w:w w:val="105"/>
        </w:rPr>
        <w:t> </w:t>
      </w:r>
      <w:r>
        <w:rPr>
          <w:color w:val="231F20"/>
          <w:w w:val="105"/>
        </w:rPr>
        <w:t>security</w:t>
      </w:r>
      <w:r>
        <w:rPr>
          <w:color w:val="231F20"/>
          <w:spacing w:val="8"/>
          <w:w w:val="105"/>
        </w:rPr>
        <w:t> </w:t>
      </w:r>
      <w:r>
        <w:rPr>
          <w:color w:val="231F20"/>
          <w:w w:val="105"/>
        </w:rPr>
        <w:t>provisions</w:t>
      </w:r>
      <w:r>
        <w:rPr>
          <w:color w:val="231F20"/>
          <w:spacing w:val="8"/>
          <w:w w:val="105"/>
        </w:rPr>
        <w:t> </w:t>
      </w:r>
      <w:r>
        <w:rPr>
          <w:color w:val="231F20"/>
          <w:w w:val="105"/>
        </w:rPr>
        <w:t>for</w:t>
      </w:r>
      <w:r>
        <w:rPr>
          <w:color w:val="231F20"/>
          <w:spacing w:val="8"/>
          <w:w w:val="105"/>
        </w:rPr>
        <w:t> </w:t>
      </w:r>
      <w:r>
        <w:rPr>
          <w:color w:val="231F20"/>
          <w:w w:val="105"/>
        </w:rPr>
        <w:t>high</w:t>
      </w:r>
      <w:r>
        <w:rPr>
          <w:color w:val="231F20"/>
          <w:spacing w:val="8"/>
          <w:w w:val="105"/>
        </w:rPr>
        <w:t> </w:t>
      </w:r>
      <w:r>
        <w:rPr>
          <w:color w:val="231F20"/>
          <w:w w:val="105"/>
        </w:rPr>
        <w:t>consequence</w:t>
      </w:r>
      <w:r>
        <w:rPr>
          <w:color w:val="231F20"/>
          <w:spacing w:val="8"/>
          <w:w w:val="105"/>
        </w:rPr>
        <w:t> </w:t>
      </w:r>
      <w:r>
        <w:rPr>
          <w:color w:val="231F20"/>
          <w:w w:val="105"/>
        </w:rPr>
        <w:t>dangerous</w:t>
      </w:r>
      <w:r>
        <w:rPr>
          <w:color w:val="231F20"/>
          <w:spacing w:val="8"/>
          <w:w w:val="105"/>
        </w:rPr>
        <w:t> </w:t>
      </w:r>
      <w:r>
        <w:rPr>
          <w:color w:val="231F20"/>
          <w:spacing w:val="-2"/>
          <w:w w:val="105"/>
        </w:rPr>
        <w:t>goods</w:t>
      </w:r>
    </w:p>
    <w:p>
      <w:pPr>
        <w:pStyle w:val="ListParagraph"/>
        <w:numPr>
          <w:ilvl w:val="4"/>
          <w:numId w:val="1"/>
        </w:numPr>
        <w:tabs>
          <w:tab w:pos="1925" w:val="left" w:leader="none"/>
          <w:tab w:pos="1930" w:val="left" w:leader="none"/>
        </w:tabs>
        <w:spacing w:line="256" w:lineRule="auto" w:before="132" w:after="0"/>
        <w:ind w:left="1930" w:right="1414" w:hanging="1080"/>
        <w:jc w:val="both"/>
        <w:rPr>
          <w:color w:val="231F20"/>
          <w:sz w:val="17"/>
        </w:rPr>
      </w:pPr>
      <w:r>
        <w:rPr>
          <w:color w:val="231F20"/>
          <w:w w:val="105"/>
          <w:sz w:val="17"/>
        </w:rPr>
        <w:t>The provisions of this section do not apply to ships and to port facilities (see the ISPS Code for ship security plan and for port facility security plan).</w:t>
      </w:r>
    </w:p>
    <w:p>
      <w:pPr>
        <w:pStyle w:val="BodyText"/>
        <w:spacing w:line="256" w:lineRule="auto" w:before="82"/>
        <w:ind w:left="1930" w:right="1414"/>
        <w:jc w:val="both"/>
      </w:pPr>
      <w:r>
        <w:rPr>
          <w:rFonts w:ascii="Arial"/>
          <w:b/>
          <w:color w:val="231F20"/>
          <w:w w:val="105"/>
        </w:rPr>
        <w:t>Note:</w:t>
      </w:r>
      <w:r>
        <w:rPr>
          <w:rFonts w:ascii="Arial"/>
          <w:b/>
          <w:color w:val="231F20"/>
          <w:w w:val="105"/>
        </w:rPr>
        <w:t> </w:t>
      </w:r>
      <w:r>
        <w:rPr>
          <w:color w:val="231F20"/>
          <w:w w:val="105"/>
        </w:rPr>
        <w:t>In</w:t>
      </w:r>
      <w:r>
        <w:rPr>
          <w:color w:val="231F20"/>
          <w:w w:val="105"/>
        </w:rPr>
        <w:t> addition</w:t>
      </w:r>
      <w:r>
        <w:rPr>
          <w:color w:val="231F20"/>
          <w:w w:val="105"/>
        </w:rPr>
        <w:t> to</w:t>
      </w:r>
      <w:r>
        <w:rPr>
          <w:color w:val="231F20"/>
          <w:w w:val="105"/>
        </w:rPr>
        <w:t> the</w:t>
      </w:r>
      <w:r>
        <w:rPr>
          <w:color w:val="231F20"/>
          <w:w w:val="105"/>
        </w:rPr>
        <w:t> security</w:t>
      </w:r>
      <w:r>
        <w:rPr>
          <w:color w:val="231F20"/>
          <w:w w:val="105"/>
        </w:rPr>
        <w:t> provisions</w:t>
      </w:r>
      <w:r>
        <w:rPr>
          <w:color w:val="231F20"/>
          <w:w w:val="105"/>
        </w:rPr>
        <w:t> of</w:t>
      </w:r>
      <w:r>
        <w:rPr>
          <w:color w:val="231F20"/>
          <w:w w:val="105"/>
        </w:rPr>
        <w:t> this</w:t>
      </w:r>
      <w:r>
        <w:rPr>
          <w:color w:val="231F20"/>
          <w:w w:val="105"/>
        </w:rPr>
        <w:t> Code,</w:t>
      </w:r>
      <w:r>
        <w:rPr>
          <w:color w:val="231F20"/>
          <w:w w:val="105"/>
        </w:rPr>
        <w:t> competent</w:t>
      </w:r>
      <w:r>
        <w:rPr>
          <w:color w:val="231F20"/>
          <w:w w:val="105"/>
        </w:rPr>
        <w:t> authorities</w:t>
      </w:r>
      <w:r>
        <w:rPr>
          <w:color w:val="231F20"/>
          <w:w w:val="105"/>
        </w:rPr>
        <w:t> may</w:t>
      </w:r>
      <w:r>
        <w:rPr>
          <w:color w:val="231F20"/>
          <w:w w:val="105"/>
        </w:rPr>
        <w:t> implement</w:t>
      </w:r>
      <w:r>
        <w:rPr>
          <w:color w:val="231F20"/>
          <w:w w:val="105"/>
        </w:rPr>
        <w:t> further security</w:t>
      </w:r>
      <w:r>
        <w:rPr>
          <w:color w:val="231F20"/>
          <w:spacing w:val="-3"/>
          <w:w w:val="105"/>
        </w:rPr>
        <w:t> </w:t>
      </w:r>
      <w:r>
        <w:rPr>
          <w:color w:val="231F20"/>
          <w:w w:val="105"/>
        </w:rPr>
        <w:t>provisions</w:t>
      </w:r>
      <w:r>
        <w:rPr>
          <w:color w:val="231F20"/>
          <w:spacing w:val="-3"/>
          <w:w w:val="105"/>
        </w:rPr>
        <w:t> </w:t>
      </w:r>
      <w:r>
        <w:rPr>
          <w:color w:val="231F20"/>
          <w:w w:val="105"/>
        </w:rPr>
        <w:t>for</w:t>
      </w:r>
      <w:r>
        <w:rPr>
          <w:color w:val="231F20"/>
          <w:spacing w:val="-3"/>
          <w:w w:val="105"/>
        </w:rPr>
        <w:t> </w:t>
      </w:r>
      <w:r>
        <w:rPr>
          <w:color w:val="231F20"/>
          <w:w w:val="105"/>
        </w:rPr>
        <w:t>reasons</w:t>
      </w:r>
      <w:r>
        <w:rPr>
          <w:color w:val="231F20"/>
          <w:spacing w:val="-3"/>
          <w:w w:val="105"/>
        </w:rPr>
        <w:t> </w:t>
      </w:r>
      <w:r>
        <w:rPr>
          <w:color w:val="231F20"/>
          <w:w w:val="105"/>
        </w:rPr>
        <w:t>other</w:t>
      </w:r>
      <w:r>
        <w:rPr>
          <w:color w:val="231F20"/>
          <w:spacing w:val="-3"/>
          <w:w w:val="105"/>
        </w:rPr>
        <w:t> </w:t>
      </w:r>
      <w:r>
        <w:rPr>
          <w:color w:val="231F20"/>
          <w:w w:val="105"/>
        </w:rPr>
        <w:t>than</w:t>
      </w:r>
      <w:r>
        <w:rPr>
          <w:color w:val="231F20"/>
          <w:spacing w:val="-3"/>
          <w:w w:val="105"/>
        </w:rPr>
        <w:t> </w:t>
      </w:r>
      <w:r>
        <w:rPr>
          <w:color w:val="231F20"/>
          <w:w w:val="105"/>
        </w:rPr>
        <w:t>safety</w:t>
      </w:r>
      <w:r>
        <w:rPr>
          <w:color w:val="231F20"/>
          <w:spacing w:val="-3"/>
          <w:w w:val="105"/>
        </w:rPr>
        <w:t> </w:t>
      </w:r>
      <w:r>
        <w:rPr>
          <w:color w:val="231F20"/>
          <w:w w:val="105"/>
        </w:rPr>
        <w:t>of</w:t>
      </w:r>
      <w:r>
        <w:rPr>
          <w:color w:val="231F20"/>
          <w:spacing w:val="-3"/>
          <w:w w:val="105"/>
        </w:rPr>
        <w:t> </w:t>
      </w:r>
      <w:r>
        <w:rPr>
          <w:color w:val="231F20"/>
          <w:w w:val="105"/>
        </w:rPr>
        <w:t>dangerous</w:t>
      </w:r>
      <w:r>
        <w:rPr>
          <w:color w:val="231F20"/>
          <w:spacing w:val="-3"/>
          <w:w w:val="105"/>
        </w:rPr>
        <w:t> </w:t>
      </w:r>
      <w:r>
        <w:rPr>
          <w:color w:val="231F20"/>
          <w:w w:val="105"/>
        </w:rPr>
        <w:t>goods</w:t>
      </w:r>
      <w:r>
        <w:rPr>
          <w:color w:val="231F20"/>
          <w:spacing w:val="-3"/>
          <w:w w:val="105"/>
        </w:rPr>
        <w:t> </w:t>
      </w:r>
      <w:r>
        <w:rPr>
          <w:color w:val="231F20"/>
          <w:w w:val="105"/>
        </w:rPr>
        <w:t>during</w:t>
      </w:r>
      <w:r>
        <w:rPr>
          <w:color w:val="231F20"/>
          <w:spacing w:val="-3"/>
          <w:w w:val="105"/>
        </w:rPr>
        <w:t> </w:t>
      </w:r>
      <w:r>
        <w:rPr>
          <w:color w:val="231F20"/>
          <w:w w:val="105"/>
        </w:rPr>
        <w:t>transport.</w:t>
      </w:r>
      <w:r>
        <w:rPr>
          <w:color w:val="231F20"/>
          <w:spacing w:val="-3"/>
          <w:w w:val="105"/>
        </w:rPr>
        <w:t> </w:t>
      </w:r>
      <w:r>
        <w:rPr>
          <w:color w:val="231F20"/>
          <w:w w:val="105"/>
        </w:rPr>
        <w:t>In</w:t>
      </w:r>
      <w:r>
        <w:rPr>
          <w:color w:val="231F20"/>
          <w:spacing w:val="-3"/>
          <w:w w:val="105"/>
        </w:rPr>
        <w:t> </w:t>
      </w:r>
      <w:r>
        <w:rPr>
          <w:color w:val="231F20"/>
          <w:w w:val="105"/>
        </w:rPr>
        <w:t>order</w:t>
      </w:r>
      <w:r>
        <w:rPr>
          <w:color w:val="231F20"/>
          <w:spacing w:val="-3"/>
          <w:w w:val="105"/>
        </w:rPr>
        <w:t> </w:t>
      </w:r>
      <w:r>
        <w:rPr>
          <w:color w:val="231F20"/>
          <w:w w:val="105"/>
        </w:rPr>
        <w:t>to</w:t>
      </w:r>
      <w:r>
        <w:rPr>
          <w:color w:val="231F20"/>
          <w:spacing w:val="-3"/>
          <w:w w:val="105"/>
        </w:rPr>
        <w:t> </w:t>
      </w:r>
      <w:r>
        <w:rPr>
          <w:color w:val="231F20"/>
          <w:w w:val="105"/>
        </w:rPr>
        <w:t>not</w:t>
      </w:r>
      <w:r>
        <w:rPr>
          <w:color w:val="231F20"/>
          <w:spacing w:val="-3"/>
          <w:w w:val="105"/>
        </w:rPr>
        <w:t> </w:t>
      </w:r>
      <w:r>
        <w:rPr>
          <w:color w:val="231F20"/>
          <w:w w:val="105"/>
        </w:rPr>
        <w:t>impede international and multimodal transport by different explosives security marks, it is recommended that such </w:t>
      </w:r>
      <w:r>
        <w:rPr>
          <w:color w:val="231F20"/>
        </w:rPr>
        <w:t>marks be formatted consistent with an internationally harmonized standard (e.g. European Union Commission </w:t>
      </w:r>
      <w:r>
        <w:rPr>
          <w:color w:val="231F20"/>
          <w:w w:val="105"/>
        </w:rPr>
        <w:t>Directive 2008/43/EC).</w:t>
      </w:r>
    </w:p>
    <w:p>
      <w:pPr>
        <w:pStyle w:val="ListParagraph"/>
        <w:numPr>
          <w:ilvl w:val="4"/>
          <w:numId w:val="1"/>
        </w:numPr>
        <w:tabs>
          <w:tab w:pos="1930" w:val="left" w:leader="none"/>
        </w:tabs>
        <w:spacing w:line="240" w:lineRule="auto" w:before="195" w:after="0"/>
        <w:ind w:left="1930" w:right="0" w:hanging="1080"/>
        <w:jc w:val="left"/>
        <w:rPr>
          <w:color w:val="231F20"/>
          <w:sz w:val="18"/>
        </w:rPr>
      </w:pPr>
      <w:r>
        <w:rPr>
          <w:rFonts w:ascii="Arial"/>
          <w:i/>
          <w:color w:val="231F20"/>
          <w:w w:val="105"/>
          <w:sz w:val="18"/>
        </w:rPr>
        <w:t>Security</w:t>
      </w:r>
      <w:r>
        <w:rPr>
          <w:rFonts w:ascii="Arial"/>
          <w:i/>
          <w:color w:val="231F20"/>
          <w:spacing w:val="13"/>
          <w:w w:val="105"/>
          <w:sz w:val="18"/>
        </w:rPr>
        <w:t> </w:t>
      </w:r>
      <w:r>
        <w:rPr>
          <w:rFonts w:ascii="Arial"/>
          <w:i/>
          <w:color w:val="231F20"/>
          <w:spacing w:val="-2"/>
          <w:w w:val="105"/>
          <w:sz w:val="18"/>
        </w:rPr>
        <w:t>plans</w:t>
      </w:r>
    </w:p>
    <w:p>
      <w:pPr>
        <w:pStyle w:val="ListParagraph"/>
        <w:numPr>
          <w:ilvl w:val="5"/>
          <w:numId w:val="1"/>
        </w:numPr>
        <w:tabs>
          <w:tab w:pos="1930" w:val="left" w:leader="none"/>
        </w:tabs>
        <w:spacing w:line="256" w:lineRule="auto" w:before="132" w:after="0"/>
        <w:ind w:left="1930" w:right="1414" w:hanging="1080"/>
        <w:jc w:val="left"/>
        <w:rPr>
          <w:sz w:val="17"/>
        </w:rPr>
      </w:pPr>
      <w:r>
        <w:rPr>
          <w:color w:val="231F20"/>
          <w:w w:val="105"/>
          <w:sz w:val="17"/>
        </w:rPr>
        <w:t>Consignors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others</w:t>
      </w:r>
      <w:r>
        <w:rPr>
          <w:color w:val="231F20"/>
          <w:spacing w:val="-1"/>
          <w:w w:val="105"/>
          <w:sz w:val="17"/>
        </w:rPr>
        <w:t> </w:t>
      </w:r>
      <w:r>
        <w:rPr>
          <w:color w:val="231F20"/>
          <w:w w:val="105"/>
          <w:sz w:val="17"/>
        </w:rPr>
        <w:t>engaged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of</w:t>
      </w:r>
      <w:r>
        <w:rPr>
          <w:color w:val="231F20"/>
          <w:spacing w:val="-1"/>
          <w:w w:val="105"/>
          <w:sz w:val="17"/>
        </w:rPr>
        <w:t> </w:t>
      </w:r>
      <w:r>
        <w:rPr>
          <w:color w:val="231F20"/>
          <w:w w:val="105"/>
          <w:sz w:val="17"/>
        </w:rPr>
        <w:t>high</w:t>
      </w:r>
      <w:r>
        <w:rPr>
          <w:color w:val="231F20"/>
          <w:spacing w:val="-1"/>
          <w:w w:val="105"/>
          <w:sz w:val="17"/>
        </w:rPr>
        <w:t> </w:t>
      </w:r>
      <w:r>
        <w:rPr>
          <w:color w:val="231F20"/>
          <w:w w:val="105"/>
          <w:sz w:val="17"/>
        </w:rPr>
        <w:t>consequence</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(see</w:t>
      </w:r>
      <w:r>
        <w:rPr>
          <w:color w:val="231F20"/>
          <w:spacing w:val="-1"/>
          <w:w w:val="105"/>
          <w:sz w:val="17"/>
        </w:rPr>
        <w:t> </w:t>
      </w:r>
      <w:r>
        <w:rPr>
          <w:color w:val="231F20"/>
          <w:w w:val="105"/>
          <w:sz w:val="17"/>
        </w:rPr>
        <w:t>1.4.3.1)</w:t>
      </w:r>
      <w:r>
        <w:rPr>
          <w:color w:val="231F20"/>
          <w:spacing w:val="-1"/>
          <w:w w:val="105"/>
          <w:sz w:val="17"/>
        </w:rPr>
        <w:t> </w:t>
      </w:r>
      <w:r>
        <w:rPr>
          <w:color w:val="231F20"/>
          <w:w w:val="105"/>
          <w:sz w:val="17"/>
        </w:rPr>
        <w:t>should adopt,</w:t>
      </w:r>
      <w:r>
        <w:rPr>
          <w:color w:val="231F20"/>
          <w:spacing w:val="-11"/>
          <w:w w:val="105"/>
          <w:sz w:val="17"/>
        </w:rPr>
        <w:t> </w:t>
      </w:r>
      <w:r>
        <w:rPr>
          <w:color w:val="231F20"/>
          <w:w w:val="105"/>
          <w:sz w:val="17"/>
        </w:rPr>
        <w:t>implement</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comply</w:t>
      </w:r>
      <w:r>
        <w:rPr>
          <w:color w:val="231F20"/>
          <w:spacing w:val="-11"/>
          <w:w w:val="105"/>
          <w:sz w:val="17"/>
        </w:rPr>
        <w:t> </w:t>
      </w:r>
      <w:r>
        <w:rPr>
          <w:color w:val="231F20"/>
          <w:w w:val="105"/>
          <w:sz w:val="17"/>
        </w:rPr>
        <w:t>with</w:t>
      </w:r>
      <w:r>
        <w:rPr>
          <w:color w:val="231F20"/>
          <w:spacing w:val="-11"/>
          <w:w w:val="105"/>
          <w:sz w:val="17"/>
        </w:rPr>
        <w:t> </w:t>
      </w:r>
      <w:r>
        <w:rPr>
          <w:color w:val="231F20"/>
          <w:w w:val="105"/>
          <w:sz w:val="17"/>
        </w:rPr>
        <w:t>a</w:t>
      </w:r>
      <w:r>
        <w:rPr>
          <w:color w:val="231F20"/>
          <w:spacing w:val="-11"/>
          <w:w w:val="105"/>
          <w:sz w:val="17"/>
        </w:rPr>
        <w:t> </w:t>
      </w:r>
      <w:r>
        <w:rPr>
          <w:color w:val="231F20"/>
          <w:w w:val="105"/>
          <w:sz w:val="17"/>
        </w:rPr>
        <w:t>security</w:t>
      </w:r>
      <w:r>
        <w:rPr>
          <w:color w:val="231F20"/>
          <w:spacing w:val="-11"/>
          <w:w w:val="105"/>
          <w:sz w:val="17"/>
        </w:rPr>
        <w:t> </w:t>
      </w:r>
      <w:r>
        <w:rPr>
          <w:color w:val="231F20"/>
          <w:w w:val="105"/>
          <w:sz w:val="17"/>
        </w:rPr>
        <w:t>plan</w:t>
      </w:r>
      <w:r>
        <w:rPr>
          <w:color w:val="231F20"/>
          <w:spacing w:val="-11"/>
          <w:w w:val="105"/>
          <w:sz w:val="17"/>
        </w:rPr>
        <w:t> </w:t>
      </w:r>
      <w:r>
        <w:rPr>
          <w:color w:val="231F20"/>
          <w:w w:val="105"/>
          <w:sz w:val="17"/>
        </w:rPr>
        <w:t>that</w:t>
      </w:r>
      <w:r>
        <w:rPr>
          <w:color w:val="231F20"/>
          <w:spacing w:val="-11"/>
          <w:w w:val="105"/>
          <w:sz w:val="17"/>
        </w:rPr>
        <w:t> </w:t>
      </w:r>
      <w:r>
        <w:rPr>
          <w:color w:val="231F20"/>
          <w:w w:val="105"/>
          <w:sz w:val="17"/>
        </w:rPr>
        <w:t>addresses</w:t>
      </w:r>
      <w:r>
        <w:rPr>
          <w:color w:val="231F20"/>
          <w:spacing w:val="-11"/>
          <w:w w:val="105"/>
          <w:sz w:val="17"/>
        </w:rPr>
        <w:t> </w:t>
      </w:r>
      <w:r>
        <w:rPr>
          <w:color w:val="231F20"/>
          <w:w w:val="105"/>
          <w:sz w:val="17"/>
        </w:rPr>
        <w:t>at</w:t>
      </w:r>
      <w:r>
        <w:rPr>
          <w:color w:val="231F20"/>
          <w:spacing w:val="-11"/>
          <w:w w:val="105"/>
          <w:sz w:val="17"/>
        </w:rPr>
        <w:t> </w:t>
      </w:r>
      <w:r>
        <w:rPr>
          <w:color w:val="231F20"/>
          <w:w w:val="105"/>
          <w:sz w:val="17"/>
        </w:rPr>
        <w:t>least</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elements</w:t>
      </w:r>
      <w:r>
        <w:rPr>
          <w:color w:val="231F20"/>
          <w:spacing w:val="-11"/>
          <w:w w:val="105"/>
          <w:sz w:val="17"/>
        </w:rPr>
        <w:t> </w:t>
      </w:r>
      <w:r>
        <w:rPr>
          <w:color w:val="231F20"/>
          <w:w w:val="105"/>
          <w:sz w:val="17"/>
        </w:rPr>
        <w:t>specified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1.4.3.2.2.2.</w:t>
      </w:r>
    </w:p>
    <w:p>
      <w:pPr>
        <w:pStyle w:val="ListParagraph"/>
        <w:numPr>
          <w:ilvl w:val="5"/>
          <w:numId w:val="1"/>
        </w:numPr>
        <w:tabs>
          <w:tab w:pos="1924" w:val="left" w:leader="none"/>
        </w:tabs>
        <w:spacing w:line="240" w:lineRule="auto" w:before="122" w:after="0"/>
        <w:ind w:left="1924" w:right="0" w:hanging="1074"/>
        <w:jc w:val="both"/>
        <w:rPr>
          <w:sz w:val="17"/>
        </w:rPr>
      </w:pPr>
      <w:r>
        <w:rPr>
          <w:color w:val="231F20"/>
          <w:w w:val="105"/>
          <w:sz w:val="17"/>
        </w:rPr>
        <w:t>The</w:t>
      </w:r>
      <w:r>
        <w:rPr>
          <w:color w:val="231F20"/>
          <w:spacing w:val="-1"/>
          <w:w w:val="105"/>
          <w:sz w:val="17"/>
        </w:rPr>
        <w:t> </w:t>
      </w:r>
      <w:r>
        <w:rPr>
          <w:color w:val="231F20"/>
          <w:w w:val="105"/>
          <w:sz w:val="17"/>
        </w:rPr>
        <w:t>security</w:t>
      </w:r>
      <w:r>
        <w:rPr>
          <w:color w:val="231F20"/>
          <w:spacing w:val="-1"/>
          <w:w w:val="105"/>
          <w:sz w:val="17"/>
        </w:rPr>
        <w:t> </w:t>
      </w:r>
      <w:r>
        <w:rPr>
          <w:color w:val="231F20"/>
          <w:w w:val="105"/>
          <w:sz w:val="17"/>
        </w:rPr>
        <w:t>plan should</w:t>
      </w:r>
      <w:r>
        <w:rPr>
          <w:color w:val="231F20"/>
          <w:spacing w:val="-1"/>
          <w:w w:val="105"/>
          <w:sz w:val="17"/>
        </w:rPr>
        <w:t> </w:t>
      </w:r>
      <w:r>
        <w:rPr>
          <w:color w:val="231F20"/>
          <w:w w:val="105"/>
          <w:sz w:val="17"/>
        </w:rPr>
        <w:t>comprise at</w:t>
      </w:r>
      <w:r>
        <w:rPr>
          <w:color w:val="231F20"/>
          <w:spacing w:val="-1"/>
          <w:w w:val="105"/>
          <w:sz w:val="17"/>
        </w:rPr>
        <w:t> </w:t>
      </w:r>
      <w:r>
        <w:rPr>
          <w:color w:val="231F20"/>
          <w:w w:val="105"/>
          <w:sz w:val="17"/>
        </w:rPr>
        <w:t>least the</w:t>
      </w:r>
      <w:r>
        <w:rPr>
          <w:color w:val="231F20"/>
          <w:spacing w:val="-1"/>
          <w:w w:val="105"/>
          <w:sz w:val="17"/>
        </w:rPr>
        <w:t> </w:t>
      </w:r>
      <w:r>
        <w:rPr>
          <w:color w:val="231F20"/>
          <w:w w:val="105"/>
          <w:sz w:val="17"/>
        </w:rPr>
        <w:t>following </w:t>
      </w:r>
      <w:r>
        <w:rPr>
          <w:color w:val="231F20"/>
          <w:spacing w:val="-2"/>
          <w:w w:val="105"/>
          <w:sz w:val="17"/>
        </w:rPr>
        <w:t>elements:</w:t>
      </w:r>
    </w:p>
    <w:p>
      <w:pPr>
        <w:pStyle w:val="ListParagraph"/>
        <w:numPr>
          <w:ilvl w:val="6"/>
          <w:numId w:val="1"/>
        </w:numPr>
        <w:tabs>
          <w:tab w:pos="2288" w:val="left" w:leader="none"/>
          <w:tab w:pos="2290" w:val="left" w:leader="none"/>
        </w:tabs>
        <w:spacing w:line="256" w:lineRule="auto" w:before="74" w:after="0"/>
        <w:ind w:left="2290" w:right="1414" w:hanging="361"/>
        <w:jc w:val="both"/>
        <w:rPr>
          <w:sz w:val="17"/>
        </w:rPr>
      </w:pPr>
      <w:r>
        <w:rPr>
          <w:color w:val="231F20"/>
          <w:w w:val="105"/>
          <w:sz w:val="17"/>
        </w:rPr>
        <w:t>specific allocation of responsibilities for security to competent and qualified persons with appropriate authority to carry out their responsibilities;</w:t>
      </w:r>
    </w:p>
    <w:p>
      <w:pPr>
        <w:pStyle w:val="ListParagraph"/>
        <w:numPr>
          <w:ilvl w:val="6"/>
          <w:numId w:val="1"/>
        </w:numPr>
        <w:tabs>
          <w:tab w:pos="2288" w:val="left" w:leader="none"/>
        </w:tabs>
        <w:spacing w:line="240" w:lineRule="auto" w:before="62" w:after="0"/>
        <w:ind w:left="2288" w:right="0" w:hanging="358"/>
        <w:jc w:val="both"/>
        <w:rPr>
          <w:sz w:val="17"/>
        </w:rPr>
      </w:pPr>
      <w:r>
        <w:rPr>
          <w:color w:val="231F20"/>
          <w:w w:val="105"/>
          <w:sz w:val="17"/>
        </w:rPr>
        <w:t>records</w:t>
      </w:r>
      <w:r>
        <w:rPr>
          <w:color w:val="231F20"/>
          <w:spacing w:val="2"/>
          <w:w w:val="105"/>
          <w:sz w:val="17"/>
        </w:rPr>
        <w:t> </w:t>
      </w:r>
      <w:r>
        <w:rPr>
          <w:color w:val="231F20"/>
          <w:w w:val="105"/>
          <w:sz w:val="17"/>
        </w:rPr>
        <w:t>of</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or</w:t>
      </w:r>
      <w:r>
        <w:rPr>
          <w:color w:val="231F20"/>
          <w:spacing w:val="3"/>
          <w:w w:val="105"/>
          <w:sz w:val="17"/>
        </w:rPr>
        <w:t> </w:t>
      </w:r>
      <w:r>
        <w:rPr>
          <w:color w:val="231F20"/>
          <w:w w:val="105"/>
          <w:sz w:val="17"/>
        </w:rPr>
        <w:t>types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spacing w:val="-2"/>
          <w:w w:val="105"/>
          <w:sz w:val="17"/>
        </w:rPr>
        <w:t>transported;</w:t>
      </w:r>
    </w:p>
    <w:p>
      <w:pPr>
        <w:pStyle w:val="ListParagraph"/>
        <w:numPr>
          <w:ilvl w:val="6"/>
          <w:numId w:val="1"/>
        </w:numPr>
        <w:tabs>
          <w:tab w:pos="2288" w:val="left" w:leader="none"/>
          <w:tab w:pos="2290" w:val="left" w:leader="none"/>
        </w:tabs>
        <w:spacing w:line="256" w:lineRule="auto" w:before="75" w:after="0"/>
        <w:ind w:left="2290" w:right="1415" w:hanging="360"/>
        <w:jc w:val="both"/>
        <w:rPr>
          <w:sz w:val="17"/>
        </w:rPr>
      </w:pPr>
      <w:r>
        <w:rPr>
          <w:color w:val="231F20"/>
          <w:w w:val="105"/>
          <w:sz w:val="17"/>
        </w:rPr>
        <w:t>review of current operations and assessment of vulnerabilities, including intermodal transfer, temporary transit storage, handling and distribution, as appropriate;</w:t>
      </w:r>
    </w:p>
    <w:p>
      <w:pPr>
        <w:pStyle w:val="ListParagraph"/>
        <w:numPr>
          <w:ilvl w:val="6"/>
          <w:numId w:val="1"/>
        </w:numPr>
        <w:tabs>
          <w:tab w:pos="2290" w:val="left" w:leader="none"/>
        </w:tabs>
        <w:spacing w:line="256" w:lineRule="auto" w:before="61" w:after="0"/>
        <w:ind w:left="2290" w:right="1414" w:hanging="360"/>
        <w:jc w:val="both"/>
        <w:rPr>
          <w:sz w:val="17"/>
        </w:rPr>
      </w:pPr>
      <w:r>
        <w:rPr>
          <w:color w:val="231F20"/>
          <w:w w:val="105"/>
          <w:sz w:val="17"/>
        </w:rPr>
        <w:t>clear</w:t>
      </w:r>
      <w:r>
        <w:rPr>
          <w:color w:val="231F20"/>
          <w:spacing w:val="-5"/>
          <w:w w:val="105"/>
          <w:sz w:val="17"/>
        </w:rPr>
        <w:t> </w:t>
      </w:r>
      <w:r>
        <w:rPr>
          <w:color w:val="231F20"/>
          <w:w w:val="105"/>
          <w:sz w:val="17"/>
        </w:rPr>
        <w:t>statements</w:t>
      </w:r>
      <w:r>
        <w:rPr>
          <w:color w:val="231F20"/>
          <w:spacing w:val="-5"/>
          <w:w w:val="105"/>
          <w:sz w:val="17"/>
        </w:rPr>
        <w:t> </w:t>
      </w:r>
      <w:r>
        <w:rPr>
          <w:color w:val="231F20"/>
          <w:w w:val="105"/>
          <w:sz w:val="17"/>
        </w:rPr>
        <w:t>of</w:t>
      </w:r>
      <w:r>
        <w:rPr>
          <w:color w:val="231F20"/>
          <w:spacing w:val="-5"/>
          <w:w w:val="105"/>
          <w:sz w:val="17"/>
        </w:rPr>
        <w:t> </w:t>
      </w:r>
      <w:r>
        <w:rPr>
          <w:color w:val="231F20"/>
          <w:w w:val="105"/>
          <w:sz w:val="17"/>
        </w:rPr>
        <w:t>measures,</w:t>
      </w:r>
      <w:r>
        <w:rPr>
          <w:color w:val="231F20"/>
          <w:spacing w:val="-5"/>
          <w:w w:val="105"/>
          <w:sz w:val="17"/>
        </w:rPr>
        <w:t> </w:t>
      </w:r>
      <w:r>
        <w:rPr>
          <w:color w:val="231F20"/>
          <w:w w:val="105"/>
          <w:sz w:val="17"/>
        </w:rPr>
        <w:t>including</w:t>
      </w:r>
      <w:r>
        <w:rPr>
          <w:color w:val="231F20"/>
          <w:spacing w:val="-5"/>
          <w:w w:val="105"/>
          <w:sz w:val="17"/>
        </w:rPr>
        <w:t> </w:t>
      </w:r>
      <w:r>
        <w:rPr>
          <w:color w:val="231F20"/>
          <w:w w:val="105"/>
          <w:sz w:val="17"/>
        </w:rPr>
        <w:t>training,</w:t>
      </w:r>
      <w:r>
        <w:rPr>
          <w:color w:val="231F20"/>
          <w:spacing w:val="-5"/>
          <w:w w:val="105"/>
          <w:sz w:val="17"/>
        </w:rPr>
        <w:t> </w:t>
      </w:r>
      <w:r>
        <w:rPr>
          <w:color w:val="231F20"/>
          <w:w w:val="105"/>
          <w:sz w:val="17"/>
        </w:rPr>
        <w:t>policies</w:t>
      </w:r>
      <w:r>
        <w:rPr>
          <w:color w:val="231F20"/>
          <w:spacing w:val="-5"/>
          <w:w w:val="105"/>
          <w:sz w:val="17"/>
        </w:rPr>
        <w:t> </w:t>
      </w:r>
      <w:r>
        <w:rPr>
          <w:color w:val="231F20"/>
          <w:w w:val="105"/>
          <w:sz w:val="17"/>
        </w:rPr>
        <w:t>(including</w:t>
      </w:r>
      <w:r>
        <w:rPr>
          <w:color w:val="231F20"/>
          <w:spacing w:val="-5"/>
          <w:w w:val="105"/>
          <w:sz w:val="17"/>
        </w:rPr>
        <w:t> </w:t>
      </w:r>
      <w:r>
        <w:rPr>
          <w:color w:val="231F20"/>
          <w:w w:val="105"/>
          <w:sz w:val="17"/>
        </w:rPr>
        <w:t>response</w:t>
      </w:r>
      <w:r>
        <w:rPr>
          <w:color w:val="231F20"/>
          <w:spacing w:val="-5"/>
          <w:w w:val="105"/>
          <w:sz w:val="17"/>
        </w:rPr>
        <w:t> </w:t>
      </w:r>
      <w:r>
        <w:rPr>
          <w:color w:val="231F20"/>
          <w:w w:val="105"/>
          <w:sz w:val="17"/>
        </w:rPr>
        <w:t>to</w:t>
      </w:r>
      <w:r>
        <w:rPr>
          <w:color w:val="231F20"/>
          <w:spacing w:val="-5"/>
          <w:w w:val="105"/>
          <w:sz w:val="17"/>
        </w:rPr>
        <w:t> </w:t>
      </w:r>
      <w:r>
        <w:rPr>
          <w:color w:val="231F20"/>
          <w:w w:val="105"/>
          <w:sz w:val="17"/>
        </w:rPr>
        <w:t>higher</w:t>
      </w:r>
      <w:r>
        <w:rPr>
          <w:color w:val="231F20"/>
          <w:spacing w:val="-5"/>
          <w:w w:val="105"/>
          <w:sz w:val="17"/>
        </w:rPr>
        <w:t> </w:t>
      </w:r>
      <w:r>
        <w:rPr>
          <w:color w:val="231F20"/>
          <w:w w:val="105"/>
          <w:sz w:val="17"/>
        </w:rPr>
        <w:t>threat</w:t>
      </w:r>
      <w:r>
        <w:rPr>
          <w:color w:val="231F20"/>
          <w:spacing w:val="-5"/>
          <w:w w:val="105"/>
          <w:sz w:val="17"/>
        </w:rPr>
        <w:t> </w:t>
      </w:r>
      <w:r>
        <w:rPr>
          <w:color w:val="231F20"/>
          <w:w w:val="105"/>
          <w:sz w:val="17"/>
        </w:rPr>
        <w:t>conditions, new</w:t>
      </w:r>
      <w:r>
        <w:rPr>
          <w:color w:val="231F20"/>
          <w:w w:val="105"/>
          <w:sz w:val="17"/>
        </w:rPr>
        <w:t> employee/employment</w:t>
      </w:r>
      <w:r>
        <w:rPr>
          <w:color w:val="231F20"/>
          <w:w w:val="105"/>
          <w:sz w:val="17"/>
        </w:rPr>
        <w:t> verification,</w:t>
      </w:r>
      <w:r>
        <w:rPr>
          <w:color w:val="231F20"/>
          <w:w w:val="105"/>
          <w:sz w:val="17"/>
        </w:rPr>
        <w:t> etc.),</w:t>
      </w:r>
      <w:r>
        <w:rPr>
          <w:color w:val="231F20"/>
          <w:w w:val="105"/>
          <w:sz w:val="17"/>
        </w:rPr>
        <w:t> operating</w:t>
      </w:r>
      <w:r>
        <w:rPr>
          <w:color w:val="231F20"/>
          <w:w w:val="105"/>
          <w:sz w:val="17"/>
        </w:rPr>
        <w:t> practices</w:t>
      </w:r>
      <w:r>
        <w:rPr>
          <w:color w:val="231F20"/>
          <w:w w:val="105"/>
          <w:sz w:val="17"/>
        </w:rPr>
        <w:t> (e.g.</w:t>
      </w:r>
      <w:r>
        <w:rPr>
          <w:color w:val="231F20"/>
          <w:w w:val="105"/>
          <w:sz w:val="17"/>
        </w:rPr>
        <w:t> choice/use</w:t>
      </w:r>
      <w:r>
        <w:rPr>
          <w:color w:val="231F20"/>
          <w:w w:val="105"/>
          <w:sz w:val="17"/>
        </w:rPr>
        <w:t> of</w:t>
      </w:r>
      <w:r>
        <w:rPr>
          <w:color w:val="231F20"/>
          <w:w w:val="105"/>
          <w:sz w:val="17"/>
        </w:rPr>
        <w:t> routes</w:t>
      </w:r>
      <w:r>
        <w:rPr>
          <w:color w:val="231F20"/>
          <w:w w:val="105"/>
          <w:sz w:val="17"/>
        </w:rPr>
        <w:t> where known, access to dangerous goods in temporary storage, proximity to vulnerable infrastructure, etc.), equipment and resources that are to be used to reduce security risks;</w:t>
      </w:r>
    </w:p>
    <w:p>
      <w:pPr>
        <w:pStyle w:val="ListParagraph"/>
        <w:numPr>
          <w:ilvl w:val="6"/>
          <w:numId w:val="1"/>
        </w:numPr>
        <w:tabs>
          <w:tab w:pos="2287" w:val="left" w:leader="none"/>
          <w:tab w:pos="2290" w:val="left" w:leader="none"/>
        </w:tabs>
        <w:spacing w:line="256" w:lineRule="auto" w:before="64" w:after="0"/>
        <w:ind w:left="2290" w:right="1415" w:hanging="361"/>
        <w:jc w:val="both"/>
        <w:rPr>
          <w:sz w:val="17"/>
        </w:rPr>
      </w:pPr>
      <w:r>
        <w:rPr>
          <w:color w:val="231F20"/>
          <w:w w:val="105"/>
          <w:sz w:val="17"/>
        </w:rPr>
        <w:t>effective and up-to-date procedures for reporting and dealing with security threats, breaches of security or security-related incidents;</w:t>
      </w:r>
    </w:p>
    <w:p>
      <w:pPr>
        <w:pStyle w:val="ListParagraph"/>
        <w:numPr>
          <w:ilvl w:val="6"/>
          <w:numId w:val="1"/>
        </w:numPr>
        <w:tabs>
          <w:tab w:pos="2290" w:val="left" w:leader="none"/>
        </w:tabs>
        <w:spacing w:line="256" w:lineRule="auto" w:before="61" w:after="0"/>
        <w:ind w:left="2290" w:right="1415" w:hanging="360"/>
        <w:jc w:val="both"/>
        <w:rPr>
          <w:sz w:val="17"/>
        </w:rPr>
      </w:pPr>
      <w:r>
        <w:rPr>
          <w:color w:val="231F20"/>
          <w:w w:val="105"/>
          <w:sz w:val="17"/>
        </w:rPr>
        <w:t>procedures</w:t>
      </w:r>
      <w:r>
        <w:rPr>
          <w:color w:val="231F20"/>
          <w:w w:val="105"/>
          <w:sz w:val="17"/>
        </w:rPr>
        <w:t> for</w:t>
      </w:r>
      <w:r>
        <w:rPr>
          <w:color w:val="231F20"/>
          <w:w w:val="105"/>
          <w:sz w:val="17"/>
        </w:rPr>
        <w:t> the</w:t>
      </w:r>
      <w:r>
        <w:rPr>
          <w:color w:val="231F20"/>
          <w:w w:val="105"/>
          <w:sz w:val="17"/>
        </w:rPr>
        <w:t> evaluation</w:t>
      </w:r>
      <w:r>
        <w:rPr>
          <w:color w:val="231F20"/>
          <w:w w:val="105"/>
          <w:sz w:val="17"/>
        </w:rPr>
        <w:t> and</w:t>
      </w:r>
      <w:r>
        <w:rPr>
          <w:color w:val="231F20"/>
          <w:w w:val="105"/>
          <w:sz w:val="17"/>
        </w:rPr>
        <w:t> testing</w:t>
      </w:r>
      <w:r>
        <w:rPr>
          <w:color w:val="231F20"/>
          <w:w w:val="105"/>
          <w:sz w:val="17"/>
        </w:rPr>
        <w:t> of</w:t>
      </w:r>
      <w:r>
        <w:rPr>
          <w:color w:val="231F20"/>
          <w:w w:val="105"/>
          <w:sz w:val="17"/>
        </w:rPr>
        <w:t> security</w:t>
      </w:r>
      <w:r>
        <w:rPr>
          <w:color w:val="231F20"/>
          <w:w w:val="105"/>
          <w:sz w:val="17"/>
        </w:rPr>
        <w:t> plans</w:t>
      </w:r>
      <w:r>
        <w:rPr>
          <w:color w:val="231F20"/>
          <w:w w:val="105"/>
          <w:sz w:val="17"/>
        </w:rPr>
        <w:t> and</w:t>
      </w:r>
      <w:r>
        <w:rPr>
          <w:color w:val="231F20"/>
          <w:w w:val="105"/>
          <w:sz w:val="17"/>
        </w:rPr>
        <w:t> procedures</w:t>
      </w:r>
      <w:r>
        <w:rPr>
          <w:color w:val="231F20"/>
          <w:w w:val="105"/>
          <w:sz w:val="17"/>
        </w:rPr>
        <w:t> for</w:t>
      </w:r>
      <w:r>
        <w:rPr>
          <w:color w:val="231F20"/>
          <w:w w:val="105"/>
          <w:sz w:val="17"/>
        </w:rPr>
        <w:t> periodic</w:t>
      </w:r>
      <w:r>
        <w:rPr>
          <w:color w:val="231F20"/>
          <w:w w:val="105"/>
          <w:sz w:val="17"/>
        </w:rPr>
        <w:t> review</w:t>
      </w:r>
      <w:r>
        <w:rPr>
          <w:color w:val="231F20"/>
          <w:w w:val="105"/>
          <w:sz w:val="17"/>
        </w:rPr>
        <w:t> and update of the plans;</w:t>
      </w:r>
    </w:p>
    <w:p>
      <w:pPr>
        <w:pStyle w:val="ListParagraph"/>
        <w:numPr>
          <w:ilvl w:val="6"/>
          <w:numId w:val="1"/>
        </w:numPr>
        <w:tabs>
          <w:tab w:pos="2289" w:val="left" w:leader="none"/>
        </w:tabs>
        <w:spacing w:line="240" w:lineRule="auto" w:before="62" w:after="0"/>
        <w:ind w:left="2289" w:right="0" w:hanging="359"/>
        <w:jc w:val="both"/>
        <w:rPr>
          <w:sz w:val="17"/>
        </w:rPr>
      </w:pPr>
      <w:r>
        <w:rPr>
          <w:color w:val="231F20"/>
          <w:w w:val="105"/>
          <w:sz w:val="17"/>
        </w:rPr>
        <w:t>measures</w:t>
      </w:r>
      <w:r>
        <w:rPr>
          <w:color w:val="231F20"/>
          <w:spacing w:val="-2"/>
          <w:w w:val="105"/>
          <w:sz w:val="17"/>
        </w:rPr>
        <w:t> </w:t>
      </w:r>
      <w:r>
        <w:rPr>
          <w:color w:val="231F20"/>
          <w:w w:val="105"/>
          <w:sz w:val="17"/>
        </w:rPr>
        <w:t>to</w:t>
      </w:r>
      <w:r>
        <w:rPr>
          <w:color w:val="231F20"/>
          <w:spacing w:val="-1"/>
          <w:w w:val="105"/>
          <w:sz w:val="17"/>
        </w:rPr>
        <w:t> </w:t>
      </w:r>
      <w:r>
        <w:rPr>
          <w:color w:val="231F20"/>
          <w:w w:val="105"/>
          <w:sz w:val="17"/>
        </w:rPr>
        <w:t>ensure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security</w:t>
      </w:r>
      <w:r>
        <w:rPr>
          <w:color w:val="231F20"/>
          <w:spacing w:val="-1"/>
          <w:w w:val="105"/>
          <w:sz w:val="17"/>
        </w:rPr>
        <w:t> </w:t>
      </w:r>
      <w:r>
        <w:rPr>
          <w:color w:val="231F20"/>
          <w:w w:val="105"/>
          <w:sz w:val="17"/>
        </w:rPr>
        <w:t>of</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information</w:t>
      </w:r>
      <w:r>
        <w:rPr>
          <w:color w:val="231F20"/>
          <w:spacing w:val="-1"/>
          <w:w w:val="105"/>
          <w:sz w:val="17"/>
        </w:rPr>
        <w:t> </w:t>
      </w:r>
      <w:r>
        <w:rPr>
          <w:color w:val="231F20"/>
          <w:w w:val="105"/>
          <w:sz w:val="17"/>
        </w:rPr>
        <w:t>contained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plan;</w:t>
      </w:r>
      <w:r>
        <w:rPr>
          <w:color w:val="231F20"/>
          <w:spacing w:val="-1"/>
          <w:w w:val="105"/>
          <w:sz w:val="17"/>
        </w:rPr>
        <w:t> </w:t>
      </w:r>
      <w:r>
        <w:rPr>
          <w:color w:val="231F20"/>
          <w:spacing w:val="-5"/>
          <w:w w:val="105"/>
          <w:sz w:val="17"/>
        </w:rPr>
        <w:t>and</w:t>
      </w:r>
    </w:p>
    <w:p>
      <w:pPr>
        <w:pStyle w:val="ListParagraph"/>
        <w:numPr>
          <w:ilvl w:val="6"/>
          <w:numId w:val="1"/>
        </w:numPr>
        <w:tabs>
          <w:tab w:pos="2288" w:val="left" w:leader="none"/>
          <w:tab w:pos="2290" w:val="left" w:leader="none"/>
        </w:tabs>
        <w:spacing w:line="256" w:lineRule="auto" w:before="75" w:after="0"/>
        <w:ind w:left="2290" w:right="1414" w:hanging="360"/>
        <w:jc w:val="both"/>
        <w:rPr>
          <w:sz w:val="17"/>
        </w:rPr>
      </w:pPr>
      <w:r>
        <w:rPr>
          <w:color w:val="231F20"/>
          <w:w w:val="105"/>
          <w:sz w:val="17"/>
        </w:rPr>
        <w:t>measures</w:t>
      </w:r>
      <w:r>
        <w:rPr>
          <w:color w:val="231F20"/>
          <w:w w:val="105"/>
          <w:sz w:val="17"/>
        </w:rPr>
        <w:t> to</w:t>
      </w:r>
      <w:r>
        <w:rPr>
          <w:color w:val="231F20"/>
          <w:w w:val="105"/>
          <w:sz w:val="17"/>
        </w:rPr>
        <w:t> ensure</w:t>
      </w:r>
      <w:r>
        <w:rPr>
          <w:color w:val="231F20"/>
          <w:w w:val="105"/>
          <w:sz w:val="17"/>
        </w:rPr>
        <w:t> that</w:t>
      </w:r>
      <w:r>
        <w:rPr>
          <w:color w:val="231F20"/>
          <w:w w:val="105"/>
          <w:sz w:val="17"/>
        </w:rPr>
        <w:t> the</w:t>
      </w:r>
      <w:r>
        <w:rPr>
          <w:color w:val="231F20"/>
          <w:w w:val="105"/>
          <w:sz w:val="17"/>
        </w:rPr>
        <w:t> distribution</w:t>
      </w:r>
      <w:r>
        <w:rPr>
          <w:color w:val="231F20"/>
          <w:w w:val="105"/>
          <w:sz w:val="17"/>
        </w:rPr>
        <w:t> of</w:t>
      </w:r>
      <w:r>
        <w:rPr>
          <w:color w:val="231F20"/>
          <w:w w:val="105"/>
          <w:sz w:val="17"/>
        </w:rPr>
        <w:t> transport</w:t>
      </w:r>
      <w:r>
        <w:rPr>
          <w:color w:val="231F20"/>
          <w:w w:val="105"/>
          <w:sz w:val="17"/>
        </w:rPr>
        <w:t> information</w:t>
      </w:r>
      <w:r>
        <w:rPr>
          <w:color w:val="231F20"/>
          <w:w w:val="105"/>
          <w:sz w:val="17"/>
        </w:rPr>
        <w:t> is</w:t>
      </w:r>
      <w:r>
        <w:rPr>
          <w:color w:val="231F20"/>
          <w:w w:val="105"/>
          <w:sz w:val="17"/>
        </w:rPr>
        <w:t> limited</w:t>
      </w:r>
      <w:r>
        <w:rPr>
          <w:color w:val="231F20"/>
          <w:w w:val="105"/>
          <w:sz w:val="17"/>
        </w:rPr>
        <w:t> as</w:t>
      </w:r>
      <w:r>
        <w:rPr>
          <w:color w:val="231F20"/>
          <w:w w:val="105"/>
          <w:sz w:val="17"/>
        </w:rPr>
        <w:t> far</w:t>
      </w:r>
      <w:r>
        <w:rPr>
          <w:color w:val="231F20"/>
          <w:w w:val="105"/>
          <w:sz w:val="17"/>
        </w:rPr>
        <w:t> as</w:t>
      </w:r>
      <w:r>
        <w:rPr>
          <w:color w:val="231F20"/>
          <w:w w:val="105"/>
          <w:sz w:val="17"/>
        </w:rPr>
        <w:t> possible.</w:t>
      </w:r>
      <w:r>
        <w:rPr>
          <w:color w:val="231F20"/>
          <w:w w:val="105"/>
          <w:sz w:val="17"/>
        </w:rPr>
        <w:t> (Such measures shall</w:t>
      </w:r>
      <w:r>
        <w:rPr>
          <w:color w:val="231F20"/>
          <w:spacing w:val="-1"/>
          <w:w w:val="105"/>
          <w:sz w:val="17"/>
        </w:rPr>
        <w:t> </w:t>
      </w:r>
      <w:r>
        <w:rPr>
          <w:color w:val="231F20"/>
          <w:w w:val="105"/>
          <w:sz w:val="17"/>
        </w:rPr>
        <w:t>not preclude</w:t>
      </w:r>
      <w:r>
        <w:rPr>
          <w:color w:val="231F20"/>
          <w:spacing w:val="-1"/>
          <w:w w:val="105"/>
          <w:sz w:val="17"/>
        </w:rPr>
        <w:t> </w:t>
      </w:r>
      <w:r>
        <w:rPr>
          <w:color w:val="231F20"/>
          <w:w w:val="105"/>
          <w:sz w:val="17"/>
        </w:rPr>
        <w:t>provision of</w:t>
      </w:r>
      <w:r>
        <w:rPr>
          <w:color w:val="231F20"/>
          <w:spacing w:val="-1"/>
          <w:w w:val="105"/>
          <w:sz w:val="17"/>
        </w:rPr>
        <w:t> </w:t>
      </w:r>
      <w:r>
        <w:rPr>
          <w:color w:val="231F20"/>
          <w:w w:val="105"/>
          <w:sz w:val="17"/>
        </w:rPr>
        <w:t>transport documentation</w:t>
      </w:r>
      <w:r>
        <w:rPr>
          <w:color w:val="231F20"/>
          <w:spacing w:val="-1"/>
          <w:w w:val="105"/>
          <w:sz w:val="17"/>
        </w:rPr>
        <w:t> </w:t>
      </w:r>
      <w:r>
        <w:rPr>
          <w:color w:val="231F20"/>
          <w:w w:val="105"/>
          <w:sz w:val="17"/>
        </w:rPr>
        <w:t>required by</w:t>
      </w:r>
      <w:r>
        <w:rPr>
          <w:color w:val="231F20"/>
          <w:spacing w:val="-1"/>
          <w:w w:val="105"/>
          <w:sz w:val="17"/>
        </w:rPr>
        <w:t> </w:t>
      </w:r>
      <w:r>
        <w:rPr>
          <w:color w:val="231F20"/>
          <w:w w:val="105"/>
          <w:sz w:val="17"/>
        </w:rPr>
        <w:t>chapter 5.4</w:t>
      </w:r>
      <w:r>
        <w:rPr>
          <w:color w:val="231F20"/>
          <w:spacing w:val="-1"/>
          <w:w w:val="105"/>
          <w:sz w:val="17"/>
        </w:rPr>
        <w:t> </w:t>
      </w:r>
      <w:r>
        <w:rPr>
          <w:color w:val="231F20"/>
          <w:w w:val="105"/>
          <w:sz w:val="17"/>
        </w:rPr>
        <w:t>of this</w:t>
      </w:r>
      <w:r>
        <w:rPr>
          <w:color w:val="231F20"/>
          <w:spacing w:val="-1"/>
          <w:w w:val="105"/>
          <w:sz w:val="17"/>
        </w:rPr>
        <w:t> </w:t>
      </w:r>
      <w:r>
        <w:rPr>
          <w:color w:val="231F20"/>
          <w:w w:val="105"/>
          <w:sz w:val="17"/>
        </w:rPr>
        <w:t>Code.)</w:t>
      </w:r>
    </w:p>
    <w:p>
      <w:pPr>
        <w:pStyle w:val="ListParagraph"/>
        <w:numPr>
          <w:ilvl w:val="4"/>
          <w:numId w:val="1"/>
        </w:numPr>
        <w:tabs>
          <w:tab w:pos="1924" w:val="left" w:leader="none"/>
          <w:tab w:pos="1930" w:val="left" w:leader="none"/>
        </w:tabs>
        <w:spacing w:line="256" w:lineRule="auto" w:before="121" w:after="0"/>
        <w:ind w:left="1930" w:right="1411" w:hanging="1080"/>
        <w:jc w:val="both"/>
        <w:rPr>
          <w:color w:val="231F20"/>
          <w:sz w:val="17"/>
        </w:rPr>
      </w:pPr>
      <w:r>
        <w:rPr>
          <w:color w:val="231F20"/>
          <w:sz w:val="17"/>
        </w:rPr>
        <w:t>For</w:t>
      </w:r>
      <w:r>
        <w:rPr>
          <w:color w:val="231F20"/>
          <w:spacing w:val="17"/>
          <w:sz w:val="17"/>
        </w:rPr>
        <w:t> </w:t>
      </w:r>
      <w:r>
        <w:rPr>
          <w:color w:val="231F20"/>
          <w:sz w:val="17"/>
        </w:rPr>
        <w:t>radioactive</w:t>
      </w:r>
      <w:r>
        <w:rPr>
          <w:color w:val="231F20"/>
          <w:spacing w:val="17"/>
          <w:sz w:val="17"/>
        </w:rPr>
        <w:t> </w:t>
      </w:r>
      <w:r>
        <w:rPr>
          <w:color w:val="231F20"/>
          <w:sz w:val="17"/>
        </w:rPr>
        <w:t>material,</w:t>
      </w:r>
      <w:r>
        <w:rPr>
          <w:color w:val="231F20"/>
          <w:spacing w:val="17"/>
          <w:sz w:val="17"/>
        </w:rPr>
        <w:t> </w:t>
      </w:r>
      <w:r>
        <w:rPr>
          <w:color w:val="231F20"/>
          <w:sz w:val="17"/>
        </w:rPr>
        <w:t>the</w:t>
      </w:r>
      <w:r>
        <w:rPr>
          <w:color w:val="231F20"/>
          <w:spacing w:val="17"/>
          <w:sz w:val="17"/>
        </w:rPr>
        <w:t> </w:t>
      </w:r>
      <w:r>
        <w:rPr>
          <w:color w:val="231F20"/>
          <w:sz w:val="17"/>
        </w:rPr>
        <w:t>provisions</w:t>
      </w:r>
      <w:r>
        <w:rPr>
          <w:color w:val="231F20"/>
          <w:spacing w:val="17"/>
          <w:sz w:val="17"/>
        </w:rPr>
        <w:t> </w:t>
      </w:r>
      <w:r>
        <w:rPr>
          <w:color w:val="231F20"/>
          <w:sz w:val="17"/>
        </w:rPr>
        <w:t>of</w:t>
      </w:r>
      <w:r>
        <w:rPr>
          <w:color w:val="231F20"/>
          <w:spacing w:val="17"/>
          <w:sz w:val="17"/>
        </w:rPr>
        <w:t> </w:t>
      </w:r>
      <w:r>
        <w:rPr>
          <w:color w:val="231F20"/>
          <w:sz w:val="17"/>
        </w:rPr>
        <w:t>this</w:t>
      </w:r>
      <w:r>
        <w:rPr>
          <w:color w:val="231F20"/>
          <w:spacing w:val="17"/>
          <w:sz w:val="17"/>
        </w:rPr>
        <w:t> </w:t>
      </w:r>
      <w:r>
        <w:rPr>
          <w:color w:val="231F20"/>
          <w:sz w:val="17"/>
        </w:rPr>
        <w:t>chapter</w:t>
      </w:r>
      <w:r>
        <w:rPr>
          <w:color w:val="231F20"/>
          <w:spacing w:val="17"/>
          <w:sz w:val="17"/>
        </w:rPr>
        <w:t> </w:t>
      </w:r>
      <w:r>
        <w:rPr>
          <w:color w:val="231F20"/>
          <w:sz w:val="17"/>
        </w:rPr>
        <w:t>are</w:t>
      </w:r>
      <w:r>
        <w:rPr>
          <w:color w:val="231F20"/>
          <w:spacing w:val="17"/>
          <w:sz w:val="17"/>
        </w:rPr>
        <w:t> </w:t>
      </w:r>
      <w:r>
        <w:rPr>
          <w:color w:val="231F20"/>
          <w:sz w:val="17"/>
        </w:rPr>
        <w:t>deemed</w:t>
      </w:r>
      <w:r>
        <w:rPr>
          <w:color w:val="231F20"/>
          <w:spacing w:val="17"/>
          <w:sz w:val="17"/>
        </w:rPr>
        <w:t> </w:t>
      </w:r>
      <w:r>
        <w:rPr>
          <w:color w:val="231F20"/>
          <w:sz w:val="17"/>
        </w:rPr>
        <w:t>to</w:t>
      </w:r>
      <w:r>
        <w:rPr>
          <w:color w:val="231F20"/>
          <w:spacing w:val="17"/>
          <w:sz w:val="17"/>
        </w:rPr>
        <w:t> </w:t>
      </w:r>
      <w:r>
        <w:rPr>
          <w:color w:val="231F20"/>
          <w:sz w:val="17"/>
        </w:rPr>
        <w:t>be</w:t>
      </w:r>
      <w:r>
        <w:rPr>
          <w:color w:val="231F20"/>
          <w:spacing w:val="17"/>
          <w:sz w:val="17"/>
        </w:rPr>
        <w:t> </w:t>
      </w:r>
      <w:r>
        <w:rPr>
          <w:color w:val="231F20"/>
          <w:sz w:val="17"/>
        </w:rPr>
        <w:t>complied</w:t>
      </w:r>
      <w:r>
        <w:rPr>
          <w:color w:val="231F20"/>
          <w:spacing w:val="17"/>
          <w:sz w:val="17"/>
        </w:rPr>
        <w:t> </w:t>
      </w:r>
      <w:r>
        <w:rPr>
          <w:color w:val="231F20"/>
          <w:sz w:val="17"/>
        </w:rPr>
        <w:t>with</w:t>
      </w:r>
      <w:r>
        <w:rPr>
          <w:color w:val="231F20"/>
          <w:spacing w:val="17"/>
          <w:sz w:val="17"/>
        </w:rPr>
        <w:t> </w:t>
      </w:r>
      <w:r>
        <w:rPr>
          <w:color w:val="231F20"/>
          <w:sz w:val="17"/>
        </w:rPr>
        <w:t>when</w:t>
      </w:r>
      <w:r>
        <w:rPr>
          <w:color w:val="231F20"/>
          <w:spacing w:val="17"/>
          <w:sz w:val="17"/>
        </w:rPr>
        <w:t> </w:t>
      </w:r>
      <w:r>
        <w:rPr>
          <w:color w:val="231F20"/>
          <w:sz w:val="17"/>
        </w:rPr>
        <w:t>the</w:t>
      </w:r>
      <w:r>
        <w:rPr>
          <w:color w:val="231F20"/>
          <w:spacing w:val="17"/>
          <w:sz w:val="17"/>
        </w:rPr>
        <w:t> </w:t>
      </w:r>
      <w:r>
        <w:rPr>
          <w:color w:val="231F20"/>
          <w:sz w:val="17"/>
        </w:rPr>
        <w:t>provisions</w:t>
      </w:r>
      <w:r>
        <w:rPr>
          <w:color w:val="231F20"/>
          <w:spacing w:val="17"/>
          <w:sz w:val="17"/>
        </w:rPr>
        <w:t> </w:t>
      </w:r>
      <w:r>
        <w:rPr>
          <w:color w:val="231F20"/>
          <w:sz w:val="17"/>
        </w:rPr>
        <w:t>of the Convention on Physical Protection of Nuclear Material (INFCIRC/274/Rev.1, IAEA, Vienna (1980)) and the IAEA circular on </w:t>
      </w:r>
      <w:r>
        <w:rPr>
          <w:rFonts w:ascii="Arial"/>
          <w:i/>
          <w:color w:val="231F20"/>
          <w:sz w:val="17"/>
        </w:rPr>
        <w:t>Nuclear Security Recommendations on Physical Protection of Nuclear Material and Nuclear Facilities </w:t>
      </w:r>
      <w:r>
        <w:rPr>
          <w:color w:val="231F20"/>
          <w:sz w:val="17"/>
        </w:rPr>
        <w:t>(INFCIRC/225/Rev.5, IAEA, Vienna (2011)) are applied.</w:t>
      </w:r>
    </w:p>
    <w:sectPr>
      <w:type w:val="continuous"/>
      <w:pgSz w:w="11910" w:h="16840"/>
      <w:pgMar w:header="0" w:footer="570" w:top="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4128">
              <wp:simplePos x="0" y="0"/>
              <wp:positionH relativeFrom="page">
                <wp:posOffset>899999</wp:posOffset>
              </wp:positionH>
              <wp:positionV relativeFrom="page">
                <wp:posOffset>10152002</wp:posOffset>
              </wp:positionV>
              <wp:extent cx="612013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120130" cy="6350"/>
                        <a:chExt cx="6120130" cy="6350"/>
                      </a:xfrm>
                    </wpg:grpSpPr>
                    <wps:wsp>
                      <wps:cNvPr id="2" name="Graphic 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 name="Graphic 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72352" id="docshapegroup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44640">
              <wp:simplePos x="0" y="0"/>
              <wp:positionH relativeFrom="page">
                <wp:posOffset>887299</wp:posOffset>
              </wp:positionH>
              <wp:positionV relativeFrom="page">
                <wp:posOffset>10164177</wp:posOffset>
              </wp:positionV>
              <wp:extent cx="2842895" cy="1784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42895" cy="178435"/>
                      </a:xfrm>
                      <a:prstGeom prst="rect">
                        <a:avLst/>
                      </a:prstGeom>
                    </wps:spPr>
                    <wps:txbx>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6096pt;margin-top:800.328918pt;width:223.85pt;height:14.05pt;mso-position-horizontal-relative:page;mso-position-vertical-relative:page;z-index:-15971840" type="#_x0000_t202" id="docshape2" filled="false" stroked="false">
              <v:textbox inset="0,0,0,0">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5152">
              <wp:simplePos x="0" y="0"/>
              <wp:positionH relativeFrom="page">
                <wp:posOffset>6839152</wp:posOffset>
              </wp:positionH>
              <wp:positionV relativeFrom="page">
                <wp:posOffset>10168114</wp:posOffset>
              </wp:positionV>
              <wp:extent cx="233679"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3679"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35</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38.51593pt;margin-top:800.638916pt;width:18.4pt;height:13.8pt;mso-position-horizontal-relative:page;mso-position-vertical-relative:page;z-index:-15971328" type="#_x0000_t202" id="docshape3"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35</w:t>
                    </w:r>
                    <w:r>
                      <w:rPr>
                        <w:color w:val="231F20"/>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5664">
              <wp:simplePos x="0" y="0"/>
              <wp:positionH relativeFrom="page">
                <wp:posOffset>540000</wp:posOffset>
              </wp:positionH>
              <wp:positionV relativeFrom="page">
                <wp:posOffset>10152002</wp:posOffset>
              </wp:positionV>
              <wp:extent cx="612013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70816"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46176">
              <wp:simplePos x="0" y="0"/>
              <wp:positionH relativeFrom="page">
                <wp:posOffset>3830341</wp:posOffset>
              </wp:positionH>
              <wp:positionV relativeFrom="page">
                <wp:posOffset>10164177</wp:posOffset>
              </wp:positionV>
              <wp:extent cx="2842895" cy="1784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842895" cy="178435"/>
                      </a:xfrm>
                      <a:prstGeom prst="rect">
                        <a:avLst/>
                      </a:prstGeom>
                    </wps:spPr>
                    <wps:txbx>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1.601715pt;margin-top:800.328918pt;width:223.85pt;height:14.05pt;mso-position-horizontal-relative:page;mso-position-vertical-relative:page;z-index:-15970304" type="#_x0000_t202" id="docshape5" filled="false" stroked="false">
              <v:textbox inset="0,0,0,0">
                <w:txbxContent>
                  <w:p>
                    <w:pPr>
                      <w:spacing w:before="30"/>
                      <w:ind w:left="20" w:right="0" w:firstLine="0"/>
                      <w:jc w:val="left"/>
                      <w:rPr>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color w:val="231F20"/>
                        <w:sz w:val="20"/>
                      </w:rPr>
                      <w:t>2024</w:t>
                    </w:r>
                    <w:r>
                      <w:rPr>
                        <w:color w:val="231F20"/>
                        <w:spacing w:val="7"/>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6688">
              <wp:simplePos x="0" y="0"/>
              <wp:positionH relativeFrom="page">
                <wp:posOffset>501900</wp:posOffset>
              </wp:positionH>
              <wp:positionV relativeFrom="page">
                <wp:posOffset>10168114</wp:posOffset>
              </wp:positionV>
              <wp:extent cx="234950" cy="1752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34950"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36</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519699pt;margin-top:800.638916pt;width:18.5pt;height:13.8pt;mso-position-horizontal-relative:page;mso-position-vertical-relative:page;z-index:-15969792" type="#_x0000_t202" id="docshape6"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36</w:t>
                    </w:r>
                    <w:r>
                      <w:rPr>
                        <w:color w:val="231F20"/>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0"/>
      <w:numFmt w:val="bullet"/>
      <w:lvlText w:val="–"/>
      <w:lvlJc w:val="left"/>
      <w:pPr>
        <w:ind w:left="285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1"/>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0"/>
      <w:numFmt w:val="decimal"/>
      <w:lvlText w:val="%1.%2.%3"/>
      <w:lvlJc w:val="left"/>
      <w:pPr>
        <w:ind w:left="2497" w:hanging="1080"/>
        <w:jc w:val="right"/>
      </w:pPr>
      <w:rPr>
        <w:rFonts w:hint="default" w:ascii="Arial MT" w:hAnsi="Arial MT" w:eastAsia="Arial MT" w:cs="Arial MT"/>
        <w:b w:val="0"/>
        <w:bCs w:val="0"/>
        <w:i w:val="0"/>
        <w:iCs w:val="0"/>
        <w:color w:val="231F20"/>
        <w:spacing w:val="-14"/>
        <w:w w:val="99"/>
        <w:sz w:val="22"/>
        <w:szCs w:val="22"/>
        <w:lang w:val="en-US" w:eastAsia="en-US" w:bidi="ar-SA"/>
      </w:rPr>
    </w:lvl>
    <w:lvl w:ilvl="3">
      <w:start w:val="1"/>
      <w:numFmt w:val="decimal"/>
      <w:lvlText w:val="%1.%2.%3.%4"/>
      <w:lvlJc w:val="left"/>
      <w:pPr>
        <w:ind w:left="1930" w:hanging="1081"/>
        <w:jc w:val="left"/>
      </w:pPr>
      <w:rPr>
        <w:rFonts w:hint="default"/>
        <w:spacing w:val="-11"/>
        <w:w w:val="99"/>
        <w:lang w:val="en-US" w:eastAsia="en-US" w:bidi="ar-SA"/>
      </w:rPr>
    </w:lvl>
    <w:lvl w:ilvl="4">
      <w:start w:val="1"/>
      <w:numFmt w:val="decimal"/>
      <w:lvlText w:val="%1.%2.%3.%4.%5"/>
      <w:lvlJc w:val="left"/>
      <w:pPr>
        <w:ind w:left="1930" w:hanging="1080"/>
        <w:jc w:val="left"/>
      </w:pPr>
      <w:rPr>
        <w:rFonts w:hint="default"/>
        <w:spacing w:val="-10"/>
        <w:w w:val="102"/>
        <w:lang w:val="en-US" w:eastAsia="en-US" w:bidi="ar-SA"/>
      </w:rPr>
    </w:lvl>
    <w:lvl w:ilvl="5">
      <w:start w:val="1"/>
      <w:numFmt w:val="decimal"/>
      <w:lvlText w:val="%1.%2.%3.%4.%5.%6"/>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378" w:hanging="360"/>
      </w:pPr>
      <w:rPr>
        <w:rFonts w:hint="default"/>
        <w:lang w:val="en-US" w:eastAsia="en-US" w:bidi="ar-SA"/>
      </w:rPr>
    </w:lvl>
    <w:lvl w:ilvl="8">
      <w:start w:val="0"/>
      <w:numFmt w:val="bullet"/>
      <w:lvlText w:val="•"/>
      <w:lvlJc w:val="left"/>
      <w:pPr>
        <w:ind w:left="9554" w:hanging="360"/>
      </w:pPr>
      <w:rPr>
        <w:rFonts w:hint="default"/>
        <w:lang w:val="en-US"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right="848"/>
      <w:jc w:val="right"/>
      <w:outlineLvl w:val="2"/>
    </w:pPr>
    <w:rPr>
      <w:rFonts w:ascii="Arial MT" w:hAnsi="Arial MT" w:eastAsia="Arial MT" w:cs="Arial MT"/>
      <w:sz w:val="18"/>
      <w:szCs w:val="18"/>
      <w:lang w:val="en-US" w:eastAsia="en-US" w:bidi="ar-SA"/>
    </w:rPr>
  </w:style>
  <w:style w:styleId="Title" w:type="paragraph">
    <w:name w:val="Title"/>
    <w:basedOn w:val="Normal"/>
    <w:uiPriority w:val="1"/>
    <w:qFormat/>
    <w:pPr>
      <w:spacing w:before="1"/>
      <w:ind w:left="1417"/>
    </w:pPr>
    <w:rPr>
      <w:rFonts w:ascii="Arial MT" w:hAnsi="Arial MT" w:eastAsia="Arial MT" w:cs="Arial MT"/>
      <w:sz w:val="40"/>
      <w:szCs w:val="40"/>
      <w:lang w:val="en-US" w:eastAsia="en-US" w:bidi="ar-SA"/>
    </w:rPr>
  </w:style>
  <w:style w:styleId="ListParagraph" w:type="paragraph">
    <w:name w:val="List Paragraph"/>
    <w:basedOn w:val="Normal"/>
    <w:uiPriority w:val="1"/>
    <w:qFormat/>
    <w:pPr>
      <w:ind w:left="1930"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49"/>
      <w:ind w:left="80"/>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2026-06-20T02:46:16Z</dcterms:created>
  <dcterms:modified xsi:type="dcterms:W3CDTF">2026-06-20T02:46:16Z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