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r>
        <w:rPr>
          <w:rFonts w:ascii="Times New Roman"/>
          <w:sz w:val="40"/>
        </w:rPr>
        <mc:AlternateContent>
          <mc:Choice Requires="wps">
            <w:drawing>
              <wp:anchor distT="0" distB="0" distL="0" distR="0" allowOverlap="1" layoutInCell="1" locked="0" behindDoc="0" simplePos="0" relativeHeight="15729664">
                <wp:simplePos x="0" y="0"/>
                <wp:positionH relativeFrom="page">
                  <wp:posOffset>7199998</wp:posOffset>
                </wp:positionH>
                <wp:positionV relativeFrom="page">
                  <wp:posOffset>0</wp:posOffset>
                </wp:positionV>
                <wp:extent cx="360045" cy="152146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60045" cy="1521460"/>
                          <a:chExt cx="360045" cy="1521460"/>
                        </a:xfrm>
                      </wpg:grpSpPr>
                      <wps:wsp>
                        <wps:cNvPr id="5" name="Graphic 5"/>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6" name="Textbox 6"/>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0pt;width:28.35pt;height:119.8pt;mso-position-horizontal-relative:page;mso-position-vertical-relative:page;z-index:15729664" id="docshapegroup4" coordorigin="11339,0" coordsize="567,2396">
                <v:rect style="position:absolute;left:11338;top:0;width:567;height:2396" id="docshape5" filled="true" fillcolor="#58595b" stroked="false">
                  <v:fill type="solid"/>
                </v:rect>
                <v:shape style="position:absolute;left:11338;top:0;width:567;height:2396" type="#_x0000_t202" id="docshape6"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p>
    <w:p>
      <w:pPr>
        <w:pStyle w:val="BodyText"/>
        <w:rPr>
          <w:rFonts w:ascii="Times New Roman"/>
          <w:sz w:val="40"/>
        </w:rPr>
      </w:pPr>
    </w:p>
    <w:p>
      <w:pPr>
        <w:pStyle w:val="BodyText"/>
        <w:spacing w:before="361"/>
        <w:rPr>
          <w:rFonts w:ascii="Times New Roman"/>
          <w:sz w:val="40"/>
        </w:rPr>
      </w:pPr>
    </w:p>
    <w:p>
      <w:pPr>
        <w:pStyle w:val="Title"/>
      </w:pPr>
      <w:r>
        <w:rPr>
          <w:color w:val="231F20"/>
        </w:rPr>
        <w:t>Chapter</w:t>
      </w:r>
      <w:r>
        <w:rPr>
          <w:color w:val="231F20"/>
          <w:spacing w:val="32"/>
        </w:rPr>
        <w:t> </w:t>
      </w:r>
      <w:r>
        <w:rPr>
          <w:color w:val="231F20"/>
          <w:spacing w:val="-5"/>
        </w:rPr>
        <w:t>1.5</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60751</wp:posOffset>
                </wp:positionV>
                <wp:extent cx="612013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83566pt;width:481.9pt;height:.1pt;mso-position-horizontal-relative:page;mso-position-vertical-relative:paragraph;z-index:-15728640;mso-wrap-distance-left:0;mso-wrap-distance-right:0" id="docshape7" coordorigin="1417,96" coordsize="9638,0" path="m1417,96l11055,96e" filled="false" stroked="true" strokeweight="2pt" strokecolor="#231f20">
                <v:path arrowok="t"/>
                <v:stroke dashstyle="solid"/>
                <w10:wrap type="topAndBottom"/>
              </v:shape>
            </w:pict>
          </mc:Fallback>
        </mc:AlternateContent>
      </w:r>
    </w:p>
    <w:p>
      <w:pPr>
        <w:spacing w:before="62"/>
        <w:ind w:left="1417" w:right="0" w:firstLine="0"/>
        <w:jc w:val="left"/>
        <w:rPr>
          <w:rFonts w:ascii="Arial"/>
          <w:i/>
          <w:sz w:val="36"/>
        </w:rPr>
      </w:pPr>
      <w:r>
        <w:rPr>
          <w:rFonts w:ascii="Arial"/>
          <w:i/>
          <w:color w:val="231F20"/>
          <w:sz w:val="36"/>
        </w:rPr>
        <w:t>General</w:t>
      </w:r>
      <w:r>
        <w:rPr>
          <w:rFonts w:ascii="Arial"/>
          <w:i/>
          <w:color w:val="231F20"/>
          <w:spacing w:val="-15"/>
          <w:sz w:val="36"/>
        </w:rPr>
        <w:t> </w:t>
      </w:r>
      <w:r>
        <w:rPr>
          <w:rFonts w:ascii="Arial"/>
          <w:i/>
          <w:color w:val="231F20"/>
          <w:sz w:val="36"/>
        </w:rPr>
        <w:t>provisions</w:t>
      </w:r>
      <w:r>
        <w:rPr>
          <w:rFonts w:ascii="Arial"/>
          <w:i/>
          <w:color w:val="231F20"/>
          <w:spacing w:val="-15"/>
          <w:sz w:val="36"/>
        </w:rPr>
        <w:t> </w:t>
      </w:r>
      <w:r>
        <w:rPr>
          <w:rFonts w:ascii="Arial"/>
          <w:i/>
          <w:color w:val="231F20"/>
          <w:sz w:val="36"/>
        </w:rPr>
        <w:t>concerning</w:t>
      </w:r>
      <w:r>
        <w:rPr>
          <w:rFonts w:ascii="Arial"/>
          <w:i/>
          <w:color w:val="231F20"/>
          <w:spacing w:val="-15"/>
          <w:sz w:val="36"/>
        </w:rPr>
        <w:t> </w:t>
      </w:r>
      <w:r>
        <w:rPr>
          <w:rFonts w:ascii="Arial"/>
          <w:i/>
          <w:color w:val="231F20"/>
          <w:sz w:val="36"/>
        </w:rPr>
        <w:t>radioactive</w:t>
      </w:r>
      <w:r>
        <w:rPr>
          <w:rFonts w:ascii="Arial"/>
          <w:i/>
          <w:color w:val="231F20"/>
          <w:spacing w:val="-14"/>
          <w:sz w:val="36"/>
        </w:rPr>
        <w:t> </w:t>
      </w:r>
      <w:r>
        <w:rPr>
          <w:rFonts w:ascii="Arial"/>
          <w:i/>
          <w:color w:val="231F20"/>
          <w:spacing w:val="-2"/>
          <w:sz w:val="36"/>
        </w:rPr>
        <w:t>material</w:t>
      </w:r>
    </w:p>
    <w:p>
      <w:pPr>
        <w:pStyle w:val="BodyText"/>
        <w:spacing w:before="404"/>
        <w:rPr>
          <w:rFonts w:ascii="Arial"/>
          <w:i/>
          <w:sz w:val="36"/>
        </w:rPr>
      </w:pPr>
    </w:p>
    <w:p>
      <w:pPr>
        <w:pStyle w:val="Heading1"/>
        <w:numPr>
          <w:ilvl w:val="2"/>
          <w:numId w:val="1"/>
        </w:numPr>
        <w:tabs>
          <w:tab w:pos="2497" w:val="left" w:leader="none"/>
        </w:tabs>
        <w:spacing w:line="240" w:lineRule="auto" w:before="0" w:after="0"/>
        <w:ind w:left="2497" w:right="0" w:hanging="1080"/>
        <w:jc w:val="left"/>
      </w:pPr>
      <w:r>
        <w:rPr>
          <w:color w:val="231F20"/>
          <w:w w:val="105"/>
        </w:rPr>
        <w:t>Scope</w:t>
      </w:r>
      <w:r>
        <w:rPr>
          <w:color w:val="231F20"/>
          <w:spacing w:val="-8"/>
          <w:w w:val="105"/>
        </w:rPr>
        <w:t> </w:t>
      </w:r>
      <w:r>
        <w:rPr>
          <w:color w:val="231F20"/>
          <w:w w:val="105"/>
        </w:rPr>
        <w:t>and</w:t>
      </w:r>
      <w:r>
        <w:rPr>
          <w:color w:val="231F20"/>
          <w:spacing w:val="-8"/>
          <w:w w:val="105"/>
        </w:rPr>
        <w:t> </w:t>
      </w:r>
      <w:r>
        <w:rPr>
          <w:color w:val="231F20"/>
          <w:spacing w:val="-2"/>
          <w:w w:val="105"/>
        </w:rPr>
        <w:t>application</w:t>
      </w:r>
    </w:p>
    <w:p>
      <w:pPr>
        <w:pStyle w:val="ListParagraph"/>
        <w:numPr>
          <w:ilvl w:val="3"/>
          <w:numId w:val="1"/>
        </w:numPr>
        <w:tabs>
          <w:tab w:pos="2497" w:val="left" w:leader="none"/>
        </w:tabs>
        <w:spacing w:line="256" w:lineRule="auto" w:before="144" w:after="0"/>
        <w:ind w:left="2497" w:right="845" w:hanging="1080"/>
        <w:jc w:val="both"/>
        <w:rPr>
          <w:color w:val="231F20"/>
          <w:sz w:val="17"/>
        </w:rPr>
      </w:pPr>
      <w:r>
        <w:rPr>
          <w:color w:val="231F20"/>
          <w:w w:val="105"/>
          <w:sz w:val="17"/>
        </w:rPr>
        <w:t>The provisions of this Code establish standards of safety which provide an acceptable level of control of the radiation, criticality and thermal hazards to people, property and the environment that are associated with</w:t>
      </w:r>
      <w:r>
        <w:rPr>
          <w:color w:val="231F20"/>
          <w:spacing w:val="40"/>
          <w:w w:val="105"/>
          <w:sz w:val="17"/>
        </w:rPr>
        <w:t> </w:t>
      </w:r>
      <w:r>
        <w:rPr>
          <w:color w:val="231F20"/>
          <w:w w:val="105"/>
          <w:sz w:val="17"/>
        </w:rPr>
        <w:t>the</w:t>
      </w:r>
      <w:r>
        <w:rPr>
          <w:color w:val="231F20"/>
          <w:spacing w:val="-5"/>
          <w:w w:val="105"/>
          <w:sz w:val="17"/>
        </w:rPr>
        <w:t> </w:t>
      </w:r>
      <w:r>
        <w:rPr>
          <w:color w:val="231F20"/>
          <w:w w:val="105"/>
          <w:sz w:val="17"/>
        </w:rPr>
        <w:t>transport</w:t>
      </w:r>
      <w:r>
        <w:rPr>
          <w:color w:val="231F20"/>
          <w:spacing w:val="-5"/>
          <w:w w:val="105"/>
          <w:sz w:val="17"/>
        </w:rPr>
        <w:t> </w:t>
      </w:r>
      <w:r>
        <w:rPr>
          <w:color w:val="231F20"/>
          <w:w w:val="105"/>
          <w:sz w:val="17"/>
        </w:rPr>
        <w:t>of</w:t>
      </w:r>
      <w:r>
        <w:rPr>
          <w:color w:val="231F20"/>
          <w:spacing w:val="-5"/>
          <w:w w:val="105"/>
          <w:sz w:val="17"/>
        </w:rPr>
        <w:t> </w:t>
      </w:r>
      <w:r>
        <w:rPr>
          <w:color w:val="231F20"/>
          <w:w w:val="105"/>
          <w:sz w:val="17"/>
        </w:rPr>
        <w:t>radioactive</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These</w:t>
      </w:r>
      <w:r>
        <w:rPr>
          <w:color w:val="231F20"/>
          <w:spacing w:val="-5"/>
          <w:w w:val="105"/>
          <w:sz w:val="17"/>
        </w:rPr>
        <w:t> </w:t>
      </w:r>
      <w:r>
        <w:rPr>
          <w:color w:val="231F20"/>
          <w:w w:val="105"/>
          <w:sz w:val="17"/>
        </w:rPr>
        <w:t>provisions</w:t>
      </w:r>
      <w:r>
        <w:rPr>
          <w:color w:val="231F20"/>
          <w:spacing w:val="-5"/>
          <w:w w:val="105"/>
          <w:sz w:val="17"/>
        </w:rPr>
        <w:t> </w:t>
      </w:r>
      <w:r>
        <w:rPr>
          <w:color w:val="231F20"/>
          <w:w w:val="105"/>
          <w:sz w:val="17"/>
        </w:rPr>
        <w:t>are</w:t>
      </w:r>
      <w:r>
        <w:rPr>
          <w:color w:val="231F20"/>
          <w:spacing w:val="-5"/>
          <w:w w:val="105"/>
          <w:sz w:val="17"/>
        </w:rPr>
        <w:t> </w:t>
      </w:r>
      <w:r>
        <w:rPr>
          <w:color w:val="231F20"/>
          <w:w w:val="105"/>
          <w:sz w:val="17"/>
        </w:rPr>
        <w:t>based</w:t>
      </w:r>
      <w:r>
        <w:rPr>
          <w:color w:val="231F20"/>
          <w:spacing w:val="-5"/>
          <w:w w:val="105"/>
          <w:sz w:val="17"/>
        </w:rPr>
        <w:t> </w:t>
      </w:r>
      <w:r>
        <w:rPr>
          <w:color w:val="231F20"/>
          <w:w w:val="105"/>
          <w:sz w:val="17"/>
        </w:rPr>
        <w:t>on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2018</w:t>
      </w:r>
      <w:r>
        <w:rPr>
          <w:color w:val="231F20"/>
          <w:spacing w:val="-5"/>
          <w:w w:val="105"/>
          <w:sz w:val="17"/>
        </w:rPr>
        <w:t> </w:t>
      </w:r>
      <w:r>
        <w:rPr>
          <w:color w:val="231F20"/>
          <w:w w:val="105"/>
          <w:sz w:val="17"/>
        </w:rPr>
        <w:t>edition</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rFonts w:ascii="Arial"/>
          <w:i/>
          <w:color w:val="231F20"/>
          <w:w w:val="105"/>
          <w:sz w:val="17"/>
        </w:rPr>
        <w:t>IAEA</w:t>
      </w:r>
      <w:r>
        <w:rPr>
          <w:rFonts w:ascii="Arial"/>
          <w:i/>
          <w:color w:val="231F20"/>
          <w:spacing w:val="-5"/>
          <w:w w:val="105"/>
          <w:sz w:val="17"/>
        </w:rPr>
        <w:t> </w:t>
      </w:r>
      <w:r>
        <w:rPr>
          <w:rFonts w:ascii="Arial"/>
          <w:i/>
          <w:color w:val="231F20"/>
          <w:w w:val="105"/>
          <w:sz w:val="17"/>
        </w:rPr>
        <w:t>Regulations for</w:t>
      </w:r>
      <w:r>
        <w:rPr>
          <w:rFonts w:ascii="Arial"/>
          <w:i/>
          <w:color w:val="231F20"/>
          <w:spacing w:val="-3"/>
          <w:w w:val="105"/>
          <w:sz w:val="17"/>
        </w:rPr>
        <w:t> </w:t>
      </w:r>
      <w:r>
        <w:rPr>
          <w:rFonts w:ascii="Arial"/>
          <w:i/>
          <w:color w:val="231F20"/>
          <w:w w:val="105"/>
          <w:sz w:val="17"/>
        </w:rPr>
        <w:t>the</w:t>
      </w:r>
      <w:r>
        <w:rPr>
          <w:rFonts w:ascii="Arial"/>
          <w:i/>
          <w:color w:val="231F20"/>
          <w:spacing w:val="-3"/>
          <w:w w:val="105"/>
          <w:sz w:val="17"/>
        </w:rPr>
        <w:t> </w:t>
      </w:r>
      <w:r>
        <w:rPr>
          <w:rFonts w:ascii="Arial"/>
          <w:i/>
          <w:color w:val="231F20"/>
          <w:w w:val="105"/>
          <w:sz w:val="17"/>
        </w:rPr>
        <w:t>Safe</w:t>
      </w:r>
      <w:r>
        <w:rPr>
          <w:rFonts w:ascii="Arial"/>
          <w:i/>
          <w:color w:val="231F20"/>
          <w:spacing w:val="-3"/>
          <w:w w:val="105"/>
          <w:sz w:val="17"/>
        </w:rPr>
        <w:t> </w:t>
      </w:r>
      <w:r>
        <w:rPr>
          <w:rFonts w:ascii="Arial"/>
          <w:i/>
          <w:color w:val="231F20"/>
          <w:w w:val="105"/>
          <w:sz w:val="17"/>
        </w:rPr>
        <w:t>Transport</w:t>
      </w:r>
      <w:r>
        <w:rPr>
          <w:rFonts w:ascii="Arial"/>
          <w:i/>
          <w:color w:val="231F20"/>
          <w:spacing w:val="-3"/>
          <w:w w:val="105"/>
          <w:sz w:val="17"/>
        </w:rPr>
        <w:t> </w:t>
      </w:r>
      <w:r>
        <w:rPr>
          <w:rFonts w:ascii="Arial"/>
          <w:i/>
          <w:color w:val="231F20"/>
          <w:w w:val="105"/>
          <w:sz w:val="17"/>
        </w:rPr>
        <w:t>of</w:t>
      </w:r>
      <w:r>
        <w:rPr>
          <w:rFonts w:ascii="Arial"/>
          <w:i/>
          <w:color w:val="231F20"/>
          <w:spacing w:val="-3"/>
          <w:w w:val="105"/>
          <w:sz w:val="17"/>
        </w:rPr>
        <w:t> </w:t>
      </w:r>
      <w:r>
        <w:rPr>
          <w:rFonts w:ascii="Arial"/>
          <w:i/>
          <w:color w:val="231F20"/>
          <w:w w:val="105"/>
          <w:sz w:val="17"/>
        </w:rPr>
        <w:t>Radioactive</w:t>
      </w:r>
      <w:r>
        <w:rPr>
          <w:rFonts w:ascii="Arial"/>
          <w:i/>
          <w:color w:val="231F20"/>
          <w:spacing w:val="-3"/>
          <w:w w:val="105"/>
          <w:sz w:val="17"/>
        </w:rPr>
        <w:t> </w:t>
      </w:r>
      <w:r>
        <w:rPr>
          <w:rFonts w:ascii="Arial"/>
          <w:i/>
          <w:color w:val="231F20"/>
          <w:w w:val="105"/>
          <w:sz w:val="17"/>
        </w:rPr>
        <w:t>Material</w:t>
      </w:r>
      <w:r>
        <w:rPr>
          <w:color w:val="231F20"/>
          <w:w w:val="105"/>
          <w:sz w:val="17"/>
        </w:rPr>
        <w:t>.</w:t>
      </w:r>
      <w:r>
        <w:rPr>
          <w:color w:val="231F20"/>
          <w:spacing w:val="-3"/>
          <w:w w:val="105"/>
          <w:sz w:val="17"/>
        </w:rPr>
        <w:t> </w:t>
      </w:r>
      <w:r>
        <w:rPr>
          <w:color w:val="231F20"/>
          <w:w w:val="105"/>
          <w:sz w:val="17"/>
        </w:rPr>
        <w:t>Explanatory</w:t>
      </w:r>
      <w:r>
        <w:rPr>
          <w:color w:val="231F20"/>
          <w:spacing w:val="-3"/>
          <w:w w:val="105"/>
          <w:sz w:val="17"/>
        </w:rPr>
        <w:t> </w:t>
      </w:r>
      <w:r>
        <w:rPr>
          <w:color w:val="231F20"/>
          <w:w w:val="105"/>
          <w:sz w:val="17"/>
        </w:rPr>
        <w:t>material</w:t>
      </w:r>
      <w:r>
        <w:rPr>
          <w:color w:val="231F20"/>
          <w:spacing w:val="-3"/>
          <w:w w:val="105"/>
          <w:sz w:val="17"/>
        </w:rPr>
        <w:t> </w:t>
      </w:r>
      <w:r>
        <w:rPr>
          <w:color w:val="231F20"/>
          <w:w w:val="105"/>
          <w:sz w:val="17"/>
        </w:rPr>
        <w:t>can</w:t>
      </w:r>
      <w:r>
        <w:rPr>
          <w:color w:val="231F20"/>
          <w:spacing w:val="-3"/>
          <w:w w:val="105"/>
          <w:sz w:val="17"/>
        </w:rPr>
        <w:t> </w:t>
      </w:r>
      <w:r>
        <w:rPr>
          <w:color w:val="231F20"/>
          <w:w w:val="105"/>
          <w:sz w:val="17"/>
        </w:rPr>
        <w:t>be</w:t>
      </w:r>
      <w:r>
        <w:rPr>
          <w:color w:val="231F20"/>
          <w:spacing w:val="-3"/>
          <w:w w:val="105"/>
          <w:sz w:val="17"/>
        </w:rPr>
        <w:t> </w:t>
      </w:r>
      <w:r>
        <w:rPr>
          <w:color w:val="231F20"/>
          <w:w w:val="105"/>
          <w:sz w:val="17"/>
        </w:rPr>
        <w:t>found</w:t>
      </w:r>
      <w:r>
        <w:rPr>
          <w:color w:val="231F20"/>
          <w:spacing w:val="-3"/>
          <w:w w:val="105"/>
          <w:sz w:val="17"/>
        </w:rPr>
        <w:t> </w:t>
      </w:r>
      <w:r>
        <w:rPr>
          <w:color w:val="231F20"/>
          <w:w w:val="105"/>
          <w:sz w:val="17"/>
        </w:rPr>
        <w:t>in</w:t>
      </w:r>
      <w:r>
        <w:rPr>
          <w:color w:val="231F20"/>
          <w:spacing w:val="-3"/>
          <w:w w:val="105"/>
          <w:sz w:val="17"/>
        </w:rPr>
        <w:t> </w:t>
      </w:r>
      <w:r>
        <w:rPr>
          <w:rFonts w:ascii="Arial"/>
          <w:i/>
          <w:color w:val="231F20"/>
          <w:w w:val="105"/>
          <w:sz w:val="17"/>
        </w:rPr>
        <w:t>Advisory</w:t>
      </w:r>
      <w:r>
        <w:rPr>
          <w:rFonts w:ascii="Arial"/>
          <w:i/>
          <w:color w:val="231F20"/>
          <w:spacing w:val="-3"/>
          <w:w w:val="105"/>
          <w:sz w:val="17"/>
        </w:rPr>
        <w:t> </w:t>
      </w:r>
      <w:r>
        <w:rPr>
          <w:rFonts w:ascii="Arial"/>
          <w:i/>
          <w:color w:val="231F20"/>
          <w:w w:val="105"/>
          <w:sz w:val="17"/>
        </w:rPr>
        <w:t>Material</w:t>
      </w:r>
      <w:r>
        <w:rPr>
          <w:rFonts w:ascii="Arial"/>
          <w:i/>
          <w:color w:val="231F20"/>
          <w:spacing w:val="-3"/>
          <w:w w:val="105"/>
          <w:sz w:val="17"/>
        </w:rPr>
        <w:t> </w:t>
      </w:r>
      <w:r>
        <w:rPr>
          <w:rFonts w:ascii="Arial"/>
          <w:i/>
          <w:color w:val="231F20"/>
          <w:w w:val="105"/>
          <w:sz w:val="17"/>
        </w:rPr>
        <w:t>for</w:t>
      </w:r>
      <w:r>
        <w:rPr>
          <w:rFonts w:ascii="Arial"/>
          <w:i/>
          <w:color w:val="231F20"/>
          <w:spacing w:val="-3"/>
          <w:w w:val="105"/>
          <w:sz w:val="17"/>
        </w:rPr>
        <w:t> </w:t>
      </w:r>
      <w:r>
        <w:rPr>
          <w:rFonts w:ascii="Arial"/>
          <w:i/>
          <w:color w:val="231F20"/>
          <w:w w:val="105"/>
          <w:sz w:val="17"/>
        </w:rPr>
        <w:t>the IAEA Regulations for the Safe Transport of Radioactive Material </w:t>
      </w:r>
      <w:r>
        <w:rPr>
          <w:color w:val="231F20"/>
          <w:w w:val="105"/>
          <w:sz w:val="17"/>
        </w:rPr>
        <w:t>(2018 Edition), </w:t>
      </w:r>
      <w:r>
        <w:rPr>
          <w:rFonts w:ascii="Arial"/>
          <w:i/>
          <w:color w:val="231F20"/>
          <w:w w:val="105"/>
          <w:sz w:val="17"/>
        </w:rPr>
        <w:t>Safety Standard Series No. SSG-26</w:t>
      </w:r>
      <w:r>
        <w:rPr>
          <w:rFonts w:ascii="Arial"/>
          <w:i/>
          <w:color w:val="231F20"/>
          <w:spacing w:val="-7"/>
          <w:w w:val="105"/>
          <w:sz w:val="17"/>
        </w:rPr>
        <w:t> </w:t>
      </w:r>
      <w:r>
        <w:rPr>
          <w:rFonts w:ascii="Arial"/>
          <w:i/>
          <w:color w:val="231F20"/>
          <w:w w:val="105"/>
          <w:sz w:val="17"/>
        </w:rPr>
        <w:t>(Rev.1),</w:t>
      </w:r>
      <w:r>
        <w:rPr>
          <w:rFonts w:ascii="Arial"/>
          <w:i/>
          <w:color w:val="231F20"/>
          <w:spacing w:val="-7"/>
          <w:w w:val="105"/>
          <w:sz w:val="17"/>
        </w:rPr>
        <w:t> </w:t>
      </w:r>
      <w:r>
        <w:rPr>
          <w:color w:val="231F20"/>
          <w:w w:val="105"/>
          <w:sz w:val="17"/>
        </w:rPr>
        <w:t>IAEA,</w:t>
      </w:r>
      <w:r>
        <w:rPr>
          <w:color w:val="231F20"/>
          <w:spacing w:val="-7"/>
          <w:w w:val="105"/>
          <w:sz w:val="17"/>
        </w:rPr>
        <w:t> </w:t>
      </w:r>
      <w:r>
        <w:rPr>
          <w:color w:val="231F20"/>
          <w:w w:val="105"/>
          <w:sz w:val="17"/>
        </w:rPr>
        <w:t>Vienna</w:t>
      </w:r>
      <w:r>
        <w:rPr>
          <w:color w:val="231F20"/>
          <w:spacing w:val="-7"/>
          <w:w w:val="105"/>
          <w:sz w:val="17"/>
        </w:rPr>
        <w:t> </w:t>
      </w:r>
      <w:r>
        <w:rPr>
          <w:color w:val="231F20"/>
          <w:w w:val="105"/>
          <w:sz w:val="17"/>
        </w:rPr>
        <w:t>(2019).</w:t>
      </w:r>
    </w:p>
    <w:p>
      <w:pPr>
        <w:pStyle w:val="ListParagraph"/>
        <w:numPr>
          <w:ilvl w:val="3"/>
          <w:numId w:val="1"/>
        </w:numPr>
        <w:tabs>
          <w:tab w:pos="2497" w:val="left" w:leader="none"/>
        </w:tabs>
        <w:spacing w:line="256" w:lineRule="auto" w:before="145" w:after="0"/>
        <w:ind w:left="2497" w:right="847" w:hanging="1081"/>
        <w:jc w:val="both"/>
        <w:rPr>
          <w:color w:val="231F20"/>
          <w:sz w:val="17"/>
        </w:rPr>
      </w:pPr>
      <w:r>
        <w:rPr>
          <w:color w:val="231F20"/>
          <w:w w:val="105"/>
          <w:sz w:val="17"/>
        </w:rPr>
        <w:t>The objective of this Code is to establish provisions that shall be satisfied to ensure safety and to protect people,</w:t>
      </w:r>
      <w:r>
        <w:rPr>
          <w:color w:val="231F20"/>
          <w:w w:val="105"/>
          <w:sz w:val="17"/>
        </w:rPr>
        <w:t> property</w:t>
      </w:r>
      <w:r>
        <w:rPr>
          <w:color w:val="231F20"/>
          <w:w w:val="105"/>
          <w:sz w:val="17"/>
        </w:rPr>
        <w:t> and</w:t>
      </w:r>
      <w:r>
        <w:rPr>
          <w:color w:val="231F20"/>
          <w:w w:val="105"/>
          <w:sz w:val="17"/>
        </w:rPr>
        <w:t> the</w:t>
      </w:r>
      <w:r>
        <w:rPr>
          <w:color w:val="231F20"/>
          <w:w w:val="105"/>
          <w:sz w:val="17"/>
        </w:rPr>
        <w:t> environment</w:t>
      </w:r>
      <w:r>
        <w:rPr>
          <w:color w:val="231F20"/>
          <w:w w:val="105"/>
          <w:sz w:val="17"/>
        </w:rPr>
        <w:t> from</w:t>
      </w:r>
      <w:r>
        <w:rPr>
          <w:color w:val="231F20"/>
          <w:w w:val="105"/>
          <w:sz w:val="17"/>
        </w:rPr>
        <w:t> harmful</w:t>
      </w:r>
      <w:r>
        <w:rPr>
          <w:color w:val="231F20"/>
          <w:w w:val="105"/>
          <w:sz w:val="17"/>
        </w:rPr>
        <w:t> effects</w:t>
      </w:r>
      <w:r>
        <w:rPr>
          <w:color w:val="231F20"/>
          <w:w w:val="105"/>
          <w:sz w:val="17"/>
        </w:rPr>
        <w:t> of</w:t>
      </w:r>
      <w:r>
        <w:rPr>
          <w:color w:val="231F20"/>
          <w:w w:val="105"/>
          <w:sz w:val="17"/>
        </w:rPr>
        <w:t> ionizing</w:t>
      </w:r>
      <w:r>
        <w:rPr>
          <w:color w:val="231F20"/>
          <w:w w:val="105"/>
          <w:sz w:val="17"/>
        </w:rPr>
        <w:t> radiation</w:t>
      </w:r>
      <w:r>
        <w:rPr>
          <w:color w:val="231F20"/>
          <w:w w:val="105"/>
          <w:sz w:val="17"/>
        </w:rPr>
        <w:t> during</w:t>
      </w:r>
      <w:r>
        <w:rPr>
          <w:color w:val="231F20"/>
          <w:w w:val="105"/>
          <w:sz w:val="17"/>
        </w:rPr>
        <w:t> the</w:t>
      </w:r>
      <w:r>
        <w:rPr>
          <w:color w:val="231F20"/>
          <w:w w:val="105"/>
          <w:sz w:val="17"/>
        </w:rPr>
        <w:t> transport</w:t>
      </w:r>
      <w:r>
        <w:rPr>
          <w:color w:val="231F20"/>
          <w:w w:val="105"/>
          <w:sz w:val="17"/>
        </w:rPr>
        <w:t> of radioactive material. This protection is achieved by requiring:</w:t>
      </w:r>
    </w:p>
    <w:p>
      <w:pPr>
        <w:pStyle w:val="ListParagraph"/>
        <w:numPr>
          <w:ilvl w:val="0"/>
          <w:numId w:val="2"/>
        </w:numPr>
        <w:tabs>
          <w:tab w:pos="2856" w:val="left" w:leader="none"/>
        </w:tabs>
        <w:spacing w:line="240" w:lineRule="auto" w:before="94" w:after="0"/>
        <w:ind w:left="2856" w:right="0" w:hanging="359"/>
        <w:jc w:val="both"/>
        <w:rPr>
          <w:sz w:val="17"/>
        </w:rPr>
      </w:pPr>
      <w:r>
        <w:rPr>
          <w:color w:val="231F20"/>
          <w:w w:val="105"/>
          <w:sz w:val="17"/>
        </w:rPr>
        <w:t>containment of</w:t>
      </w:r>
      <w:r>
        <w:rPr>
          <w:color w:val="231F20"/>
          <w:spacing w:val="1"/>
          <w:w w:val="105"/>
          <w:sz w:val="17"/>
        </w:rPr>
        <w:t> </w:t>
      </w:r>
      <w:r>
        <w:rPr>
          <w:color w:val="231F20"/>
          <w:w w:val="105"/>
          <w:sz w:val="17"/>
        </w:rPr>
        <w:t>the radioactive</w:t>
      </w:r>
      <w:r>
        <w:rPr>
          <w:color w:val="231F20"/>
          <w:spacing w:val="1"/>
          <w:w w:val="105"/>
          <w:sz w:val="17"/>
        </w:rPr>
        <w:t> </w:t>
      </w:r>
      <w:r>
        <w:rPr>
          <w:color w:val="231F20"/>
          <w:spacing w:val="-2"/>
          <w:w w:val="105"/>
          <w:sz w:val="17"/>
        </w:rPr>
        <w:t>contents;</w:t>
      </w:r>
    </w:p>
    <w:p>
      <w:pPr>
        <w:pStyle w:val="ListParagraph"/>
        <w:numPr>
          <w:ilvl w:val="0"/>
          <w:numId w:val="2"/>
        </w:numPr>
        <w:tabs>
          <w:tab w:pos="2855" w:val="left" w:leader="none"/>
        </w:tabs>
        <w:spacing w:line="240" w:lineRule="auto" w:before="105" w:after="0"/>
        <w:ind w:left="2855" w:right="0" w:hanging="358"/>
        <w:jc w:val="both"/>
        <w:rPr>
          <w:sz w:val="17"/>
        </w:rPr>
      </w:pPr>
      <w:r>
        <w:rPr>
          <w:color w:val="231F20"/>
          <w:w w:val="105"/>
          <w:sz w:val="17"/>
        </w:rPr>
        <w:t>control of</w:t>
      </w:r>
      <w:r>
        <w:rPr>
          <w:color w:val="231F20"/>
          <w:spacing w:val="1"/>
          <w:w w:val="105"/>
          <w:sz w:val="17"/>
        </w:rPr>
        <w:t> </w:t>
      </w:r>
      <w:r>
        <w:rPr>
          <w:color w:val="231F20"/>
          <w:w w:val="105"/>
          <w:sz w:val="17"/>
        </w:rPr>
        <w:t>external</w:t>
      </w:r>
      <w:r>
        <w:rPr>
          <w:color w:val="231F20"/>
          <w:spacing w:val="1"/>
          <w:w w:val="105"/>
          <w:sz w:val="17"/>
        </w:rPr>
        <w:t> </w:t>
      </w:r>
      <w:r>
        <w:rPr>
          <w:color w:val="231F20"/>
          <w:w w:val="105"/>
          <w:sz w:val="17"/>
        </w:rPr>
        <w:t>dose </w:t>
      </w:r>
      <w:r>
        <w:rPr>
          <w:color w:val="231F20"/>
          <w:spacing w:val="-2"/>
          <w:w w:val="105"/>
          <w:sz w:val="17"/>
        </w:rPr>
        <w:t>rate;</w:t>
      </w:r>
    </w:p>
    <w:p>
      <w:pPr>
        <w:pStyle w:val="ListParagraph"/>
        <w:numPr>
          <w:ilvl w:val="0"/>
          <w:numId w:val="2"/>
        </w:numPr>
        <w:tabs>
          <w:tab w:pos="2855" w:val="left" w:leader="none"/>
        </w:tabs>
        <w:spacing w:line="240" w:lineRule="auto" w:before="106" w:after="0"/>
        <w:ind w:left="2855" w:right="0" w:hanging="358"/>
        <w:jc w:val="both"/>
        <w:rPr>
          <w:sz w:val="17"/>
        </w:rPr>
      </w:pPr>
      <w:r>
        <w:rPr>
          <w:color w:val="231F20"/>
          <w:w w:val="105"/>
          <w:sz w:val="17"/>
        </w:rPr>
        <w:t>prevention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criticality;</w:t>
      </w:r>
      <w:r>
        <w:rPr>
          <w:color w:val="231F20"/>
          <w:spacing w:val="4"/>
          <w:w w:val="105"/>
          <w:sz w:val="17"/>
        </w:rPr>
        <w:t> </w:t>
      </w:r>
      <w:r>
        <w:rPr>
          <w:color w:val="231F20"/>
          <w:spacing w:val="-5"/>
          <w:w w:val="105"/>
          <w:sz w:val="17"/>
        </w:rPr>
        <w:t>and</w:t>
      </w:r>
    </w:p>
    <w:p>
      <w:pPr>
        <w:pStyle w:val="ListParagraph"/>
        <w:numPr>
          <w:ilvl w:val="0"/>
          <w:numId w:val="2"/>
        </w:numPr>
        <w:tabs>
          <w:tab w:pos="2856" w:val="left" w:leader="none"/>
        </w:tabs>
        <w:spacing w:line="240" w:lineRule="auto" w:before="105" w:after="0"/>
        <w:ind w:left="2856" w:right="0" w:hanging="359"/>
        <w:jc w:val="both"/>
        <w:rPr>
          <w:sz w:val="17"/>
        </w:rPr>
      </w:pPr>
      <w:r>
        <w:rPr>
          <w:color w:val="231F20"/>
          <w:w w:val="105"/>
          <w:sz w:val="17"/>
        </w:rPr>
        <w:t>prevention</w:t>
      </w:r>
      <w:r>
        <w:rPr>
          <w:color w:val="231F20"/>
          <w:spacing w:val="-4"/>
          <w:w w:val="105"/>
          <w:sz w:val="17"/>
        </w:rPr>
        <w:t> </w:t>
      </w:r>
      <w:r>
        <w:rPr>
          <w:color w:val="231F20"/>
          <w:w w:val="105"/>
          <w:sz w:val="17"/>
        </w:rPr>
        <w:t>of</w:t>
      </w:r>
      <w:r>
        <w:rPr>
          <w:color w:val="231F20"/>
          <w:spacing w:val="-3"/>
          <w:w w:val="105"/>
          <w:sz w:val="17"/>
        </w:rPr>
        <w:t> </w:t>
      </w:r>
      <w:r>
        <w:rPr>
          <w:color w:val="231F20"/>
          <w:w w:val="105"/>
          <w:sz w:val="17"/>
        </w:rPr>
        <w:t>damage</w:t>
      </w:r>
      <w:r>
        <w:rPr>
          <w:color w:val="231F20"/>
          <w:spacing w:val="-3"/>
          <w:w w:val="105"/>
          <w:sz w:val="17"/>
        </w:rPr>
        <w:t> </w:t>
      </w:r>
      <w:r>
        <w:rPr>
          <w:color w:val="231F20"/>
          <w:w w:val="105"/>
          <w:sz w:val="17"/>
        </w:rPr>
        <w:t>caused</w:t>
      </w:r>
      <w:r>
        <w:rPr>
          <w:color w:val="231F20"/>
          <w:spacing w:val="-3"/>
          <w:w w:val="105"/>
          <w:sz w:val="17"/>
        </w:rPr>
        <w:t> </w:t>
      </w:r>
      <w:r>
        <w:rPr>
          <w:color w:val="231F20"/>
          <w:w w:val="105"/>
          <w:sz w:val="17"/>
        </w:rPr>
        <w:t>by</w:t>
      </w:r>
      <w:r>
        <w:rPr>
          <w:color w:val="231F20"/>
          <w:spacing w:val="-4"/>
          <w:w w:val="105"/>
          <w:sz w:val="17"/>
        </w:rPr>
        <w:t> heat.</w:t>
      </w:r>
    </w:p>
    <w:p>
      <w:pPr>
        <w:pStyle w:val="BodyText"/>
        <w:spacing w:line="256" w:lineRule="auto" w:before="153"/>
        <w:ind w:left="2497" w:right="847"/>
        <w:jc w:val="both"/>
      </w:pPr>
      <w:r>
        <w:rPr>
          <w:color w:val="231F20"/>
          <w:w w:val="105"/>
        </w:rPr>
        <w:t>These</w:t>
      </w:r>
      <w:r>
        <w:rPr>
          <w:color w:val="231F20"/>
          <w:w w:val="105"/>
        </w:rPr>
        <w:t> provisions</w:t>
      </w:r>
      <w:r>
        <w:rPr>
          <w:color w:val="231F20"/>
          <w:w w:val="105"/>
        </w:rPr>
        <w:t> are</w:t>
      </w:r>
      <w:r>
        <w:rPr>
          <w:color w:val="231F20"/>
          <w:w w:val="105"/>
        </w:rPr>
        <w:t> satisfied</w:t>
      </w:r>
      <w:r>
        <w:rPr>
          <w:color w:val="231F20"/>
          <w:w w:val="105"/>
        </w:rPr>
        <w:t> firstly</w:t>
      </w:r>
      <w:r>
        <w:rPr>
          <w:color w:val="231F20"/>
          <w:w w:val="105"/>
        </w:rPr>
        <w:t> by</w:t>
      </w:r>
      <w:r>
        <w:rPr>
          <w:color w:val="231F20"/>
          <w:w w:val="105"/>
        </w:rPr>
        <w:t> applying</w:t>
      </w:r>
      <w:r>
        <w:rPr>
          <w:color w:val="231F20"/>
          <w:w w:val="105"/>
        </w:rPr>
        <w:t> a</w:t>
      </w:r>
      <w:r>
        <w:rPr>
          <w:color w:val="231F20"/>
          <w:w w:val="105"/>
        </w:rPr>
        <w:t> graded</w:t>
      </w:r>
      <w:r>
        <w:rPr>
          <w:color w:val="231F20"/>
          <w:w w:val="105"/>
        </w:rPr>
        <w:t> approach</w:t>
      </w:r>
      <w:r>
        <w:rPr>
          <w:color w:val="231F20"/>
          <w:w w:val="105"/>
        </w:rPr>
        <w:t> to</w:t>
      </w:r>
      <w:r>
        <w:rPr>
          <w:color w:val="231F20"/>
          <w:w w:val="105"/>
        </w:rPr>
        <w:t> contents</w:t>
      </w:r>
      <w:r>
        <w:rPr>
          <w:color w:val="231F20"/>
          <w:w w:val="105"/>
        </w:rPr>
        <w:t> limits</w:t>
      </w:r>
      <w:r>
        <w:rPr>
          <w:color w:val="231F20"/>
          <w:w w:val="105"/>
        </w:rPr>
        <w:t> for</w:t>
      </w:r>
      <w:r>
        <w:rPr>
          <w:color w:val="231F20"/>
          <w:w w:val="105"/>
        </w:rPr>
        <w:t> packages</w:t>
      </w:r>
      <w:r>
        <w:rPr>
          <w:color w:val="231F20"/>
          <w:w w:val="105"/>
        </w:rPr>
        <w:t> and conveyances and to performance standards applied to package designs depending upon the hazard of the radioactive contents. Secondly, they are satisfied by imposing conditions on the design and operation of packages and on the maintenance of packagings, including a consideration of the nature of the radioactive </w:t>
      </w:r>
      <w:r>
        <w:rPr>
          <w:color w:val="231F20"/>
        </w:rPr>
        <w:t>contents.</w:t>
      </w:r>
      <w:r>
        <w:rPr>
          <w:color w:val="231F20"/>
          <w:spacing w:val="21"/>
        </w:rPr>
        <w:t> </w:t>
      </w:r>
      <w:r>
        <w:rPr>
          <w:color w:val="231F20"/>
        </w:rPr>
        <w:t>Thirdly,</w:t>
      </w:r>
      <w:r>
        <w:rPr>
          <w:color w:val="231F20"/>
          <w:spacing w:val="21"/>
        </w:rPr>
        <w:t> </w:t>
      </w:r>
      <w:r>
        <w:rPr>
          <w:color w:val="231F20"/>
        </w:rPr>
        <w:t>they</w:t>
      </w:r>
      <w:r>
        <w:rPr>
          <w:color w:val="231F20"/>
          <w:spacing w:val="21"/>
        </w:rPr>
        <w:t> </w:t>
      </w:r>
      <w:r>
        <w:rPr>
          <w:color w:val="231F20"/>
        </w:rPr>
        <w:t>are</w:t>
      </w:r>
      <w:r>
        <w:rPr>
          <w:color w:val="231F20"/>
          <w:spacing w:val="21"/>
        </w:rPr>
        <w:t> </w:t>
      </w:r>
      <w:r>
        <w:rPr>
          <w:color w:val="231F20"/>
        </w:rPr>
        <w:t>satisfied</w:t>
      </w:r>
      <w:r>
        <w:rPr>
          <w:color w:val="231F20"/>
          <w:spacing w:val="21"/>
        </w:rPr>
        <w:t> </w:t>
      </w:r>
      <w:r>
        <w:rPr>
          <w:color w:val="231F20"/>
        </w:rPr>
        <w:t>by</w:t>
      </w:r>
      <w:r>
        <w:rPr>
          <w:color w:val="231F20"/>
          <w:spacing w:val="21"/>
        </w:rPr>
        <w:t> </w:t>
      </w:r>
      <w:r>
        <w:rPr>
          <w:color w:val="231F20"/>
        </w:rPr>
        <w:t>requiring</w:t>
      </w:r>
      <w:r>
        <w:rPr>
          <w:color w:val="231F20"/>
          <w:spacing w:val="21"/>
        </w:rPr>
        <w:t> </w:t>
      </w:r>
      <w:r>
        <w:rPr>
          <w:color w:val="231F20"/>
        </w:rPr>
        <w:t>administrative</w:t>
      </w:r>
      <w:r>
        <w:rPr>
          <w:color w:val="231F20"/>
          <w:spacing w:val="21"/>
        </w:rPr>
        <w:t> </w:t>
      </w:r>
      <w:r>
        <w:rPr>
          <w:color w:val="231F20"/>
        </w:rPr>
        <w:t>controls</w:t>
      </w:r>
      <w:r>
        <w:rPr>
          <w:color w:val="231F20"/>
          <w:spacing w:val="21"/>
        </w:rPr>
        <w:t> </w:t>
      </w:r>
      <w:r>
        <w:rPr>
          <w:color w:val="231F20"/>
        </w:rPr>
        <w:t>including,</w:t>
      </w:r>
      <w:r>
        <w:rPr>
          <w:color w:val="231F20"/>
          <w:spacing w:val="21"/>
        </w:rPr>
        <w:t> </w:t>
      </w:r>
      <w:r>
        <w:rPr>
          <w:color w:val="231F20"/>
        </w:rPr>
        <w:t>where</w:t>
      </w:r>
      <w:r>
        <w:rPr>
          <w:color w:val="231F20"/>
          <w:spacing w:val="21"/>
        </w:rPr>
        <w:t> </w:t>
      </w:r>
      <w:r>
        <w:rPr>
          <w:color w:val="231F20"/>
        </w:rPr>
        <w:t>appropriate,</w:t>
      </w:r>
      <w:r>
        <w:rPr>
          <w:color w:val="231F20"/>
          <w:spacing w:val="21"/>
        </w:rPr>
        <w:t> </w:t>
      </w:r>
      <w:r>
        <w:rPr>
          <w:color w:val="231F20"/>
        </w:rPr>
        <w:t>approval </w:t>
      </w:r>
      <w:r>
        <w:rPr>
          <w:color w:val="231F20"/>
          <w:w w:val="105"/>
        </w:rPr>
        <w:t>by competent authorities. Finally, further protection is provided by making arrangements for planning and preparing emergency response to protect people, property and the environment.</w:t>
      </w:r>
    </w:p>
    <w:p>
      <w:pPr>
        <w:pStyle w:val="ListParagraph"/>
        <w:numPr>
          <w:ilvl w:val="3"/>
          <w:numId w:val="1"/>
        </w:numPr>
        <w:tabs>
          <w:tab w:pos="2497" w:val="left" w:leader="none"/>
        </w:tabs>
        <w:spacing w:line="256" w:lineRule="auto" w:before="191" w:after="0"/>
        <w:ind w:left="2497" w:right="847" w:hanging="1080"/>
        <w:jc w:val="both"/>
        <w:rPr>
          <w:color w:val="231F20"/>
          <w:sz w:val="17"/>
        </w:rPr>
      </w:pPr>
      <w:r>
        <w:rPr>
          <w:color w:val="231F20"/>
          <w:w w:val="105"/>
          <w:sz w:val="17"/>
        </w:rPr>
        <w:t>The</w:t>
      </w:r>
      <w:r>
        <w:rPr>
          <w:color w:val="231F20"/>
          <w:spacing w:val="12"/>
          <w:w w:val="105"/>
          <w:sz w:val="17"/>
        </w:rPr>
        <w:t> </w:t>
      </w:r>
      <w:r>
        <w:rPr>
          <w:color w:val="231F20"/>
          <w:w w:val="105"/>
          <w:sz w:val="17"/>
        </w:rPr>
        <w:t>provisions</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this</w:t>
      </w:r>
      <w:r>
        <w:rPr>
          <w:color w:val="231F20"/>
          <w:spacing w:val="12"/>
          <w:w w:val="105"/>
          <w:sz w:val="17"/>
        </w:rPr>
        <w:t> </w:t>
      </w:r>
      <w:r>
        <w:rPr>
          <w:color w:val="231F20"/>
          <w:w w:val="105"/>
          <w:sz w:val="17"/>
        </w:rPr>
        <w:t>Code</w:t>
      </w:r>
      <w:r>
        <w:rPr>
          <w:color w:val="231F20"/>
          <w:spacing w:val="12"/>
          <w:w w:val="105"/>
          <w:sz w:val="17"/>
        </w:rPr>
        <w:t> </w:t>
      </w:r>
      <w:r>
        <w:rPr>
          <w:color w:val="231F20"/>
          <w:w w:val="105"/>
          <w:sz w:val="17"/>
        </w:rPr>
        <w:t>apply</w:t>
      </w:r>
      <w:r>
        <w:rPr>
          <w:color w:val="231F20"/>
          <w:spacing w:val="12"/>
          <w:w w:val="105"/>
          <w:sz w:val="17"/>
        </w:rPr>
        <w:t> </w:t>
      </w:r>
      <w:r>
        <w:rPr>
          <w:color w:val="231F20"/>
          <w:w w:val="105"/>
          <w:sz w:val="17"/>
        </w:rPr>
        <w:t>to</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transport</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radioactive</w:t>
      </w:r>
      <w:r>
        <w:rPr>
          <w:color w:val="231F20"/>
          <w:spacing w:val="12"/>
          <w:w w:val="105"/>
          <w:sz w:val="17"/>
        </w:rPr>
        <w:t> </w:t>
      </w:r>
      <w:r>
        <w:rPr>
          <w:color w:val="231F20"/>
          <w:w w:val="105"/>
          <w:sz w:val="17"/>
        </w:rPr>
        <w:t>material</w:t>
      </w:r>
      <w:r>
        <w:rPr>
          <w:color w:val="231F20"/>
          <w:spacing w:val="12"/>
          <w:w w:val="105"/>
          <w:sz w:val="17"/>
        </w:rPr>
        <w:t> </w:t>
      </w:r>
      <w:r>
        <w:rPr>
          <w:color w:val="231F20"/>
          <w:w w:val="105"/>
          <w:sz w:val="17"/>
        </w:rPr>
        <w:t>by</w:t>
      </w:r>
      <w:r>
        <w:rPr>
          <w:color w:val="231F20"/>
          <w:spacing w:val="12"/>
          <w:w w:val="105"/>
          <w:sz w:val="17"/>
        </w:rPr>
        <w:t> </w:t>
      </w:r>
      <w:r>
        <w:rPr>
          <w:color w:val="231F20"/>
          <w:w w:val="105"/>
          <w:sz w:val="17"/>
        </w:rPr>
        <w:t>sea,</w:t>
      </w:r>
      <w:r>
        <w:rPr>
          <w:color w:val="231F20"/>
          <w:spacing w:val="12"/>
          <w:w w:val="105"/>
          <w:sz w:val="17"/>
        </w:rPr>
        <w:t> </w:t>
      </w:r>
      <w:r>
        <w:rPr>
          <w:color w:val="231F20"/>
          <w:w w:val="105"/>
          <w:sz w:val="17"/>
        </w:rPr>
        <w:t>including</w:t>
      </w:r>
      <w:r>
        <w:rPr>
          <w:color w:val="231F20"/>
          <w:spacing w:val="12"/>
          <w:w w:val="105"/>
          <w:sz w:val="17"/>
        </w:rPr>
        <w:t> </w:t>
      </w:r>
      <w:r>
        <w:rPr>
          <w:color w:val="231F20"/>
          <w:w w:val="105"/>
          <w:sz w:val="17"/>
        </w:rPr>
        <w:t>transport</w:t>
      </w:r>
      <w:r>
        <w:rPr>
          <w:color w:val="231F20"/>
          <w:spacing w:val="12"/>
          <w:w w:val="105"/>
          <w:sz w:val="17"/>
        </w:rPr>
        <w:t> </w:t>
      </w:r>
      <w:r>
        <w:rPr>
          <w:color w:val="231F20"/>
          <w:w w:val="105"/>
          <w:sz w:val="17"/>
        </w:rPr>
        <w:t>which is</w:t>
      </w:r>
      <w:r>
        <w:rPr>
          <w:color w:val="231F20"/>
          <w:w w:val="105"/>
          <w:sz w:val="17"/>
        </w:rPr>
        <w:t> incidental</w:t>
      </w:r>
      <w:r>
        <w:rPr>
          <w:color w:val="231F20"/>
          <w:w w:val="105"/>
          <w:sz w:val="17"/>
        </w:rPr>
        <w:t> to</w:t>
      </w:r>
      <w:r>
        <w:rPr>
          <w:color w:val="231F20"/>
          <w:w w:val="105"/>
          <w:sz w:val="17"/>
        </w:rPr>
        <w:t> the</w:t>
      </w:r>
      <w:r>
        <w:rPr>
          <w:color w:val="231F20"/>
          <w:w w:val="105"/>
          <w:sz w:val="17"/>
        </w:rPr>
        <w:t> use</w:t>
      </w:r>
      <w:r>
        <w:rPr>
          <w:color w:val="231F20"/>
          <w:w w:val="105"/>
          <w:sz w:val="17"/>
        </w:rPr>
        <w:t> of</w:t>
      </w:r>
      <w:r>
        <w:rPr>
          <w:color w:val="231F20"/>
          <w:w w:val="105"/>
          <w:sz w:val="17"/>
        </w:rPr>
        <w:t> the</w:t>
      </w:r>
      <w:r>
        <w:rPr>
          <w:color w:val="231F20"/>
          <w:w w:val="105"/>
          <w:sz w:val="17"/>
        </w:rPr>
        <w:t> radioactive</w:t>
      </w:r>
      <w:r>
        <w:rPr>
          <w:color w:val="231F20"/>
          <w:w w:val="105"/>
          <w:sz w:val="17"/>
        </w:rPr>
        <w:t> material.</w:t>
      </w:r>
      <w:r>
        <w:rPr>
          <w:color w:val="231F20"/>
          <w:w w:val="105"/>
          <w:sz w:val="17"/>
        </w:rPr>
        <w:t> Transport</w:t>
      </w:r>
      <w:r>
        <w:rPr>
          <w:color w:val="231F20"/>
          <w:w w:val="105"/>
          <w:sz w:val="17"/>
        </w:rPr>
        <w:t> comprises</w:t>
      </w:r>
      <w:r>
        <w:rPr>
          <w:color w:val="231F20"/>
          <w:w w:val="105"/>
          <w:sz w:val="17"/>
        </w:rPr>
        <w:t> all</w:t>
      </w:r>
      <w:r>
        <w:rPr>
          <w:color w:val="231F20"/>
          <w:w w:val="105"/>
          <w:sz w:val="17"/>
        </w:rPr>
        <w:t> operations</w:t>
      </w:r>
      <w:r>
        <w:rPr>
          <w:color w:val="231F20"/>
          <w:w w:val="105"/>
          <w:sz w:val="17"/>
        </w:rPr>
        <w:t> and</w:t>
      </w:r>
      <w:r>
        <w:rPr>
          <w:color w:val="231F20"/>
          <w:w w:val="105"/>
          <w:sz w:val="17"/>
        </w:rPr>
        <w:t> conditions associated</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and</w:t>
      </w:r>
      <w:r>
        <w:rPr>
          <w:color w:val="231F20"/>
          <w:spacing w:val="-6"/>
          <w:w w:val="105"/>
          <w:sz w:val="17"/>
        </w:rPr>
        <w:t> </w:t>
      </w:r>
      <w:r>
        <w:rPr>
          <w:color w:val="231F20"/>
          <w:w w:val="105"/>
          <w:sz w:val="17"/>
        </w:rPr>
        <w:t>involved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movement</w:t>
      </w:r>
      <w:r>
        <w:rPr>
          <w:color w:val="231F20"/>
          <w:spacing w:val="-6"/>
          <w:w w:val="105"/>
          <w:sz w:val="17"/>
        </w:rPr>
        <w:t> </w:t>
      </w:r>
      <w:r>
        <w:rPr>
          <w:color w:val="231F20"/>
          <w:w w:val="105"/>
          <w:sz w:val="17"/>
        </w:rPr>
        <w:t>of</w:t>
      </w:r>
      <w:r>
        <w:rPr>
          <w:color w:val="231F20"/>
          <w:spacing w:val="-6"/>
          <w:w w:val="105"/>
          <w:sz w:val="17"/>
        </w:rPr>
        <w:t> </w:t>
      </w:r>
      <w:r>
        <w:rPr>
          <w:color w:val="231F20"/>
          <w:w w:val="105"/>
          <w:sz w:val="17"/>
        </w:rPr>
        <w:t>radioactive</w:t>
      </w:r>
      <w:r>
        <w:rPr>
          <w:color w:val="231F20"/>
          <w:spacing w:val="-6"/>
          <w:w w:val="105"/>
          <w:sz w:val="17"/>
        </w:rPr>
        <w:t> </w:t>
      </w:r>
      <w:r>
        <w:rPr>
          <w:color w:val="231F20"/>
          <w:w w:val="105"/>
          <w:sz w:val="17"/>
        </w:rPr>
        <w:t>material;</w:t>
      </w:r>
      <w:r>
        <w:rPr>
          <w:color w:val="231F20"/>
          <w:spacing w:val="-6"/>
          <w:w w:val="105"/>
          <w:sz w:val="17"/>
        </w:rPr>
        <w:t> </w:t>
      </w:r>
      <w:r>
        <w:rPr>
          <w:color w:val="231F20"/>
          <w:w w:val="105"/>
          <w:sz w:val="17"/>
        </w:rPr>
        <w:t>these</w:t>
      </w:r>
      <w:r>
        <w:rPr>
          <w:color w:val="231F20"/>
          <w:spacing w:val="-6"/>
          <w:w w:val="105"/>
          <w:sz w:val="17"/>
        </w:rPr>
        <w:t> </w:t>
      </w:r>
      <w:r>
        <w:rPr>
          <w:color w:val="231F20"/>
          <w:w w:val="105"/>
          <w:sz w:val="17"/>
        </w:rPr>
        <w:t>include</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design,</w:t>
      </w:r>
      <w:r>
        <w:rPr>
          <w:color w:val="231F20"/>
          <w:spacing w:val="-6"/>
          <w:w w:val="105"/>
          <w:sz w:val="17"/>
        </w:rPr>
        <w:t> </w:t>
      </w:r>
      <w:r>
        <w:rPr>
          <w:color w:val="231F20"/>
          <w:w w:val="105"/>
          <w:sz w:val="17"/>
        </w:rPr>
        <w:t>manufacture, maintenance and repair of packaging, and the preparation, consigning, loading, transport including in-transit storage,</w:t>
      </w:r>
      <w:r>
        <w:rPr>
          <w:color w:val="231F20"/>
          <w:spacing w:val="-8"/>
          <w:w w:val="105"/>
          <w:sz w:val="17"/>
        </w:rPr>
        <w:t> </w:t>
      </w:r>
      <w:r>
        <w:rPr>
          <w:color w:val="231F20"/>
          <w:w w:val="105"/>
          <w:sz w:val="17"/>
        </w:rPr>
        <w:t>unloading</w:t>
      </w:r>
      <w:r>
        <w:rPr>
          <w:color w:val="231F20"/>
          <w:spacing w:val="-8"/>
          <w:w w:val="105"/>
          <w:sz w:val="17"/>
        </w:rPr>
        <w:t> </w:t>
      </w:r>
      <w:r>
        <w:rPr>
          <w:color w:val="231F20"/>
          <w:w w:val="105"/>
          <w:sz w:val="17"/>
        </w:rPr>
        <w:t>and</w:t>
      </w:r>
      <w:r>
        <w:rPr>
          <w:color w:val="231F20"/>
          <w:spacing w:val="-8"/>
          <w:w w:val="105"/>
          <w:sz w:val="17"/>
        </w:rPr>
        <w:t> </w:t>
      </w:r>
      <w:r>
        <w:rPr>
          <w:color w:val="231F20"/>
          <w:w w:val="105"/>
          <w:sz w:val="17"/>
        </w:rPr>
        <w:t>receipt</w:t>
      </w:r>
      <w:r>
        <w:rPr>
          <w:color w:val="231F20"/>
          <w:spacing w:val="-8"/>
          <w:w w:val="105"/>
          <w:sz w:val="17"/>
        </w:rPr>
        <w:t> </w:t>
      </w:r>
      <w:r>
        <w:rPr>
          <w:color w:val="231F20"/>
          <w:w w:val="105"/>
          <w:sz w:val="17"/>
        </w:rPr>
        <w:t>at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final</w:t>
      </w:r>
      <w:r>
        <w:rPr>
          <w:color w:val="231F20"/>
          <w:spacing w:val="-8"/>
          <w:w w:val="105"/>
          <w:sz w:val="17"/>
        </w:rPr>
        <w:t> </w:t>
      </w:r>
      <w:r>
        <w:rPr>
          <w:color w:val="231F20"/>
          <w:w w:val="105"/>
          <w:sz w:val="17"/>
        </w:rPr>
        <w:t>destination</w:t>
      </w:r>
      <w:r>
        <w:rPr>
          <w:color w:val="231F20"/>
          <w:spacing w:val="-8"/>
          <w:w w:val="105"/>
          <w:sz w:val="17"/>
        </w:rPr>
        <w:t> </w:t>
      </w:r>
      <w:r>
        <w:rPr>
          <w:color w:val="231F20"/>
          <w:w w:val="105"/>
          <w:sz w:val="17"/>
        </w:rPr>
        <w:t>of</w:t>
      </w:r>
      <w:r>
        <w:rPr>
          <w:color w:val="231F20"/>
          <w:spacing w:val="-8"/>
          <w:w w:val="105"/>
          <w:sz w:val="17"/>
        </w:rPr>
        <w:t> </w:t>
      </w:r>
      <w:r>
        <w:rPr>
          <w:color w:val="231F20"/>
          <w:w w:val="105"/>
          <w:sz w:val="17"/>
        </w:rPr>
        <w:t>loads</w:t>
      </w:r>
      <w:r>
        <w:rPr>
          <w:color w:val="231F20"/>
          <w:spacing w:val="-8"/>
          <w:w w:val="105"/>
          <w:sz w:val="17"/>
        </w:rPr>
        <w:t> </w:t>
      </w:r>
      <w:r>
        <w:rPr>
          <w:color w:val="231F20"/>
          <w:w w:val="105"/>
          <w:sz w:val="17"/>
        </w:rPr>
        <w:t>of</w:t>
      </w:r>
      <w:r>
        <w:rPr>
          <w:color w:val="231F20"/>
          <w:spacing w:val="-8"/>
          <w:w w:val="105"/>
          <w:sz w:val="17"/>
        </w:rPr>
        <w:t> </w:t>
      </w:r>
      <w:r>
        <w:rPr>
          <w:color w:val="231F20"/>
          <w:w w:val="105"/>
          <w:sz w:val="17"/>
        </w:rPr>
        <w:t>radioactive</w:t>
      </w:r>
      <w:r>
        <w:rPr>
          <w:color w:val="231F20"/>
          <w:spacing w:val="-8"/>
          <w:w w:val="105"/>
          <w:sz w:val="17"/>
        </w:rPr>
        <w:t> </w:t>
      </w:r>
      <w:r>
        <w:rPr>
          <w:color w:val="231F20"/>
          <w:w w:val="105"/>
          <w:sz w:val="17"/>
        </w:rPr>
        <w:t>material</w:t>
      </w:r>
      <w:r>
        <w:rPr>
          <w:color w:val="231F20"/>
          <w:spacing w:val="-8"/>
          <w:w w:val="105"/>
          <w:sz w:val="17"/>
        </w:rPr>
        <w:t> </w:t>
      </w:r>
      <w:r>
        <w:rPr>
          <w:color w:val="231F20"/>
          <w:w w:val="105"/>
          <w:sz w:val="17"/>
        </w:rPr>
        <w:t>and</w:t>
      </w:r>
      <w:r>
        <w:rPr>
          <w:color w:val="231F20"/>
          <w:spacing w:val="-8"/>
          <w:w w:val="105"/>
          <w:sz w:val="17"/>
        </w:rPr>
        <w:t> </w:t>
      </w:r>
      <w:r>
        <w:rPr>
          <w:color w:val="231F20"/>
          <w:w w:val="105"/>
          <w:sz w:val="17"/>
        </w:rPr>
        <w:t>packages.</w:t>
      </w:r>
      <w:r>
        <w:rPr>
          <w:color w:val="231F20"/>
          <w:spacing w:val="-8"/>
          <w:w w:val="105"/>
          <w:sz w:val="17"/>
        </w:rPr>
        <w:t> </w:t>
      </w:r>
      <w:r>
        <w:rPr>
          <w:color w:val="231F20"/>
          <w:w w:val="105"/>
          <w:sz w:val="17"/>
        </w:rPr>
        <w:t>A</w:t>
      </w:r>
      <w:r>
        <w:rPr>
          <w:color w:val="231F20"/>
          <w:spacing w:val="-8"/>
          <w:w w:val="105"/>
          <w:sz w:val="17"/>
        </w:rPr>
        <w:t> </w:t>
      </w:r>
      <w:r>
        <w:rPr>
          <w:color w:val="231F20"/>
          <w:w w:val="105"/>
          <w:sz w:val="17"/>
        </w:rPr>
        <w:t>graded approach is applied to the performance standards in the provisions of this Code that are characterized by three general severity levels:</w:t>
      </w:r>
    </w:p>
    <w:p>
      <w:pPr>
        <w:pStyle w:val="ListParagraph"/>
        <w:numPr>
          <w:ilvl w:val="0"/>
          <w:numId w:val="3"/>
        </w:numPr>
        <w:tabs>
          <w:tab w:pos="2856" w:val="left" w:leader="none"/>
        </w:tabs>
        <w:spacing w:line="240" w:lineRule="auto" w:before="97" w:after="0"/>
        <w:ind w:left="2856" w:right="0" w:hanging="359"/>
        <w:jc w:val="both"/>
        <w:rPr>
          <w:sz w:val="17"/>
        </w:rPr>
      </w:pPr>
      <w:r>
        <w:rPr>
          <w:color w:val="231F20"/>
          <w:w w:val="105"/>
          <w:sz w:val="17"/>
        </w:rPr>
        <w:t>routine</w:t>
      </w:r>
      <w:r>
        <w:rPr>
          <w:color w:val="231F20"/>
          <w:spacing w:val="7"/>
          <w:w w:val="105"/>
          <w:sz w:val="17"/>
        </w:rPr>
        <w:t> </w:t>
      </w:r>
      <w:r>
        <w:rPr>
          <w:color w:val="231F20"/>
          <w:w w:val="105"/>
          <w:sz w:val="17"/>
        </w:rPr>
        <w:t>conditions</w:t>
      </w:r>
      <w:r>
        <w:rPr>
          <w:color w:val="231F20"/>
          <w:spacing w:val="7"/>
          <w:w w:val="105"/>
          <w:sz w:val="17"/>
        </w:rPr>
        <w:t> </w:t>
      </w:r>
      <w:r>
        <w:rPr>
          <w:color w:val="231F20"/>
          <w:w w:val="105"/>
          <w:sz w:val="17"/>
        </w:rPr>
        <w:t>of</w:t>
      </w:r>
      <w:r>
        <w:rPr>
          <w:color w:val="231F20"/>
          <w:spacing w:val="8"/>
          <w:w w:val="105"/>
          <w:sz w:val="17"/>
        </w:rPr>
        <w:t> </w:t>
      </w:r>
      <w:r>
        <w:rPr>
          <w:color w:val="231F20"/>
          <w:w w:val="105"/>
          <w:sz w:val="17"/>
        </w:rPr>
        <w:t>transport</w:t>
      </w:r>
      <w:r>
        <w:rPr>
          <w:color w:val="231F20"/>
          <w:spacing w:val="7"/>
          <w:w w:val="105"/>
          <w:sz w:val="17"/>
        </w:rPr>
        <w:t> </w:t>
      </w:r>
      <w:r>
        <w:rPr>
          <w:color w:val="231F20"/>
          <w:w w:val="105"/>
          <w:sz w:val="17"/>
        </w:rPr>
        <w:t>(incident-</w:t>
      </w:r>
      <w:r>
        <w:rPr>
          <w:color w:val="231F20"/>
          <w:spacing w:val="-2"/>
          <w:w w:val="105"/>
          <w:sz w:val="17"/>
        </w:rPr>
        <w:t>free);</w:t>
      </w:r>
    </w:p>
    <w:p>
      <w:pPr>
        <w:pStyle w:val="ListParagraph"/>
        <w:numPr>
          <w:ilvl w:val="0"/>
          <w:numId w:val="3"/>
        </w:numPr>
        <w:tabs>
          <w:tab w:pos="2855" w:val="left" w:leader="none"/>
        </w:tabs>
        <w:spacing w:line="240" w:lineRule="auto" w:before="105" w:after="0"/>
        <w:ind w:left="2855" w:right="0" w:hanging="358"/>
        <w:jc w:val="both"/>
        <w:rPr>
          <w:sz w:val="17"/>
        </w:rPr>
      </w:pPr>
      <w:r>
        <w:rPr>
          <w:color w:val="231F20"/>
          <w:w w:val="105"/>
          <w:sz w:val="17"/>
        </w:rPr>
        <w:t>normal</w:t>
      </w:r>
      <w:r>
        <w:rPr>
          <w:color w:val="231F20"/>
          <w:spacing w:val="-2"/>
          <w:w w:val="105"/>
          <w:sz w:val="17"/>
        </w:rPr>
        <w:t> </w:t>
      </w:r>
      <w:r>
        <w:rPr>
          <w:color w:val="231F20"/>
          <w:w w:val="105"/>
          <w:sz w:val="17"/>
        </w:rPr>
        <w:t>conditions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(minor</w:t>
      </w:r>
      <w:r>
        <w:rPr>
          <w:color w:val="231F20"/>
          <w:spacing w:val="-2"/>
          <w:w w:val="105"/>
          <w:sz w:val="17"/>
        </w:rPr>
        <w:t> </w:t>
      </w:r>
      <w:r>
        <w:rPr>
          <w:color w:val="231F20"/>
          <w:w w:val="105"/>
          <w:sz w:val="17"/>
        </w:rPr>
        <w:t>mishaps);</w:t>
      </w:r>
      <w:r>
        <w:rPr>
          <w:color w:val="231F20"/>
          <w:spacing w:val="-1"/>
          <w:w w:val="105"/>
          <w:sz w:val="17"/>
        </w:rPr>
        <w:t> </w:t>
      </w:r>
      <w:r>
        <w:rPr>
          <w:color w:val="231F20"/>
          <w:spacing w:val="-5"/>
          <w:w w:val="105"/>
          <w:sz w:val="17"/>
        </w:rPr>
        <w:t>and</w:t>
      </w:r>
    </w:p>
    <w:p>
      <w:pPr>
        <w:pStyle w:val="ListParagraph"/>
        <w:numPr>
          <w:ilvl w:val="0"/>
          <w:numId w:val="3"/>
        </w:numPr>
        <w:tabs>
          <w:tab w:pos="2855" w:val="left" w:leader="none"/>
        </w:tabs>
        <w:spacing w:line="240" w:lineRule="auto" w:before="106" w:after="0"/>
        <w:ind w:left="2855" w:right="0" w:hanging="358"/>
        <w:jc w:val="both"/>
        <w:rPr>
          <w:sz w:val="17"/>
        </w:rPr>
      </w:pPr>
      <w:r>
        <w:rPr>
          <w:color w:val="231F20"/>
          <w:w w:val="105"/>
          <w:sz w:val="17"/>
        </w:rPr>
        <w:t>accident</w:t>
      </w:r>
      <w:r>
        <w:rPr>
          <w:color w:val="231F20"/>
          <w:spacing w:val="8"/>
          <w:w w:val="105"/>
          <w:sz w:val="17"/>
        </w:rPr>
        <w:t> </w:t>
      </w:r>
      <w:r>
        <w:rPr>
          <w:color w:val="231F20"/>
          <w:w w:val="105"/>
          <w:sz w:val="17"/>
        </w:rPr>
        <w:t>conditions</w:t>
      </w:r>
      <w:r>
        <w:rPr>
          <w:color w:val="231F20"/>
          <w:spacing w:val="9"/>
          <w:w w:val="105"/>
          <w:sz w:val="17"/>
        </w:rPr>
        <w:t> </w:t>
      </w:r>
      <w:r>
        <w:rPr>
          <w:color w:val="231F20"/>
          <w:w w:val="105"/>
          <w:sz w:val="17"/>
        </w:rPr>
        <w:t>of</w:t>
      </w:r>
      <w:r>
        <w:rPr>
          <w:color w:val="231F20"/>
          <w:spacing w:val="9"/>
          <w:w w:val="105"/>
          <w:sz w:val="17"/>
        </w:rPr>
        <w:t> </w:t>
      </w:r>
      <w:r>
        <w:rPr>
          <w:color w:val="231F20"/>
          <w:spacing w:val="-2"/>
          <w:w w:val="105"/>
          <w:sz w:val="17"/>
        </w:rPr>
        <w:t>transport.</w:t>
      </w:r>
    </w:p>
    <w:p>
      <w:pPr>
        <w:pStyle w:val="BodyText"/>
        <w:spacing w:before="4"/>
      </w:pPr>
    </w:p>
    <w:p>
      <w:pPr>
        <w:pStyle w:val="ListParagraph"/>
        <w:numPr>
          <w:ilvl w:val="3"/>
          <w:numId w:val="1"/>
        </w:numPr>
        <w:tabs>
          <w:tab w:pos="2497" w:val="left" w:leader="none"/>
        </w:tabs>
        <w:spacing w:line="240" w:lineRule="auto" w:before="0" w:after="0"/>
        <w:ind w:left="2497" w:right="0" w:hanging="1080"/>
        <w:jc w:val="left"/>
        <w:rPr>
          <w:color w:val="231F20"/>
          <w:sz w:val="17"/>
        </w:rPr>
      </w:pP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w:t>
      </w:r>
      <w:r>
        <w:rPr>
          <w:color w:val="231F20"/>
          <w:spacing w:val="-1"/>
          <w:w w:val="105"/>
          <w:sz w:val="17"/>
        </w:rPr>
        <w:t> </w:t>
      </w:r>
      <w:r>
        <w:rPr>
          <w:color w:val="231F20"/>
          <w:w w:val="105"/>
          <w:sz w:val="17"/>
        </w:rPr>
        <w:t>Code</w:t>
      </w:r>
      <w:r>
        <w:rPr>
          <w:color w:val="231F20"/>
          <w:spacing w:val="-2"/>
          <w:w w:val="105"/>
          <w:sz w:val="17"/>
        </w:rPr>
        <w:t> </w:t>
      </w:r>
      <w:r>
        <w:rPr>
          <w:color w:val="231F20"/>
          <w:w w:val="105"/>
          <w:sz w:val="17"/>
        </w:rPr>
        <w:t>do</w:t>
      </w:r>
      <w:r>
        <w:rPr>
          <w:color w:val="231F20"/>
          <w:spacing w:val="-2"/>
          <w:w w:val="105"/>
          <w:sz w:val="17"/>
        </w:rPr>
        <w:t> </w:t>
      </w:r>
      <w:r>
        <w:rPr>
          <w:color w:val="231F20"/>
          <w:w w:val="105"/>
          <w:sz w:val="17"/>
        </w:rPr>
        <w:t>not</w:t>
      </w:r>
      <w:r>
        <w:rPr>
          <w:color w:val="231F20"/>
          <w:spacing w:val="-1"/>
          <w:w w:val="105"/>
          <w:sz w:val="17"/>
        </w:rPr>
        <w:t> </w:t>
      </w:r>
      <w:r>
        <w:rPr>
          <w:color w:val="231F20"/>
          <w:w w:val="105"/>
          <w:sz w:val="17"/>
        </w:rPr>
        <w:t>apply</w:t>
      </w:r>
      <w:r>
        <w:rPr>
          <w:color w:val="231F20"/>
          <w:spacing w:val="-2"/>
          <w:w w:val="105"/>
          <w:sz w:val="17"/>
        </w:rPr>
        <w:t> </w:t>
      </w:r>
      <w:r>
        <w:rPr>
          <w:color w:val="231F20"/>
          <w:w w:val="105"/>
          <w:sz w:val="17"/>
        </w:rPr>
        <w:t>to</w:t>
      </w:r>
      <w:r>
        <w:rPr>
          <w:color w:val="231F20"/>
          <w:spacing w:val="-2"/>
          <w:w w:val="105"/>
          <w:sz w:val="17"/>
        </w:rPr>
        <w:t> </w:t>
      </w:r>
      <w:r>
        <w:rPr>
          <w:color w:val="231F20"/>
          <w:w w:val="105"/>
          <w:sz w:val="17"/>
        </w:rPr>
        <w:t>any</w:t>
      </w:r>
      <w:r>
        <w:rPr>
          <w:color w:val="231F20"/>
          <w:spacing w:val="-1"/>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following:</w:t>
      </w:r>
    </w:p>
    <w:p>
      <w:pPr>
        <w:pStyle w:val="ListParagraph"/>
        <w:numPr>
          <w:ilvl w:val="0"/>
          <w:numId w:val="4"/>
        </w:numPr>
        <w:tabs>
          <w:tab w:pos="2856" w:val="left" w:leader="none"/>
        </w:tabs>
        <w:spacing w:line="240" w:lineRule="auto" w:before="105" w:after="0"/>
        <w:ind w:left="2856" w:right="0" w:hanging="359"/>
        <w:jc w:val="both"/>
        <w:rPr>
          <w:sz w:val="17"/>
        </w:rPr>
      </w:pPr>
      <w:r>
        <w:rPr>
          <w:color w:val="231F20"/>
          <w:w w:val="105"/>
          <w:sz w:val="17"/>
        </w:rPr>
        <w:t>radioactive</w:t>
      </w:r>
      <w:r>
        <w:rPr>
          <w:color w:val="231F20"/>
          <w:spacing w:val="-3"/>
          <w:w w:val="105"/>
          <w:sz w:val="17"/>
        </w:rPr>
        <w:t> </w:t>
      </w:r>
      <w:r>
        <w:rPr>
          <w:color w:val="231F20"/>
          <w:w w:val="105"/>
          <w:sz w:val="17"/>
        </w:rPr>
        <w:t>material</w:t>
      </w:r>
      <w:r>
        <w:rPr>
          <w:color w:val="231F20"/>
          <w:spacing w:val="-3"/>
          <w:w w:val="105"/>
          <w:sz w:val="17"/>
        </w:rPr>
        <w:t> </w:t>
      </w:r>
      <w:r>
        <w:rPr>
          <w:color w:val="231F20"/>
          <w:w w:val="105"/>
          <w:sz w:val="17"/>
        </w:rPr>
        <w:t>that</w:t>
      </w:r>
      <w:r>
        <w:rPr>
          <w:color w:val="231F20"/>
          <w:spacing w:val="-2"/>
          <w:w w:val="105"/>
          <w:sz w:val="17"/>
        </w:rPr>
        <w:t> </w:t>
      </w:r>
      <w:r>
        <w:rPr>
          <w:color w:val="231F20"/>
          <w:w w:val="105"/>
          <w:sz w:val="17"/>
        </w:rPr>
        <w:t>is</w:t>
      </w:r>
      <w:r>
        <w:rPr>
          <w:color w:val="231F20"/>
          <w:spacing w:val="-3"/>
          <w:w w:val="105"/>
          <w:sz w:val="17"/>
        </w:rPr>
        <w:t> </w:t>
      </w:r>
      <w:r>
        <w:rPr>
          <w:color w:val="231F20"/>
          <w:w w:val="105"/>
          <w:sz w:val="17"/>
        </w:rPr>
        <w:t>an</w:t>
      </w:r>
      <w:r>
        <w:rPr>
          <w:color w:val="231F20"/>
          <w:spacing w:val="-2"/>
          <w:w w:val="105"/>
          <w:sz w:val="17"/>
        </w:rPr>
        <w:t> </w:t>
      </w:r>
      <w:r>
        <w:rPr>
          <w:color w:val="231F20"/>
          <w:w w:val="105"/>
          <w:sz w:val="17"/>
        </w:rPr>
        <w:t>integral</w:t>
      </w:r>
      <w:r>
        <w:rPr>
          <w:color w:val="231F20"/>
          <w:spacing w:val="-3"/>
          <w:w w:val="105"/>
          <w:sz w:val="17"/>
        </w:rPr>
        <w:t> </w:t>
      </w:r>
      <w:r>
        <w:rPr>
          <w:color w:val="231F20"/>
          <w:w w:val="105"/>
          <w:sz w:val="17"/>
        </w:rPr>
        <w:t>part</w:t>
      </w:r>
      <w:r>
        <w:rPr>
          <w:color w:val="231F20"/>
          <w:spacing w:val="-2"/>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means</w:t>
      </w:r>
      <w:r>
        <w:rPr>
          <w:color w:val="231F20"/>
          <w:spacing w:val="-2"/>
          <w:w w:val="105"/>
          <w:sz w:val="17"/>
        </w:rPr>
        <w:t> </w:t>
      </w:r>
      <w:r>
        <w:rPr>
          <w:color w:val="231F20"/>
          <w:w w:val="105"/>
          <w:sz w:val="17"/>
        </w:rPr>
        <w:t>of</w:t>
      </w:r>
      <w:r>
        <w:rPr>
          <w:color w:val="231F20"/>
          <w:spacing w:val="-3"/>
          <w:w w:val="105"/>
          <w:sz w:val="17"/>
        </w:rPr>
        <w:t> </w:t>
      </w:r>
      <w:r>
        <w:rPr>
          <w:color w:val="231F20"/>
          <w:spacing w:val="-2"/>
          <w:w w:val="105"/>
          <w:sz w:val="17"/>
        </w:rPr>
        <w:t>transport;</w:t>
      </w:r>
    </w:p>
    <w:p>
      <w:pPr>
        <w:pStyle w:val="ListParagraph"/>
        <w:numPr>
          <w:ilvl w:val="0"/>
          <w:numId w:val="4"/>
        </w:numPr>
        <w:tabs>
          <w:tab w:pos="2855" w:val="left" w:leader="none"/>
          <w:tab w:pos="2857" w:val="left" w:leader="none"/>
        </w:tabs>
        <w:spacing w:line="256" w:lineRule="auto" w:before="106" w:after="0"/>
        <w:ind w:left="2857" w:right="848" w:hanging="360"/>
        <w:jc w:val="both"/>
        <w:rPr>
          <w:sz w:val="17"/>
        </w:rPr>
      </w:pPr>
      <w:r>
        <w:rPr>
          <w:color w:val="231F20"/>
          <w:w w:val="105"/>
          <w:sz w:val="17"/>
        </w:rPr>
        <w:t>radioactive material moved within an establishment which is subject to appropriate safety regulations in force in the establishment and where the movement does not involve public roads or railways;</w:t>
      </w:r>
    </w:p>
    <w:p>
      <w:pPr>
        <w:pStyle w:val="ListParagraph"/>
        <w:numPr>
          <w:ilvl w:val="0"/>
          <w:numId w:val="4"/>
        </w:numPr>
        <w:tabs>
          <w:tab w:pos="2855" w:val="left" w:leader="none"/>
        </w:tabs>
        <w:spacing w:line="240" w:lineRule="auto" w:before="93" w:after="0"/>
        <w:ind w:left="2855" w:right="0" w:hanging="358"/>
        <w:jc w:val="both"/>
        <w:rPr>
          <w:sz w:val="17"/>
        </w:rPr>
      </w:pPr>
      <w:r>
        <w:rPr>
          <w:color w:val="231F20"/>
          <w:w w:val="105"/>
          <w:sz w:val="17"/>
        </w:rPr>
        <w:t>radioactive</w:t>
      </w:r>
      <w:r>
        <w:rPr>
          <w:color w:val="231F20"/>
          <w:spacing w:val="-2"/>
          <w:w w:val="105"/>
          <w:sz w:val="17"/>
        </w:rPr>
        <w:t> </w:t>
      </w:r>
      <w:r>
        <w:rPr>
          <w:color w:val="231F20"/>
          <w:w w:val="105"/>
          <w:sz w:val="17"/>
        </w:rPr>
        <w:t>material</w:t>
      </w:r>
      <w:r>
        <w:rPr>
          <w:color w:val="231F20"/>
          <w:spacing w:val="-2"/>
          <w:w w:val="105"/>
          <w:sz w:val="17"/>
        </w:rPr>
        <w:t> </w:t>
      </w:r>
      <w:r>
        <w:rPr>
          <w:color w:val="231F20"/>
          <w:w w:val="105"/>
          <w:sz w:val="17"/>
        </w:rPr>
        <w:t>implanted</w:t>
      </w:r>
      <w:r>
        <w:rPr>
          <w:color w:val="231F20"/>
          <w:spacing w:val="-1"/>
          <w:w w:val="105"/>
          <w:sz w:val="17"/>
        </w:rPr>
        <w:t> </w:t>
      </w:r>
      <w:r>
        <w:rPr>
          <w:color w:val="231F20"/>
          <w:w w:val="105"/>
          <w:sz w:val="17"/>
        </w:rPr>
        <w:t>or</w:t>
      </w:r>
      <w:r>
        <w:rPr>
          <w:color w:val="231F20"/>
          <w:spacing w:val="-2"/>
          <w:w w:val="105"/>
          <w:sz w:val="17"/>
        </w:rPr>
        <w:t> </w:t>
      </w:r>
      <w:r>
        <w:rPr>
          <w:color w:val="231F20"/>
          <w:w w:val="105"/>
          <w:sz w:val="17"/>
        </w:rPr>
        <w:t>incorporated</w:t>
      </w:r>
      <w:r>
        <w:rPr>
          <w:color w:val="231F20"/>
          <w:spacing w:val="-2"/>
          <w:w w:val="105"/>
          <w:sz w:val="17"/>
        </w:rPr>
        <w:t> </w:t>
      </w:r>
      <w:r>
        <w:rPr>
          <w:color w:val="231F20"/>
          <w:w w:val="105"/>
          <w:sz w:val="17"/>
        </w:rPr>
        <w:t>into</w:t>
      </w:r>
      <w:r>
        <w:rPr>
          <w:color w:val="231F20"/>
          <w:spacing w:val="-1"/>
          <w:w w:val="105"/>
          <w:sz w:val="17"/>
        </w:rPr>
        <w:t> </w:t>
      </w:r>
      <w:r>
        <w:rPr>
          <w:color w:val="231F20"/>
          <w:w w:val="105"/>
          <w:sz w:val="17"/>
        </w:rPr>
        <w:t>a</w:t>
      </w:r>
      <w:r>
        <w:rPr>
          <w:color w:val="231F20"/>
          <w:spacing w:val="-2"/>
          <w:w w:val="105"/>
          <w:sz w:val="17"/>
        </w:rPr>
        <w:t> </w:t>
      </w:r>
      <w:r>
        <w:rPr>
          <w:color w:val="231F20"/>
          <w:w w:val="105"/>
          <w:sz w:val="17"/>
        </w:rPr>
        <w:t>person</w:t>
      </w:r>
      <w:r>
        <w:rPr>
          <w:color w:val="231F20"/>
          <w:spacing w:val="-1"/>
          <w:w w:val="105"/>
          <w:sz w:val="17"/>
        </w:rPr>
        <w:t> </w:t>
      </w:r>
      <w:r>
        <w:rPr>
          <w:color w:val="231F20"/>
          <w:w w:val="105"/>
          <w:sz w:val="17"/>
        </w:rPr>
        <w:t>or</w:t>
      </w:r>
      <w:r>
        <w:rPr>
          <w:color w:val="231F20"/>
          <w:spacing w:val="-2"/>
          <w:w w:val="105"/>
          <w:sz w:val="17"/>
        </w:rPr>
        <w:t> </w:t>
      </w:r>
      <w:r>
        <w:rPr>
          <w:color w:val="231F20"/>
          <w:w w:val="105"/>
          <w:sz w:val="17"/>
        </w:rPr>
        <w:t>live</w:t>
      </w:r>
      <w:r>
        <w:rPr>
          <w:color w:val="231F20"/>
          <w:spacing w:val="-2"/>
          <w:w w:val="105"/>
          <w:sz w:val="17"/>
        </w:rPr>
        <w:t> </w:t>
      </w:r>
      <w:r>
        <w:rPr>
          <w:color w:val="231F20"/>
          <w:w w:val="105"/>
          <w:sz w:val="17"/>
        </w:rPr>
        <w:t>animal</w:t>
      </w:r>
      <w:r>
        <w:rPr>
          <w:color w:val="231F20"/>
          <w:spacing w:val="-1"/>
          <w:w w:val="105"/>
          <w:sz w:val="17"/>
        </w:rPr>
        <w:t> </w:t>
      </w:r>
      <w:r>
        <w:rPr>
          <w:color w:val="231F20"/>
          <w:w w:val="105"/>
          <w:sz w:val="17"/>
        </w:rPr>
        <w:t>for</w:t>
      </w:r>
      <w:r>
        <w:rPr>
          <w:color w:val="231F20"/>
          <w:spacing w:val="-2"/>
          <w:w w:val="105"/>
          <w:sz w:val="17"/>
        </w:rPr>
        <w:t> </w:t>
      </w:r>
      <w:r>
        <w:rPr>
          <w:color w:val="231F20"/>
          <w:w w:val="105"/>
          <w:sz w:val="17"/>
        </w:rPr>
        <w:t>diagnosis</w:t>
      </w:r>
      <w:r>
        <w:rPr>
          <w:color w:val="231F20"/>
          <w:spacing w:val="-1"/>
          <w:w w:val="105"/>
          <w:sz w:val="17"/>
        </w:rPr>
        <w:t> </w:t>
      </w:r>
      <w:r>
        <w:rPr>
          <w:color w:val="231F20"/>
          <w:w w:val="105"/>
          <w:sz w:val="17"/>
        </w:rPr>
        <w:t>or</w:t>
      </w:r>
      <w:r>
        <w:rPr>
          <w:color w:val="231F20"/>
          <w:spacing w:val="-2"/>
          <w:w w:val="105"/>
          <w:sz w:val="17"/>
        </w:rPr>
        <w:t> treatment;</w:t>
      </w:r>
    </w:p>
    <w:p>
      <w:pPr>
        <w:pStyle w:val="ListParagraph"/>
        <w:numPr>
          <w:ilvl w:val="0"/>
          <w:numId w:val="4"/>
        </w:numPr>
        <w:tabs>
          <w:tab w:pos="2857" w:val="left" w:leader="none"/>
        </w:tabs>
        <w:spacing w:line="256" w:lineRule="auto" w:before="94" w:after="0"/>
        <w:ind w:left="2857" w:right="847" w:hanging="360"/>
        <w:jc w:val="both"/>
        <w:rPr>
          <w:sz w:val="17"/>
        </w:rPr>
      </w:pPr>
      <w:r>
        <w:rPr>
          <w:color w:val="231F20"/>
          <w:w w:val="105"/>
          <w:sz w:val="17"/>
        </w:rPr>
        <w:t>radioactive</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in</w:t>
      </w:r>
      <w:r>
        <w:rPr>
          <w:color w:val="231F20"/>
          <w:spacing w:val="-5"/>
          <w:w w:val="105"/>
          <w:sz w:val="17"/>
        </w:rPr>
        <w:t> </w:t>
      </w:r>
      <w:r>
        <w:rPr>
          <w:color w:val="231F20"/>
          <w:w w:val="105"/>
          <w:sz w:val="17"/>
        </w:rPr>
        <w:t>or</w:t>
      </w:r>
      <w:r>
        <w:rPr>
          <w:color w:val="231F20"/>
          <w:spacing w:val="-5"/>
          <w:w w:val="105"/>
          <w:sz w:val="17"/>
        </w:rPr>
        <w:t> </w:t>
      </w:r>
      <w:r>
        <w:rPr>
          <w:color w:val="231F20"/>
          <w:w w:val="105"/>
          <w:sz w:val="17"/>
        </w:rPr>
        <w:t>on</w:t>
      </w:r>
      <w:r>
        <w:rPr>
          <w:color w:val="231F20"/>
          <w:spacing w:val="-5"/>
          <w:w w:val="105"/>
          <w:sz w:val="17"/>
        </w:rPr>
        <w:t> </w:t>
      </w:r>
      <w:r>
        <w:rPr>
          <w:color w:val="231F20"/>
          <w:w w:val="105"/>
          <w:sz w:val="17"/>
        </w:rPr>
        <w:t>a</w:t>
      </w:r>
      <w:r>
        <w:rPr>
          <w:color w:val="231F20"/>
          <w:spacing w:val="-5"/>
          <w:w w:val="105"/>
          <w:sz w:val="17"/>
        </w:rPr>
        <w:t> </w:t>
      </w:r>
      <w:r>
        <w:rPr>
          <w:color w:val="231F20"/>
          <w:w w:val="105"/>
          <w:sz w:val="17"/>
        </w:rPr>
        <w:t>person</w:t>
      </w:r>
      <w:r>
        <w:rPr>
          <w:color w:val="231F20"/>
          <w:spacing w:val="-5"/>
          <w:w w:val="105"/>
          <w:sz w:val="17"/>
        </w:rPr>
        <w:t> </w:t>
      </w:r>
      <w:r>
        <w:rPr>
          <w:color w:val="231F20"/>
          <w:w w:val="105"/>
          <w:sz w:val="17"/>
        </w:rPr>
        <w:t>who</w:t>
      </w:r>
      <w:r>
        <w:rPr>
          <w:color w:val="231F20"/>
          <w:spacing w:val="-5"/>
          <w:w w:val="105"/>
          <w:sz w:val="17"/>
        </w:rPr>
        <w:t> </w:t>
      </w:r>
      <w:r>
        <w:rPr>
          <w:color w:val="231F20"/>
          <w:w w:val="105"/>
          <w:sz w:val="17"/>
        </w:rPr>
        <w:t>is</w:t>
      </w:r>
      <w:r>
        <w:rPr>
          <w:color w:val="231F20"/>
          <w:spacing w:val="-5"/>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w w:val="105"/>
          <w:sz w:val="17"/>
        </w:rPr>
        <w:t>transported</w:t>
      </w:r>
      <w:r>
        <w:rPr>
          <w:color w:val="231F20"/>
          <w:spacing w:val="-5"/>
          <w:w w:val="105"/>
          <w:sz w:val="17"/>
        </w:rPr>
        <w:t> </w:t>
      </w:r>
      <w:r>
        <w:rPr>
          <w:color w:val="231F20"/>
          <w:w w:val="105"/>
          <w:sz w:val="17"/>
        </w:rPr>
        <w:t>for</w:t>
      </w:r>
      <w:r>
        <w:rPr>
          <w:color w:val="231F20"/>
          <w:spacing w:val="-5"/>
          <w:w w:val="105"/>
          <w:sz w:val="17"/>
        </w:rPr>
        <w:t> </w:t>
      </w:r>
      <w:r>
        <w:rPr>
          <w:color w:val="231F20"/>
          <w:w w:val="105"/>
          <w:sz w:val="17"/>
        </w:rPr>
        <w:t>medical</w:t>
      </w:r>
      <w:r>
        <w:rPr>
          <w:color w:val="231F20"/>
          <w:spacing w:val="-5"/>
          <w:w w:val="105"/>
          <w:sz w:val="17"/>
        </w:rPr>
        <w:t> </w:t>
      </w:r>
      <w:r>
        <w:rPr>
          <w:color w:val="231F20"/>
          <w:w w:val="105"/>
          <w:sz w:val="17"/>
        </w:rPr>
        <w:t>treatment</w:t>
      </w:r>
      <w:r>
        <w:rPr>
          <w:color w:val="231F20"/>
          <w:spacing w:val="-5"/>
          <w:w w:val="105"/>
          <w:sz w:val="17"/>
        </w:rPr>
        <w:t> </w:t>
      </w:r>
      <w:r>
        <w:rPr>
          <w:color w:val="231F20"/>
          <w:w w:val="105"/>
          <w:sz w:val="17"/>
        </w:rPr>
        <w:t>because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person has been subject to accidental or deliberate intake of radioactive material or to contamination;</w:t>
      </w:r>
    </w:p>
    <w:p>
      <w:pPr>
        <w:pStyle w:val="ListParagraph"/>
        <w:numPr>
          <w:ilvl w:val="0"/>
          <w:numId w:val="4"/>
        </w:numPr>
        <w:tabs>
          <w:tab w:pos="2855" w:val="left" w:leader="none"/>
          <w:tab w:pos="2857" w:val="left" w:leader="none"/>
        </w:tabs>
        <w:spacing w:line="256" w:lineRule="auto" w:before="93" w:after="0"/>
        <w:ind w:left="2857" w:right="846" w:hanging="360"/>
        <w:jc w:val="both"/>
        <w:rPr>
          <w:sz w:val="17"/>
        </w:rPr>
      </w:pPr>
      <w:r>
        <w:rPr>
          <w:color w:val="231F20"/>
          <w:w w:val="105"/>
          <w:sz w:val="17"/>
        </w:rPr>
        <w:t>radioactive material in consumer products which have received regulatory approval, following their sale to the end user;</w:t>
      </w:r>
    </w:p>
    <w:p>
      <w:pPr>
        <w:pStyle w:val="ListParagraph"/>
        <w:numPr>
          <w:ilvl w:val="0"/>
          <w:numId w:val="4"/>
        </w:numPr>
        <w:tabs>
          <w:tab w:pos="2857" w:val="left" w:leader="none"/>
        </w:tabs>
        <w:spacing w:line="256" w:lineRule="auto" w:before="82" w:after="0"/>
        <w:ind w:left="2857" w:right="848" w:hanging="360"/>
        <w:jc w:val="both"/>
        <w:rPr>
          <w:sz w:val="17"/>
        </w:rPr>
      </w:pPr>
      <w:r>
        <w:rPr>
          <w:color w:val="231F20"/>
          <w:sz w:val="17"/>
        </w:rPr>
        <w:t>natural material and ores containing naturally occurring radionuclides (which may have been processed), </w:t>
      </w:r>
      <w:r>
        <w:rPr>
          <w:color w:val="231F20"/>
          <w:w w:val="105"/>
          <w:sz w:val="17"/>
        </w:rPr>
        <w:t>provided</w:t>
      </w:r>
      <w:r>
        <w:rPr>
          <w:color w:val="231F20"/>
          <w:w w:val="105"/>
          <w:sz w:val="17"/>
        </w:rPr>
        <w:t> the</w:t>
      </w:r>
      <w:r>
        <w:rPr>
          <w:color w:val="231F20"/>
          <w:w w:val="105"/>
          <w:sz w:val="17"/>
        </w:rPr>
        <w:t> activity</w:t>
      </w:r>
      <w:r>
        <w:rPr>
          <w:color w:val="231F20"/>
          <w:w w:val="105"/>
          <w:sz w:val="17"/>
        </w:rPr>
        <w:t> concentration</w:t>
      </w:r>
      <w:r>
        <w:rPr>
          <w:color w:val="231F20"/>
          <w:w w:val="105"/>
          <w:sz w:val="17"/>
        </w:rPr>
        <w:t> of</w:t>
      </w:r>
      <w:r>
        <w:rPr>
          <w:color w:val="231F20"/>
          <w:w w:val="105"/>
          <w:sz w:val="17"/>
        </w:rPr>
        <w:t> the</w:t>
      </w:r>
      <w:r>
        <w:rPr>
          <w:color w:val="231F20"/>
          <w:w w:val="105"/>
          <w:sz w:val="17"/>
        </w:rPr>
        <w:t> material</w:t>
      </w:r>
      <w:r>
        <w:rPr>
          <w:color w:val="231F20"/>
          <w:w w:val="105"/>
          <w:sz w:val="17"/>
        </w:rPr>
        <w:t> does</w:t>
      </w:r>
      <w:r>
        <w:rPr>
          <w:color w:val="231F20"/>
          <w:w w:val="105"/>
          <w:sz w:val="17"/>
        </w:rPr>
        <w:t> not</w:t>
      </w:r>
      <w:r>
        <w:rPr>
          <w:color w:val="231F20"/>
          <w:w w:val="105"/>
          <w:sz w:val="17"/>
        </w:rPr>
        <w:t> exceed</w:t>
      </w:r>
      <w:r>
        <w:rPr>
          <w:color w:val="231F20"/>
          <w:w w:val="105"/>
          <w:sz w:val="17"/>
        </w:rPr>
        <w:t> 10</w:t>
      </w:r>
      <w:r>
        <w:rPr>
          <w:color w:val="231F20"/>
          <w:w w:val="105"/>
          <w:sz w:val="17"/>
        </w:rPr>
        <w:t> times</w:t>
      </w:r>
      <w:r>
        <w:rPr>
          <w:color w:val="231F20"/>
          <w:w w:val="105"/>
          <w:sz w:val="17"/>
        </w:rPr>
        <w:t> the</w:t>
      </w:r>
      <w:r>
        <w:rPr>
          <w:color w:val="231F20"/>
          <w:w w:val="105"/>
          <w:sz w:val="17"/>
        </w:rPr>
        <w:t> values</w:t>
      </w:r>
      <w:r>
        <w:rPr>
          <w:color w:val="231F20"/>
          <w:w w:val="105"/>
          <w:sz w:val="17"/>
        </w:rPr>
        <w:t> specified</w:t>
      </w:r>
      <w:r>
        <w:rPr>
          <w:color w:val="231F20"/>
          <w:w w:val="105"/>
          <w:sz w:val="17"/>
        </w:rPr>
        <w:t> in</w:t>
      </w:r>
      <w:r>
        <w:rPr>
          <w:color w:val="231F20"/>
          <w:spacing w:val="80"/>
          <w:w w:val="105"/>
          <w:sz w:val="17"/>
        </w:rPr>
        <w:t> </w:t>
      </w:r>
      <w:r>
        <w:rPr>
          <w:color w:val="231F20"/>
          <w:spacing w:val="-2"/>
          <w:w w:val="105"/>
          <w:sz w:val="17"/>
        </w:rPr>
        <w:t>table</w:t>
      </w:r>
      <w:r>
        <w:rPr>
          <w:color w:val="231F20"/>
          <w:spacing w:val="-6"/>
          <w:w w:val="105"/>
          <w:sz w:val="17"/>
        </w:rPr>
        <w:t> </w:t>
      </w:r>
      <w:r>
        <w:rPr>
          <w:color w:val="231F20"/>
          <w:spacing w:val="-2"/>
          <w:w w:val="105"/>
          <w:sz w:val="17"/>
        </w:rPr>
        <w:t>2.7.2.2.1,</w:t>
      </w:r>
      <w:r>
        <w:rPr>
          <w:color w:val="231F20"/>
          <w:spacing w:val="-6"/>
          <w:w w:val="105"/>
          <w:sz w:val="17"/>
        </w:rPr>
        <w:t> </w:t>
      </w:r>
      <w:r>
        <w:rPr>
          <w:color w:val="231F20"/>
          <w:spacing w:val="-2"/>
          <w:w w:val="105"/>
          <w:sz w:val="17"/>
        </w:rPr>
        <w:t>or</w:t>
      </w:r>
      <w:r>
        <w:rPr>
          <w:color w:val="231F20"/>
          <w:spacing w:val="-6"/>
          <w:w w:val="105"/>
          <w:sz w:val="17"/>
        </w:rPr>
        <w:t> </w:t>
      </w:r>
      <w:r>
        <w:rPr>
          <w:color w:val="231F20"/>
          <w:spacing w:val="-2"/>
          <w:w w:val="105"/>
          <w:sz w:val="17"/>
        </w:rPr>
        <w:t>calculated</w:t>
      </w:r>
      <w:r>
        <w:rPr>
          <w:color w:val="231F20"/>
          <w:spacing w:val="-6"/>
          <w:w w:val="105"/>
          <w:sz w:val="17"/>
        </w:rPr>
        <w:t> </w:t>
      </w:r>
      <w:r>
        <w:rPr>
          <w:color w:val="231F20"/>
          <w:spacing w:val="-2"/>
          <w:w w:val="105"/>
          <w:sz w:val="17"/>
        </w:rPr>
        <w:t>in</w:t>
      </w:r>
      <w:r>
        <w:rPr>
          <w:color w:val="231F20"/>
          <w:spacing w:val="-6"/>
          <w:w w:val="105"/>
          <w:sz w:val="17"/>
        </w:rPr>
        <w:t> </w:t>
      </w:r>
      <w:r>
        <w:rPr>
          <w:color w:val="231F20"/>
          <w:spacing w:val="-2"/>
          <w:w w:val="105"/>
          <w:sz w:val="17"/>
        </w:rPr>
        <w:t>accordance</w:t>
      </w:r>
      <w:r>
        <w:rPr>
          <w:color w:val="231F20"/>
          <w:spacing w:val="-6"/>
          <w:w w:val="105"/>
          <w:sz w:val="17"/>
        </w:rPr>
        <w:t> </w:t>
      </w:r>
      <w:r>
        <w:rPr>
          <w:color w:val="231F20"/>
          <w:spacing w:val="-2"/>
          <w:w w:val="105"/>
          <w:sz w:val="17"/>
        </w:rPr>
        <w:t>with</w:t>
      </w:r>
      <w:r>
        <w:rPr>
          <w:color w:val="231F20"/>
          <w:spacing w:val="-6"/>
          <w:w w:val="105"/>
          <w:sz w:val="17"/>
        </w:rPr>
        <w:t> </w:t>
      </w:r>
      <w:r>
        <w:rPr>
          <w:color w:val="231F20"/>
          <w:spacing w:val="-2"/>
          <w:w w:val="105"/>
          <w:sz w:val="17"/>
        </w:rPr>
        <w:t>2.7.2.2.2.1</w:t>
      </w:r>
      <w:r>
        <w:rPr>
          <w:color w:val="231F20"/>
          <w:spacing w:val="-6"/>
          <w:w w:val="105"/>
          <w:sz w:val="17"/>
        </w:rPr>
        <w:t> </w:t>
      </w:r>
      <w:r>
        <w:rPr>
          <w:color w:val="231F20"/>
          <w:spacing w:val="-2"/>
          <w:w w:val="105"/>
          <w:sz w:val="17"/>
        </w:rPr>
        <w:t>and</w:t>
      </w:r>
      <w:r>
        <w:rPr>
          <w:color w:val="231F20"/>
          <w:spacing w:val="-6"/>
          <w:w w:val="105"/>
          <w:sz w:val="17"/>
        </w:rPr>
        <w:t> </w:t>
      </w:r>
      <w:r>
        <w:rPr>
          <w:color w:val="231F20"/>
          <w:spacing w:val="-2"/>
          <w:w w:val="105"/>
          <w:sz w:val="17"/>
        </w:rPr>
        <w:t>2.7.2.2.3</w:t>
      </w:r>
      <w:r>
        <w:rPr>
          <w:color w:val="231F20"/>
          <w:spacing w:val="-6"/>
          <w:w w:val="105"/>
          <w:sz w:val="17"/>
        </w:rPr>
        <w:t> </w:t>
      </w:r>
      <w:r>
        <w:rPr>
          <w:color w:val="231F20"/>
          <w:spacing w:val="-2"/>
          <w:w w:val="105"/>
          <w:sz w:val="17"/>
        </w:rPr>
        <w:t>to</w:t>
      </w:r>
      <w:r>
        <w:rPr>
          <w:color w:val="231F20"/>
          <w:spacing w:val="-6"/>
          <w:w w:val="105"/>
          <w:sz w:val="17"/>
        </w:rPr>
        <w:t> </w:t>
      </w:r>
      <w:r>
        <w:rPr>
          <w:color w:val="231F20"/>
          <w:spacing w:val="-2"/>
          <w:w w:val="105"/>
          <w:sz w:val="17"/>
        </w:rPr>
        <w:t>2.7.2.2.6.</w:t>
      </w:r>
      <w:r>
        <w:rPr>
          <w:color w:val="231F20"/>
          <w:spacing w:val="-6"/>
          <w:w w:val="105"/>
          <w:sz w:val="17"/>
        </w:rPr>
        <w:t> </w:t>
      </w:r>
      <w:r>
        <w:rPr>
          <w:color w:val="231F20"/>
          <w:spacing w:val="-2"/>
          <w:w w:val="105"/>
          <w:sz w:val="17"/>
        </w:rPr>
        <w:t>For</w:t>
      </w:r>
      <w:r>
        <w:rPr>
          <w:color w:val="231F20"/>
          <w:spacing w:val="-6"/>
          <w:w w:val="105"/>
          <w:sz w:val="17"/>
        </w:rPr>
        <w:t> </w:t>
      </w:r>
      <w:r>
        <w:rPr>
          <w:color w:val="231F20"/>
          <w:spacing w:val="-2"/>
          <w:w w:val="105"/>
          <w:sz w:val="17"/>
        </w:rPr>
        <w:t>natural</w:t>
      </w:r>
      <w:r>
        <w:rPr>
          <w:color w:val="231F20"/>
          <w:spacing w:val="-6"/>
          <w:w w:val="105"/>
          <w:sz w:val="17"/>
        </w:rPr>
        <w:t> </w:t>
      </w:r>
      <w:r>
        <w:rPr>
          <w:color w:val="231F20"/>
          <w:spacing w:val="-2"/>
          <w:w w:val="105"/>
          <w:sz w:val="17"/>
        </w:rPr>
        <w:t>materials</w:t>
      </w: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588352">
                <wp:simplePos x="0" y="0"/>
                <wp:positionH relativeFrom="page">
                  <wp:posOffset>899999</wp:posOffset>
                </wp:positionH>
                <wp:positionV relativeFrom="paragraph">
                  <wp:posOffset>255312</wp:posOffset>
                </wp:positionV>
                <wp:extent cx="6120130" cy="635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120130" cy="6350"/>
                          <a:chExt cx="6120130" cy="6350"/>
                        </a:xfrm>
                      </wpg:grpSpPr>
                      <wps:wsp>
                        <wps:cNvPr id="9" name="Graphic 9"/>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 name="Graphic 10"/>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0.103319pt;width:481.9pt;height:.5pt;mso-position-horizontal-relative:page;mso-position-vertical-relative:paragraph;z-index:-15728128;mso-wrap-distance-left:0;mso-wrap-distance-right:0" id="docshapegroup8" coordorigin="1417,402" coordsize="9638,10">
                <v:line style="position:absolute" from="5953,407" to="11055,407" stroked="true" strokeweight=".5pt" strokecolor="#231f20">
                  <v:stroke dashstyle="solid"/>
                </v:line>
                <v:line style="position:absolute" from="1417,407" to="5953,407" stroked="true" strokeweight=".5pt" strokecolor="#231f20">
                  <v:stroke dashstyle="solid"/>
                </v:line>
                <w10:wrap type="topAndBottom"/>
              </v:group>
            </w:pict>
          </mc:Fallback>
        </mc:AlternateContent>
      </w:r>
    </w:p>
    <w:p>
      <w:pPr>
        <w:pStyle w:val="BodyText"/>
        <w:spacing w:after="0"/>
        <w:rPr>
          <w:sz w:val="20"/>
        </w:rPr>
        <w:sectPr>
          <w:headerReference w:type="default" r:id="rId5"/>
          <w:footerReference w:type="default" r:id="rId6"/>
          <w:type w:val="continuous"/>
          <w:pgSz w:w="11910" w:h="16840"/>
          <w:pgMar w:header="303" w:footer="611" w:top="720" w:bottom="800" w:left="0" w:right="0"/>
          <w:pgNumType w:start="50"/>
        </w:sectPr>
      </w:pPr>
    </w:p>
    <w:p>
      <w:pPr>
        <w:pStyle w:val="BodyText"/>
        <w:spacing w:before="70"/>
      </w:pPr>
      <w:r>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ge">
                  <wp:posOffset>0</wp:posOffset>
                </wp:positionV>
                <wp:extent cx="360045" cy="152146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360045" cy="1521460"/>
                          <a:chExt cx="360045" cy="1521460"/>
                        </a:xfrm>
                      </wpg:grpSpPr>
                      <wps:wsp>
                        <wps:cNvPr id="15" name="Graphic 15"/>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16" name="Textbox 16"/>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0pt;margin-top:0pt;width:28.35pt;height:119.8pt;mso-position-horizontal-relative:page;mso-position-vertical-relative:page;z-index:15731200" id="docshapegroup12" coordorigin="0,0" coordsize="567,2396">
                <v:rect style="position:absolute;left:0;top:0;width:567;height:2396" id="docshape13" filled="true" fillcolor="#58595b" stroked="false">
                  <v:fill type="solid"/>
                </v:rect>
                <v:shape style="position:absolute;left:0;top:0;width:567;height:2396" type="#_x0000_t202" id="docshape14"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1</w:t>
      </w:r>
      <w:r>
        <w:rPr>
          <w:rFonts w:ascii="Arial" w:hAnsi="Arial"/>
          <w:i/>
          <w:color w:val="231F20"/>
          <w:spacing w:val="14"/>
          <w:w w:val="105"/>
          <w:sz w:val="17"/>
        </w:rPr>
        <w:t> </w:t>
      </w:r>
      <w:r>
        <w:rPr>
          <w:color w:val="231F20"/>
          <w:w w:val="105"/>
          <w:sz w:val="17"/>
        </w:rPr>
        <w:t>–</w:t>
      </w:r>
      <w:r>
        <w:rPr>
          <w:color w:val="231F20"/>
          <w:spacing w:val="14"/>
          <w:w w:val="105"/>
          <w:sz w:val="17"/>
        </w:rPr>
        <w:t> </w:t>
      </w:r>
      <w:r>
        <w:rPr>
          <w:rFonts w:ascii="Arial" w:hAnsi="Arial"/>
          <w:i/>
          <w:color w:val="231F20"/>
          <w:w w:val="105"/>
          <w:sz w:val="17"/>
        </w:rPr>
        <w:t>General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4"/>
          <w:w w:val="105"/>
          <w:sz w:val="17"/>
        </w:rPr>
        <w:t> </w:t>
      </w:r>
      <w:r>
        <w:rPr>
          <w:rFonts w:ascii="Arial" w:hAnsi="Arial"/>
          <w:i/>
          <w:color w:val="231F20"/>
          <w:w w:val="105"/>
          <w:sz w:val="17"/>
        </w:rPr>
        <w:t>definitions</w:t>
      </w:r>
      <w:r>
        <w:rPr>
          <w:rFonts w:ascii="Arial" w:hAnsi="Arial"/>
          <w:i/>
          <w:color w:val="231F20"/>
          <w:spacing w:val="14"/>
          <w:w w:val="105"/>
          <w:sz w:val="17"/>
        </w:rPr>
        <w:t> </w:t>
      </w:r>
      <w:r>
        <w:rPr>
          <w:rFonts w:ascii="Arial" w:hAnsi="Arial"/>
          <w:i/>
          <w:color w:val="231F20"/>
          <w:w w:val="105"/>
          <w:sz w:val="17"/>
        </w:rPr>
        <w:t>and</w:t>
      </w:r>
      <w:r>
        <w:rPr>
          <w:rFonts w:ascii="Arial" w:hAnsi="Arial"/>
          <w:i/>
          <w:color w:val="231F20"/>
          <w:spacing w:val="14"/>
          <w:w w:val="105"/>
          <w:sz w:val="17"/>
        </w:rPr>
        <w:t> </w:t>
      </w:r>
      <w:r>
        <w:rPr>
          <w:rFonts w:ascii="Arial" w:hAnsi="Arial"/>
          <w:i/>
          <w:color w:val="231F20"/>
          <w:spacing w:val="-2"/>
          <w:w w:val="105"/>
          <w:sz w:val="17"/>
        </w:rPr>
        <w:t>training</w:t>
      </w:r>
    </w:p>
    <w:p>
      <w:pPr>
        <w:pStyle w:val="BodyText"/>
        <w:spacing w:before="7"/>
        <w:rPr>
          <w:rFonts w:ascii="Arial"/>
          <w:i/>
          <w:sz w:val="5"/>
        </w:rPr>
      </w:pPr>
      <w:r>
        <w:rPr>
          <w:rFonts w:ascii="Arial"/>
          <w:i/>
          <w:sz w:val="5"/>
        </w:rPr>
        <mc:AlternateContent>
          <mc:Choice Requires="wps">
            <w:drawing>
              <wp:anchor distT="0" distB="0" distL="0" distR="0" allowOverlap="1" layoutInCell="1" locked="0" behindDoc="1" simplePos="0" relativeHeight="487589376">
                <wp:simplePos x="0" y="0"/>
                <wp:positionH relativeFrom="page">
                  <wp:posOffset>540000</wp:posOffset>
                </wp:positionH>
                <wp:positionV relativeFrom="paragraph">
                  <wp:posOffset>56635</wp:posOffset>
                </wp:positionV>
                <wp:extent cx="612013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59514pt;width:481.9pt;height:.1pt;mso-position-horizontal-relative:page;mso-position-vertical-relative:paragraph;z-index:-15727104;mso-wrap-distance-left:0;mso-wrap-distance-right:0" id="docshape15" coordorigin="850,89" coordsize="9638,0" path="m850,89l10488,89e" filled="false" stroked="true" strokeweight=".5pt" strokecolor="#231f20">
                <v:path arrowok="t"/>
                <v:stroke dashstyle="solid"/>
                <w10:wrap type="topAndBottom"/>
              </v:shape>
            </w:pict>
          </mc:Fallback>
        </mc:AlternateContent>
      </w:r>
    </w:p>
    <w:p>
      <w:pPr>
        <w:pStyle w:val="BodyText"/>
        <w:rPr>
          <w:rFonts w:ascii="Arial"/>
          <w:i/>
        </w:rPr>
      </w:pPr>
    </w:p>
    <w:p>
      <w:pPr>
        <w:pStyle w:val="BodyText"/>
        <w:spacing w:before="7"/>
        <w:rPr>
          <w:rFonts w:ascii="Arial"/>
          <w:i/>
        </w:rPr>
      </w:pPr>
    </w:p>
    <w:p>
      <w:pPr>
        <w:pStyle w:val="BodyText"/>
        <w:spacing w:line="256" w:lineRule="auto"/>
        <w:ind w:left="2290" w:right="1434"/>
      </w:pPr>
      <w:r>
        <w:rPr>
          <w:color w:val="231F20"/>
          <w:w w:val="105"/>
        </w:rPr>
        <w:t>and ores containing naturally occurring radionuclides that are not in secular equilibrium the calculation</w:t>
      </w:r>
      <w:r>
        <w:rPr>
          <w:color w:val="231F20"/>
          <w:spacing w:val="40"/>
          <w:w w:val="105"/>
        </w:rPr>
        <w:t> </w:t>
      </w:r>
      <w:r>
        <w:rPr>
          <w:color w:val="231F20"/>
          <w:w w:val="105"/>
        </w:rPr>
        <w:t>of the activity concentration shall be performed in accordance with 2.7.2.2.4; and</w:t>
      </w:r>
    </w:p>
    <w:p>
      <w:pPr>
        <w:pStyle w:val="ListParagraph"/>
        <w:numPr>
          <w:ilvl w:val="0"/>
          <w:numId w:val="4"/>
        </w:numPr>
        <w:tabs>
          <w:tab w:pos="2290" w:val="left" w:leader="none"/>
        </w:tabs>
        <w:spacing w:line="256" w:lineRule="auto" w:before="120" w:after="0"/>
        <w:ind w:left="2290" w:right="1414" w:hanging="360"/>
        <w:jc w:val="left"/>
        <w:rPr>
          <w:sz w:val="17"/>
        </w:rPr>
      </w:pPr>
      <w:r>
        <w:rPr>
          <w:color w:val="231F20"/>
          <w:w w:val="105"/>
          <w:sz w:val="17"/>
        </w:rPr>
        <w:t>non-radioactive solid objects with radioactive substances present on any surfaces in quantities not in</w:t>
      </w:r>
      <w:r>
        <w:rPr>
          <w:color w:val="231F20"/>
          <w:spacing w:val="40"/>
          <w:w w:val="105"/>
          <w:sz w:val="17"/>
        </w:rPr>
        <w:t> </w:t>
      </w:r>
      <w:r>
        <w:rPr>
          <w:color w:val="231F20"/>
          <w:w w:val="105"/>
          <w:sz w:val="17"/>
        </w:rPr>
        <w:t>excess of the limit set out in the definition for “contamination” in 2.7.1.2.</w:t>
      </w:r>
    </w:p>
    <w:p>
      <w:pPr>
        <w:pStyle w:val="BodyText"/>
        <w:spacing w:before="125"/>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Specific</w:t>
      </w:r>
      <w:r>
        <w:rPr>
          <w:color w:val="231F20"/>
          <w:spacing w:val="9"/>
          <w:w w:val="105"/>
        </w:rPr>
        <w:t> </w:t>
      </w:r>
      <w:r>
        <w:rPr>
          <w:color w:val="231F20"/>
          <w:w w:val="105"/>
        </w:rPr>
        <w:t>provisions</w:t>
      </w:r>
      <w:r>
        <w:rPr>
          <w:color w:val="231F20"/>
          <w:spacing w:val="10"/>
          <w:w w:val="105"/>
        </w:rPr>
        <w:t> </w:t>
      </w:r>
      <w:r>
        <w:rPr>
          <w:color w:val="231F20"/>
          <w:w w:val="105"/>
        </w:rPr>
        <w:t>for</w:t>
      </w:r>
      <w:r>
        <w:rPr>
          <w:color w:val="231F20"/>
          <w:spacing w:val="10"/>
          <w:w w:val="105"/>
        </w:rPr>
        <w:t> </w:t>
      </w:r>
      <w:r>
        <w:rPr>
          <w:color w:val="231F20"/>
          <w:w w:val="105"/>
        </w:rPr>
        <w:t>the</w:t>
      </w:r>
      <w:r>
        <w:rPr>
          <w:color w:val="231F20"/>
          <w:spacing w:val="10"/>
          <w:w w:val="105"/>
        </w:rPr>
        <w:t> </w:t>
      </w:r>
      <w:r>
        <w:rPr>
          <w:color w:val="231F20"/>
          <w:w w:val="105"/>
        </w:rPr>
        <w:t>transport</w:t>
      </w:r>
      <w:r>
        <w:rPr>
          <w:color w:val="231F20"/>
          <w:spacing w:val="10"/>
          <w:w w:val="105"/>
        </w:rPr>
        <w:t> </w:t>
      </w:r>
      <w:r>
        <w:rPr>
          <w:color w:val="231F20"/>
          <w:w w:val="105"/>
        </w:rPr>
        <w:t>of</w:t>
      </w:r>
      <w:r>
        <w:rPr>
          <w:color w:val="231F20"/>
          <w:spacing w:val="10"/>
          <w:w w:val="105"/>
        </w:rPr>
        <w:t> </w:t>
      </w:r>
      <w:r>
        <w:rPr>
          <w:color w:val="231F20"/>
          <w:w w:val="105"/>
        </w:rPr>
        <w:t>excepted</w:t>
      </w:r>
      <w:r>
        <w:rPr>
          <w:color w:val="231F20"/>
          <w:spacing w:val="10"/>
          <w:w w:val="105"/>
        </w:rPr>
        <w:t> </w:t>
      </w:r>
      <w:r>
        <w:rPr>
          <w:color w:val="231F20"/>
          <w:spacing w:val="-2"/>
          <w:w w:val="105"/>
        </w:rPr>
        <w:t>packages</w:t>
      </w:r>
    </w:p>
    <w:p>
      <w:pPr>
        <w:pStyle w:val="ListParagraph"/>
        <w:numPr>
          <w:ilvl w:val="4"/>
          <w:numId w:val="1"/>
        </w:numPr>
        <w:tabs>
          <w:tab w:pos="1925" w:val="left" w:leader="none"/>
          <w:tab w:pos="1930" w:val="left" w:leader="none"/>
        </w:tabs>
        <w:spacing w:line="256" w:lineRule="auto" w:before="199" w:after="0"/>
        <w:ind w:left="1930" w:right="1414" w:hanging="1081"/>
        <w:jc w:val="both"/>
        <w:rPr>
          <w:sz w:val="17"/>
        </w:rPr>
      </w:pPr>
      <w:r>
        <w:rPr>
          <w:color w:val="231F20"/>
          <w:w w:val="105"/>
          <w:sz w:val="17"/>
        </w:rPr>
        <w:t>Excepted packages which may contain radioactive material in limited quantities, instruments, manufactured articles</w:t>
      </w:r>
      <w:r>
        <w:rPr>
          <w:color w:val="231F20"/>
          <w:w w:val="105"/>
          <w:sz w:val="17"/>
        </w:rPr>
        <w:t> or</w:t>
      </w:r>
      <w:r>
        <w:rPr>
          <w:color w:val="231F20"/>
          <w:w w:val="105"/>
          <w:sz w:val="17"/>
        </w:rPr>
        <w:t> empty</w:t>
      </w:r>
      <w:r>
        <w:rPr>
          <w:color w:val="231F20"/>
          <w:w w:val="105"/>
          <w:sz w:val="17"/>
        </w:rPr>
        <w:t> packagings</w:t>
      </w:r>
      <w:r>
        <w:rPr>
          <w:color w:val="231F20"/>
          <w:w w:val="105"/>
          <w:sz w:val="17"/>
        </w:rPr>
        <w:t> as</w:t>
      </w:r>
      <w:r>
        <w:rPr>
          <w:color w:val="231F20"/>
          <w:w w:val="105"/>
          <w:sz w:val="17"/>
        </w:rPr>
        <w:t> specified</w:t>
      </w:r>
      <w:r>
        <w:rPr>
          <w:color w:val="231F20"/>
          <w:w w:val="105"/>
          <w:sz w:val="17"/>
        </w:rPr>
        <w:t> in</w:t>
      </w:r>
      <w:r>
        <w:rPr>
          <w:color w:val="231F20"/>
          <w:w w:val="105"/>
          <w:sz w:val="17"/>
        </w:rPr>
        <w:t> 2.7.2.4.1</w:t>
      </w:r>
      <w:r>
        <w:rPr>
          <w:color w:val="231F20"/>
          <w:w w:val="105"/>
          <w:sz w:val="17"/>
        </w:rPr>
        <w:t> shall</w:t>
      </w:r>
      <w:r>
        <w:rPr>
          <w:color w:val="231F20"/>
          <w:w w:val="105"/>
          <w:sz w:val="17"/>
        </w:rPr>
        <w:t> be</w:t>
      </w:r>
      <w:r>
        <w:rPr>
          <w:color w:val="231F20"/>
          <w:w w:val="105"/>
          <w:sz w:val="17"/>
        </w:rPr>
        <w:t> subject</w:t>
      </w:r>
      <w:r>
        <w:rPr>
          <w:color w:val="231F20"/>
          <w:w w:val="105"/>
          <w:sz w:val="17"/>
        </w:rPr>
        <w:t> only</w:t>
      </w:r>
      <w:r>
        <w:rPr>
          <w:color w:val="231F20"/>
          <w:w w:val="105"/>
          <w:sz w:val="17"/>
        </w:rPr>
        <w:t> to</w:t>
      </w:r>
      <w:r>
        <w:rPr>
          <w:color w:val="231F20"/>
          <w:w w:val="105"/>
          <w:sz w:val="17"/>
        </w:rPr>
        <w:t> the</w:t>
      </w:r>
      <w:r>
        <w:rPr>
          <w:color w:val="231F20"/>
          <w:w w:val="105"/>
          <w:sz w:val="17"/>
        </w:rPr>
        <w:t> following</w:t>
      </w:r>
      <w:r>
        <w:rPr>
          <w:color w:val="231F20"/>
          <w:w w:val="105"/>
          <w:sz w:val="17"/>
        </w:rPr>
        <w:t> provisions</w:t>
      </w:r>
      <w:r>
        <w:rPr>
          <w:color w:val="231F20"/>
          <w:w w:val="105"/>
          <w:sz w:val="17"/>
        </w:rPr>
        <w:t> of</w:t>
      </w:r>
      <w:r>
        <w:rPr>
          <w:color w:val="231F20"/>
          <w:spacing w:val="40"/>
          <w:w w:val="105"/>
          <w:sz w:val="17"/>
        </w:rPr>
        <w:t> </w:t>
      </w:r>
      <w:r>
        <w:rPr>
          <w:color w:val="231F20"/>
          <w:w w:val="105"/>
          <w:sz w:val="17"/>
        </w:rPr>
        <w:t>parts 5 to 7:</w:t>
      </w:r>
    </w:p>
    <w:p>
      <w:pPr>
        <w:pStyle w:val="BodyText"/>
        <w:tabs>
          <w:tab w:pos="2290" w:val="left" w:leader="none"/>
        </w:tabs>
        <w:spacing w:before="110"/>
        <w:ind w:left="1930"/>
      </w:pPr>
      <w:r>
        <w:rPr>
          <w:color w:val="231F20"/>
          <w:spacing w:val="-5"/>
          <w:w w:val="105"/>
        </w:rPr>
        <w:t>.1</w:t>
      </w:r>
      <w:r>
        <w:rPr>
          <w:color w:val="231F20"/>
        </w:rPr>
        <w:tab/>
      </w:r>
      <w:r>
        <w:rPr>
          <w:color w:val="231F20"/>
          <w:spacing w:val="-2"/>
          <w:w w:val="105"/>
        </w:rPr>
        <w:t>the</w:t>
      </w:r>
      <w:r>
        <w:rPr>
          <w:color w:val="231F20"/>
          <w:spacing w:val="12"/>
          <w:w w:val="105"/>
        </w:rPr>
        <w:t> </w:t>
      </w:r>
      <w:r>
        <w:rPr>
          <w:color w:val="231F20"/>
          <w:spacing w:val="-2"/>
          <w:w w:val="105"/>
        </w:rPr>
        <w:t>applicable</w:t>
      </w:r>
      <w:r>
        <w:rPr>
          <w:color w:val="231F20"/>
          <w:spacing w:val="13"/>
          <w:w w:val="105"/>
        </w:rPr>
        <w:t> </w:t>
      </w:r>
      <w:r>
        <w:rPr>
          <w:color w:val="231F20"/>
          <w:spacing w:val="-2"/>
          <w:w w:val="105"/>
        </w:rPr>
        <w:t>provisions</w:t>
      </w:r>
      <w:r>
        <w:rPr>
          <w:color w:val="231F20"/>
          <w:spacing w:val="12"/>
          <w:w w:val="105"/>
        </w:rPr>
        <w:t> </w:t>
      </w:r>
      <w:r>
        <w:rPr>
          <w:color w:val="231F20"/>
          <w:spacing w:val="-2"/>
          <w:w w:val="105"/>
        </w:rPr>
        <w:t>specified</w:t>
      </w:r>
      <w:r>
        <w:rPr>
          <w:color w:val="231F20"/>
          <w:spacing w:val="13"/>
          <w:w w:val="105"/>
        </w:rPr>
        <w:t> </w:t>
      </w:r>
      <w:r>
        <w:rPr>
          <w:color w:val="231F20"/>
          <w:spacing w:val="-2"/>
          <w:w w:val="105"/>
        </w:rPr>
        <w:t>in</w:t>
      </w:r>
      <w:r>
        <w:rPr>
          <w:color w:val="231F20"/>
          <w:spacing w:val="13"/>
          <w:w w:val="105"/>
        </w:rPr>
        <w:t> </w:t>
      </w:r>
      <w:r>
        <w:rPr>
          <w:color w:val="231F20"/>
          <w:spacing w:val="-2"/>
          <w:w w:val="105"/>
        </w:rPr>
        <w:t>5.1.1.2,</w:t>
      </w:r>
      <w:r>
        <w:rPr>
          <w:color w:val="231F20"/>
          <w:spacing w:val="12"/>
          <w:w w:val="105"/>
        </w:rPr>
        <w:t> </w:t>
      </w:r>
      <w:r>
        <w:rPr>
          <w:color w:val="231F20"/>
          <w:spacing w:val="-2"/>
          <w:w w:val="105"/>
        </w:rPr>
        <w:t>5.1.2,</w:t>
      </w:r>
      <w:r>
        <w:rPr>
          <w:color w:val="231F20"/>
          <w:spacing w:val="13"/>
          <w:w w:val="105"/>
        </w:rPr>
        <w:t> </w:t>
      </w:r>
      <w:r>
        <w:rPr>
          <w:color w:val="231F20"/>
          <w:spacing w:val="-2"/>
          <w:w w:val="105"/>
        </w:rPr>
        <w:t>5.1.3.2,</w:t>
      </w:r>
      <w:r>
        <w:rPr>
          <w:color w:val="231F20"/>
          <w:spacing w:val="12"/>
          <w:w w:val="105"/>
        </w:rPr>
        <w:t> </w:t>
      </w:r>
      <w:r>
        <w:rPr>
          <w:color w:val="231F20"/>
          <w:spacing w:val="-2"/>
          <w:w w:val="105"/>
        </w:rPr>
        <w:t>5.1.5.2.2,</w:t>
      </w:r>
      <w:r>
        <w:rPr>
          <w:color w:val="231F20"/>
          <w:spacing w:val="13"/>
          <w:w w:val="105"/>
        </w:rPr>
        <w:t> </w:t>
      </w:r>
      <w:r>
        <w:rPr>
          <w:color w:val="231F20"/>
          <w:spacing w:val="-2"/>
          <w:w w:val="105"/>
        </w:rPr>
        <w:t>5.1.5.2.3,</w:t>
      </w:r>
      <w:r>
        <w:rPr>
          <w:color w:val="231F20"/>
          <w:spacing w:val="13"/>
          <w:w w:val="105"/>
        </w:rPr>
        <w:t> </w:t>
      </w:r>
      <w:r>
        <w:rPr>
          <w:color w:val="231F20"/>
          <w:spacing w:val="-2"/>
          <w:w w:val="105"/>
        </w:rPr>
        <w:t>5.1.5.4,</w:t>
      </w:r>
      <w:r>
        <w:rPr>
          <w:color w:val="231F20"/>
          <w:spacing w:val="12"/>
          <w:w w:val="105"/>
        </w:rPr>
        <w:t> </w:t>
      </w:r>
      <w:r>
        <w:rPr>
          <w:color w:val="231F20"/>
          <w:spacing w:val="-2"/>
          <w:w w:val="105"/>
        </w:rPr>
        <w:t>5.1.5.5,</w:t>
      </w:r>
      <w:r>
        <w:rPr>
          <w:color w:val="231F20"/>
          <w:spacing w:val="13"/>
          <w:w w:val="105"/>
        </w:rPr>
        <w:t> </w:t>
      </w:r>
      <w:r>
        <w:rPr>
          <w:color w:val="231F20"/>
          <w:spacing w:val="-2"/>
          <w:w w:val="105"/>
        </w:rPr>
        <w:t>5.2.1.7,</w:t>
      </w:r>
    </w:p>
    <w:p>
      <w:pPr>
        <w:pStyle w:val="BodyText"/>
        <w:spacing w:before="14"/>
        <w:ind w:right="116"/>
        <w:jc w:val="center"/>
      </w:pPr>
      <w:r>
        <w:rPr>
          <w:color w:val="231F20"/>
          <w:spacing w:val="-4"/>
        </w:rPr>
        <w:t>5.4.1.5.7.1.6.1</w:t>
      </w:r>
      <w:r>
        <w:rPr>
          <w:color w:val="231F20"/>
          <w:spacing w:val="5"/>
        </w:rPr>
        <w:t> </w:t>
      </w:r>
      <w:r>
        <w:rPr>
          <w:color w:val="231F20"/>
          <w:spacing w:val="-4"/>
        </w:rPr>
        <w:t>and</w:t>
      </w:r>
      <w:r>
        <w:rPr>
          <w:color w:val="231F20"/>
          <w:spacing w:val="6"/>
        </w:rPr>
        <w:t> </w:t>
      </w:r>
      <w:r>
        <w:rPr>
          <w:color w:val="231F20"/>
          <w:spacing w:val="-4"/>
        </w:rPr>
        <w:t>.2,</w:t>
      </w:r>
      <w:r>
        <w:rPr>
          <w:color w:val="231F20"/>
          <w:spacing w:val="5"/>
        </w:rPr>
        <w:t> </w:t>
      </w:r>
      <w:r>
        <w:rPr>
          <w:color w:val="231F20"/>
          <w:spacing w:val="-4"/>
        </w:rPr>
        <w:t>5.4.1.5.7.1.9,</w:t>
      </w:r>
      <w:r>
        <w:rPr>
          <w:color w:val="231F20"/>
          <w:spacing w:val="6"/>
        </w:rPr>
        <w:t> </w:t>
      </w:r>
      <w:r>
        <w:rPr>
          <w:color w:val="231F20"/>
          <w:spacing w:val="-4"/>
        </w:rPr>
        <w:t>7.1.4.5.9,</w:t>
      </w:r>
      <w:r>
        <w:rPr>
          <w:color w:val="231F20"/>
          <w:spacing w:val="5"/>
        </w:rPr>
        <w:t> </w:t>
      </w:r>
      <w:r>
        <w:rPr>
          <w:color w:val="231F20"/>
          <w:spacing w:val="-4"/>
        </w:rPr>
        <w:t>7.1.4.5.10,</w:t>
      </w:r>
      <w:r>
        <w:rPr>
          <w:color w:val="231F20"/>
          <w:spacing w:val="6"/>
        </w:rPr>
        <w:t> </w:t>
      </w:r>
      <w:r>
        <w:rPr>
          <w:color w:val="231F20"/>
          <w:spacing w:val="-4"/>
        </w:rPr>
        <w:t>7.1.4.5.12,</w:t>
      </w:r>
      <w:r>
        <w:rPr>
          <w:color w:val="231F20"/>
          <w:spacing w:val="5"/>
        </w:rPr>
        <w:t> </w:t>
      </w:r>
      <w:r>
        <w:rPr>
          <w:color w:val="231F20"/>
          <w:spacing w:val="-4"/>
        </w:rPr>
        <w:t>7.8.4.1</w:t>
      </w:r>
      <w:r>
        <w:rPr>
          <w:color w:val="231F20"/>
          <w:spacing w:val="6"/>
        </w:rPr>
        <w:t> </w:t>
      </w:r>
      <w:r>
        <w:rPr>
          <w:color w:val="231F20"/>
          <w:spacing w:val="-4"/>
        </w:rPr>
        <w:t>to</w:t>
      </w:r>
      <w:r>
        <w:rPr>
          <w:color w:val="231F20"/>
          <w:spacing w:val="5"/>
        </w:rPr>
        <w:t> </w:t>
      </w:r>
      <w:r>
        <w:rPr>
          <w:color w:val="231F20"/>
          <w:spacing w:val="-4"/>
        </w:rPr>
        <w:t>7.8.4.6</w:t>
      </w:r>
      <w:r>
        <w:rPr>
          <w:color w:val="231F20"/>
          <w:spacing w:val="6"/>
        </w:rPr>
        <w:t> </w:t>
      </w:r>
      <w:r>
        <w:rPr>
          <w:color w:val="231F20"/>
          <w:spacing w:val="-4"/>
        </w:rPr>
        <w:t>and</w:t>
      </w:r>
      <w:r>
        <w:rPr>
          <w:color w:val="231F20"/>
          <w:spacing w:val="5"/>
        </w:rPr>
        <w:t> </w:t>
      </w:r>
      <w:r>
        <w:rPr>
          <w:color w:val="231F20"/>
          <w:spacing w:val="-4"/>
        </w:rPr>
        <w:t>7.8.9.1,</w:t>
      </w:r>
    </w:p>
    <w:p>
      <w:pPr>
        <w:pStyle w:val="BodyText"/>
        <w:tabs>
          <w:tab w:pos="2290" w:val="left" w:leader="none"/>
        </w:tabs>
        <w:spacing w:before="123"/>
        <w:ind w:left="1930"/>
      </w:pPr>
      <w:r>
        <w:rPr>
          <w:color w:val="231F20"/>
          <w:spacing w:val="-5"/>
          <w:w w:val="105"/>
        </w:rPr>
        <w:t>.2</w:t>
      </w:r>
      <w:r>
        <w:rPr>
          <w:color w:val="231F20"/>
        </w:rPr>
        <w:tab/>
      </w:r>
      <w:r>
        <w:rPr>
          <w:color w:val="231F20"/>
          <w:w w:val="105"/>
        </w:rPr>
        <w:t>the</w:t>
      </w:r>
      <w:r>
        <w:rPr>
          <w:color w:val="231F20"/>
          <w:spacing w:val="-1"/>
          <w:w w:val="105"/>
        </w:rPr>
        <w:t> </w:t>
      </w:r>
      <w:r>
        <w:rPr>
          <w:color w:val="231F20"/>
          <w:w w:val="105"/>
        </w:rPr>
        <w:t>requirements</w:t>
      </w:r>
      <w:r>
        <w:rPr>
          <w:color w:val="231F20"/>
          <w:spacing w:val="-1"/>
          <w:w w:val="105"/>
        </w:rPr>
        <w:t> </w:t>
      </w:r>
      <w:r>
        <w:rPr>
          <w:color w:val="231F20"/>
          <w:w w:val="105"/>
        </w:rPr>
        <w:t>for</w:t>
      </w:r>
      <w:r>
        <w:rPr>
          <w:color w:val="231F20"/>
          <w:spacing w:val="-1"/>
          <w:w w:val="105"/>
        </w:rPr>
        <w:t> </w:t>
      </w:r>
      <w:r>
        <w:rPr>
          <w:color w:val="231F20"/>
          <w:w w:val="105"/>
        </w:rPr>
        <w:t>excepted</w:t>
      </w:r>
      <w:r>
        <w:rPr>
          <w:color w:val="231F20"/>
          <w:spacing w:val="-1"/>
          <w:w w:val="105"/>
        </w:rPr>
        <w:t> </w:t>
      </w:r>
      <w:r>
        <w:rPr>
          <w:color w:val="231F20"/>
          <w:w w:val="105"/>
        </w:rPr>
        <w:t>packages</w:t>
      </w:r>
      <w:r>
        <w:rPr>
          <w:color w:val="231F20"/>
          <w:spacing w:val="-1"/>
          <w:w w:val="105"/>
        </w:rPr>
        <w:t> </w:t>
      </w:r>
      <w:r>
        <w:rPr>
          <w:color w:val="231F20"/>
          <w:w w:val="105"/>
        </w:rPr>
        <w:t>specified</w:t>
      </w:r>
      <w:r>
        <w:rPr>
          <w:color w:val="231F20"/>
          <w:spacing w:val="-1"/>
          <w:w w:val="105"/>
        </w:rPr>
        <w:t> </w:t>
      </w:r>
      <w:r>
        <w:rPr>
          <w:color w:val="231F20"/>
          <w:w w:val="105"/>
        </w:rPr>
        <w:t>in</w:t>
      </w:r>
      <w:r>
        <w:rPr>
          <w:color w:val="231F20"/>
          <w:spacing w:val="-1"/>
          <w:w w:val="105"/>
        </w:rPr>
        <w:t> </w:t>
      </w:r>
      <w:r>
        <w:rPr>
          <w:color w:val="231F20"/>
          <w:spacing w:val="-2"/>
          <w:w w:val="105"/>
        </w:rPr>
        <w:t>6.4.4;</w:t>
      </w:r>
    </w:p>
    <w:p>
      <w:pPr>
        <w:pStyle w:val="BodyText"/>
        <w:spacing w:line="256" w:lineRule="auto" w:before="142"/>
        <w:ind w:left="1930" w:right="1414"/>
        <w:jc w:val="both"/>
      </w:pPr>
      <w:r>
        <w:rPr>
          <w:color w:val="231F20"/>
          <w:w w:val="105"/>
        </w:rPr>
        <w:t>except when the radioactive material possesses other hazardous properties and has to be classified in a class</w:t>
      </w:r>
      <w:r>
        <w:rPr>
          <w:color w:val="231F20"/>
          <w:spacing w:val="-1"/>
          <w:w w:val="105"/>
        </w:rPr>
        <w:t> </w:t>
      </w:r>
      <w:r>
        <w:rPr>
          <w:color w:val="231F20"/>
          <w:w w:val="105"/>
        </w:rPr>
        <w:t>other</w:t>
      </w:r>
      <w:r>
        <w:rPr>
          <w:color w:val="231F20"/>
          <w:spacing w:val="-1"/>
          <w:w w:val="105"/>
        </w:rPr>
        <w:t> </w:t>
      </w:r>
      <w:r>
        <w:rPr>
          <w:color w:val="231F20"/>
          <w:w w:val="105"/>
        </w:rPr>
        <w:t>than</w:t>
      </w:r>
      <w:r>
        <w:rPr>
          <w:color w:val="231F20"/>
          <w:spacing w:val="-1"/>
          <w:w w:val="105"/>
        </w:rPr>
        <w:t> </w:t>
      </w:r>
      <w:r>
        <w:rPr>
          <w:color w:val="231F20"/>
          <w:w w:val="105"/>
        </w:rPr>
        <w:t>class</w:t>
      </w:r>
      <w:r>
        <w:rPr>
          <w:color w:val="231F20"/>
          <w:spacing w:val="-1"/>
          <w:w w:val="105"/>
        </w:rPr>
        <w:t> </w:t>
      </w:r>
      <w:r>
        <w:rPr>
          <w:color w:val="231F20"/>
          <w:w w:val="105"/>
        </w:rPr>
        <w:t>7</w:t>
      </w:r>
      <w:r>
        <w:rPr>
          <w:color w:val="231F20"/>
          <w:spacing w:val="-1"/>
          <w:w w:val="105"/>
        </w:rPr>
        <w:t> </w:t>
      </w:r>
      <w:r>
        <w:rPr>
          <w:color w:val="231F20"/>
          <w:w w:val="105"/>
        </w:rPr>
        <w:t>in</w:t>
      </w:r>
      <w:r>
        <w:rPr>
          <w:color w:val="231F20"/>
          <w:spacing w:val="-1"/>
          <w:w w:val="105"/>
        </w:rPr>
        <w:t> </w:t>
      </w:r>
      <w:r>
        <w:rPr>
          <w:color w:val="231F20"/>
          <w:w w:val="105"/>
        </w:rPr>
        <w:t>accordance</w:t>
      </w:r>
      <w:r>
        <w:rPr>
          <w:color w:val="231F20"/>
          <w:spacing w:val="-1"/>
          <w:w w:val="105"/>
        </w:rPr>
        <w:t> </w:t>
      </w:r>
      <w:r>
        <w:rPr>
          <w:color w:val="231F20"/>
          <w:w w:val="105"/>
        </w:rPr>
        <w:t>with</w:t>
      </w:r>
      <w:r>
        <w:rPr>
          <w:color w:val="231F20"/>
          <w:spacing w:val="-1"/>
          <w:w w:val="105"/>
        </w:rPr>
        <w:t> </w:t>
      </w:r>
      <w:r>
        <w:rPr>
          <w:color w:val="231F20"/>
          <w:w w:val="105"/>
        </w:rPr>
        <w:t>special</w:t>
      </w:r>
      <w:r>
        <w:rPr>
          <w:color w:val="231F20"/>
          <w:spacing w:val="-1"/>
          <w:w w:val="105"/>
        </w:rPr>
        <w:t> </w:t>
      </w:r>
      <w:r>
        <w:rPr>
          <w:color w:val="231F20"/>
          <w:w w:val="105"/>
        </w:rPr>
        <w:t>provision</w:t>
      </w:r>
      <w:r>
        <w:rPr>
          <w:color w:val="231F20"/>
          <w:spacing w:val="-1"/>
          <w:w w:val="105"/>
        </w:rPr>
        <w:t> </w:t>
      </w:r>
      <w:r>
        <w:rPr>
          <w:color w:val="231F20"/>
          <w:w w:val="105"/>
        </w:rPr>
        <w:t>290</w:t>
      </w:r>
      <w:r>
        <w:rPr>
          <w:color w:val="231F20"/>
          <w:spacing w:val="-1"/>
          <w:w w:val="105"/>
        </w:rPr>
        <w:t> </w:t>
      </w:r>
      <w:r>
        <w:rPr>
          <w:color w:val="231F20"/>
          <w:w w:val="105"/>
        </w:rPr>
        <w:t>or</w:t>
      </w:r>
      <w:r>
        <w:rPr>
          <w:color w:val="231F20"/>
          <w:spacing w:val="-1"/>
          <w:w w:val="105"/>
        </w:rPr>
        <w:t> </w:t>
      </w:r>
      <w:r>
        <w:rPr>
          <w:color w:val="231F20"/>
          <w:w w:val="105"/>
        </w:rPr>
        <w:t>369</w:t>
      </w:r>
      <w:r>
        <w:rPr>
          <w:color w:val="231F20"/>
          <w:spacing w:val="-1"/>
          <w:w w:val="105"/>
        </w:rPr>
        <w:t> </w:t>
      </w:r>
      <w:r>
        <w:rPr>
          <w:color w:val="231F20"/>
          <w:w w:val="105"/>
        </w:rPr>
        <w:t>of</w:t>
      </w:r>
      <w:r>
        <w:rPr>
          <w:color w:val="231F20"/>
          <w:spacing w:val="-1"/>
          <w:w w:val="105"/>
        </w:rPr>
        <w:t> </w:t>
      </w:r>
      <w:r>
        <w:rPr>
          <w:color w:val="231F20"/>
          <w:w w:val="105"/>
        </w:rPr>
        <w:t>chapter</w:t>
      </w:r>
      <w:r>
        <w:rPr>
          <w:color w:val="231F20"/>
          <w:spacing w:val="-1"/>
          <w:w w:val="105"/>
        </w:rPr>
        <w:t> </w:t>
      </w:r>
      <w:r>
        <w:rPr>
          <w:color w:val="231F20"/>
          <w:w w:val="105"/>
        </w:rPr>
        <w:t>3.3,</w:t>
      </w:r>
      <w:r>
        <w:rPr>
          <w:color w:val="231F20"/>
          <w:spacing w:val="-1"/>
          <w:w w:val="105"/>
        </w:rPr>
        <w:t> </w:t>
      </w:r>
      <w:r>
        <w:rPr>
          <w:color w:val="231F20"/>
          <w:w w:val="105"/>
        </w:rPr>
        <w:t>where</w:t>
      </w:r>
      <w:r>
        <w:rPr>
          <w:color w:val="231F20"/>
          <w:spacing w:val="-1"/>
          <w:w w:val="105"/>
        </w:rPr>
        <w:t> </w:t>
      </w:r>
      <w:r>
        <w:rPr>
          <w:color w:val="231F20"/>
          <w:w w:val="105"/>
        </w:rPr>
        <w:t>the</w:t>
      </w:r>
      <w:r>
        <w:rPr>
          <w:color w:val="231F20"/>
          <w:spacing w:val="-1"/>
          <w:w w:val="105"/>
        </w:rPr>
        <w:t> </w:t>
      </w:r>
      <w:r>
        <w:rPr>
          <w:color w:val="231F20"/>
          <w:w w:val="105"/>
        </w:rPr>
        <w:t>provisions listed in .1 and .2 above apply only as relevant and in addition to those relating to the main class or division.</w:t>
      </w:r>
    </w:p>
    <w:p>
      <w:pPr>
        <w:pStyle w:val="ListParagraph"/>
        <w:numPr>
          <w:ilvl w:val="4"/>
          <w:numId w:val="1"/>
        </w:numPr>
        <w:tabs>
          <w:tab w:pos="1930" w:val="left" w:leader="none"/>
        </w:tabs>
        <w:spacing w:line="240" w:lineRule="auto" w:before="189" w:after="0"/>
        <w:ind w:left="1930" w:right="0" w:hanging="1080"/>
        <w:jc w:val="left"/>
        <w:rPr>
          <w:sz w:val="17"/>
        </w:rPr>
      </w:pPr>
      <w:r>
        <w:rPr>
          <w:color w:val="231F20"/>
          <w:w w:val="105"/>
          <w:sz w:val="17"/>
        </w:rPr>
        <w:t>Excepted</w:t>
      </w:r>
      <w:r>
        <w:rPr>
          <w:color w:val="231F20"/>
          <w:spacing w:val="-2"/>
          <w:w w:val="105"/>
          <w:sz w:val="17"/>
        </w:rPr>
        <w:t> </w:t>
      </w:r>
      <w:r>
        <w:rPr>
          <w:color w:val="231F20"/>
          <w:w w:val="105"/>
          <w:sz w:val="17"/>
        </w:rPr>
        <w:t>packages</w:t>
      </w:r>
      <w:r>
        <w:rPr>
          <w:color w:val="231F20"/>
          <w:spacing w:val="-2"/>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2"/>
          <w:w w:val="105"/>
          <w:sz w:val="17"/>
        </w:rPr>
        <w:t> </w:t>
      </w:r>
      <w:r>
        <w:rPr>
          <w:color w:val="231F20"/>
          <w:w w:val="105"/>
          <w:sz w:val="17"/>
        </w:rPr>
        <w:t>subject</w:t>
      </w:r>
      <w:r>
        <w:rPr>
          <w:color w:val="231F20"/>
          <w:spacing w:val="-2"/>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2"/>
          <w:w w:val="105"/>
          <w:sz w:val="17"/>
        </w:rPr>
        <w:t> </w:t>
      </w:r>
      <w:r>
        <w:rPr>
          <w:color w:val="231F20"/>
          <w:w w:val="105"/>
          <w:sz w:val="17"/>
        </w:rPr>
        <w:t>relevant</w:t>
      </w:r>
      <w:r>
        <w:rPr>
          <w:color w:val="231F20"/>
          <w:spacing w:val="-2"/>
          <w:w w:val="105"/>
          <w:sz w:val="17"/>
        </w:rPr>
        <w:t> </w:t>
      </w:r>
      <w:r>
        <w:rPr>
          <w:color w:val="231F20"/>
          <w:w w:val="105"/>
          <w:sz w:val="17"/>
        </w:rPr>
        <w:t>provisions</w:t>
      </w:r>
      <w:r>
        <w:rPr>
          <w:color w:val="231F20"/>
          <w:spacing w:val="-1"/>
          <w:w w:val="105"/>
          <w:sz w:val="17"/>
        </w:rPr>
        <w:t> </w:t>
      </w:r>
      <w:r>
        <w:rPr>
          <w:color w:val="231F20"/>
          <w:w w:val="105"/>
          <w:sz w:val="17"/>
        </w:rPr>
        <w:t>of</w:t>
      </w:r>
      <w:r>
        <w:rPr>
          <w:color w:val="231F20"/>
          <w:spacing w:val="-2"/>
          <w:w w:val="105"/>
          <w:sz w:val="17"/>
        </w:rPr>
        <w:t> </w:t>
      </w:r>
      <w:r>
        <w:rPr>
          <w:color w:val="231F20"/>
          <w:w w:val="105"/>
          <w:sz w:val="17"/>
        </w:rPr>
        <w:t>all</w:t>
      </w:r>
      <w:r>
        <w:rPr>
          <w:color w:val="231F20"/>
          <w:spacing w:val="-2"/>
          <w:w w:val="105"/>
          <w:sz w:val="17"/>
        </w:rPr>
        <w:t> </w:t>
      </w:r>
      <w:r>
        <w:rPr>
          <w:color w:val="231F20"/>
          <w:w w:val="105"/>
          <w:sz w:val="17"/>
        </w:rPr>
        <w:t>other</w:t>
      </w:r>
      <w:r>
        <w:rPr>
          <w:color w:val="231F20"/>
          <w:spacing w:val="-1"/>
          <w:w w:val="105"/>
          <w:sz w:val="17"/>
        </w:rPr>
        <w:t> </w:t>
      </w:r>
      <w:r>
        <w:rPr>
          <w:color w:val="231F20"/>
          <w:w w:val="105"/>
          <w:sz w:val="17"/>
        </w:rPr>
        <w:t>parts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w:t>
      </w:r>
      <w:r>
        <w:rPr>
          <w:color w:val="231F20"/>
          <w:spacing w:val="-1"/>
          <w:w w:val="105"/>
          <w:sz w:val="17"/>
        </w:rPr>
        <w:t> </w:t>
      </w:r>
      <w:r>
        <w:rPr>
          <w:color w:val="231F20"/>
          <w:spacing w:val="-4"/>
          <w:w w:val="105"/>
          <w:sz w:val="17"/>
        </w:rPr>
        <w:t>Code.</w:t>
      </w:r>
    </w:p>
    <w:p>
      <w:pPr>
        <w:pStyle w:val="BodyText"/>
      </w:pPr>
    </w:p>
    <w:p>
      <w:pPr>
        <w:pStyle w:val="BodyText"/>
        <w:spacing w:before="10"/>
      </w:pPr>
    </w:p>
    <w:p>
      <w:pPr>
        <w:pStyle w:val="Heading1"/>
        <w:numPr>
          <w:ilvl w:val="2"/>
          <w:numId w:val="1"/>
        </w:numPr>
        <w:tabs>
          <w:tab w:pos="1930" w:val="left" w:leader="none"/>
        </w:tabs>
        <w:spacing w:line="240" w:lineRule="auto" w:before="1" w:after="0"/>
        <w:ind w:left="1930" w:right="0" w:hanging="1080"/>
        <w:jc w:val="left"/>
      </w:pPr>
      <w:r>
        <w:rPr>
          <w:color w:val="231F20"/>
          <w:w w:val="105"/>
        </w:rPr>
        <w:t>Radiation</w:t>
      </w:r>
      <w:r>
        <w:rPr>
          <w:color w:val="231F20"/>
          <w:spacing w:val="2"/>
          <w:w w:val="105"/>
        </w:rPr>
        <w:t> </w:t>
      </w:r>
      <w:r>
        <w:rPr>
          <w:color w:val="231F20"/>
          <w:w w:val="105"/>
        </w:rPr>
        <w:t>protection</w:t>
      </w:r>
      <w:r>
        <w:rPr>
          <w:color w:val="231F20"/>
          <w:spacing w:val="3"/>
          <w:w w:val="105"/>
        </w:rPr>
        <w:t> </w:t>
      </w:r>
      <w:r>
        <w:rPr>
          <w:color w:val="231F20"/>
          <w:spacing w:val="-2"/>
          <w:w w:val="105"/>
        </w:rPr>
        <w:t>programme</w:t>
      </w:r>
    </w:p>
    <w:p>
      <w:pPr>
        <w:pStyle w:val="ListParagraph"/>
        <w:numPr>
          <w:ilvl w:val="3"/>
          <w:numId w:val="1"/>
        </w:numPr>
        <w:tabs>
          <w:tab w:pos="1930" w:val="left" w:leader="none"/>
        </w:tabs>
        <w:spacing w:line="256" w:lineRule="auto" w:before="190" w:after="0"/>
        <w:ind w:left="1930" w:right="1415" w:hanging="1080"/>
        <w:jc w:val="both"/>
        <w:rPr>
          <w:color w:val="231F20"/>
          <w:sz w:val="17"/>
        </w:rPr>
      </w:pPr>
      <w:r>
        <w:rPr>
          <w:color w:val="231F20"/>
          <w:w w:val="105"/>
          <w:sz w:val="17"/>
        </w:rPr>
        <w:t>The</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of</w:t>
      </w:r>
      <w:r>
        <w:rPr>
          <w:color w:val="231F20"/>
          <w:spacing w:val="-2"/>
          <w:w w:val="105"/>
          <w:sz w:val="17"/>
        </w:rPr>
        <w:t> </w:t>
      </w:r>
      <w:r>
        <w:rPr>
          <w:color w:val="231F20"/>
          <w:w w:val="105"/>
          <w:sz w:val="17"/>
        </w:rPr>
        <w:t>radioactive</w:t>
      </w:r>
      <w:r>
        <w:rPr>
          <w:color w:val="231F20"/>
          <w:spacing w:val="-2"/>
          <w:w w:val="105"/>
          <w:sz w:val="17"/>
        </w:rPr>
        <w:t> </w:t>
      </w:r>
      <w:r>
        <w:rPr>
          <w:color w:val="231F20"/>
          <w:w w:val="105"/>
          <w:sz w:val="17"/>
        </w:rPr>
        <w:t>material</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subject</w:t>
      </w:r>
      <w:r>
        <w:rPr>
          <w:color w:val="231F20"/>
          <w:spacing w:val="-2"/>
          <w:w w:val="105"/>
          <w:sz w:val="17"/>
        </w:rPr>
        <w:t> </w:t>
      </w:r>
      <w:r>
        <w:rPr>
          <w:color w:val="231F20"/>
          <w:w w:val="105"/>
          <w:sz w:val="17"/>
        </w:rPr>
        <w:t>to</w:t>
      </w:r>
      <w:r>
        <w:rPr>
          <w:color w:val="231F20"/>
          <w:spacing w:val="-2"/>
          <w:w w:val="105"/>
          <w:sz w:val="17"/>
        </w:rPr>
        <w:t> </w:t>
      </w:r>
      <w:r>
        <w:rPr>
          <w:color w:val="231F20"/>
          <w:w w:val="105"/>
          <w:sz w:val="17"/>
        </w:rPr>
        <w:t>a</w:t>
      </w:r>
      <w:r>
        <w:rPr>
          <w:color w:val="231F20"/>
          <w:spacing w:val="-2"/>
          <w:w w:val="105"/>
          <w:sz w:val="17"/>
        </w:rPr>
        <w:t> </w:t>
      </w:r>
      <w:r>
        <w:rPr>
          <w:color w:val="231F20"/>
          <w:w w:val="105"/>
          <w:sz w:val="17"/>
        </w:rPr>
        <w:t>radiation</w:t>
      </w:r>
      <w:r>
        <w:rPr>
          <w:color w:val="231F20"/>
          <w:spacing w:val="-2"/>
          <w:w w:val="105"/>
          <w:sz w:val="17"/>
        </w:rPr>
        <w:t> </w:t>
      </w:r>
      <w:r>
        <w:rPr>
          <w:color w:val="231F20"/>
          <w:w w:val="105"/>
          <w:sz w:val="17"/>
        </w:rPr>
        <w:t>protection</w:t>
      </w:r>
      <w:r>
        <w:rPr>
          <w:color w:val="231F20"/>
          <w:spacing w:val="-2"/>
          <w:w w:val="105"/>
          <w:sz w:val="17"/>
        </w:rPr>
        <w:t> </w:t>
      </w:r>
      <w:r>
        <w:rPr>
          <w:color w:val="231F20"/>
          <w:w w:val="105"/>
          <w:sz w:val="17"/>
        </w:rPr>
        <w:t>programme</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consist of systematic arrangements aimed at providing adequate consideration of radiation protection measures.</w:t>
      </w:r>
    </w:p>
    <w:p>
      <w:pPr>
        <w:pStyle w:val="ListParagraph"/>
        <w:numPr>
          <w:ilvl w:val="3"/>
          <w:numId w:val="1"/>
        </w:numPr>
        <w:tabs>
          <w:tab w:pos="1930" w:val="left" w:leader="none"/>
        </w:tabs>
        <w:spacing w:line="256" w:lineRule="auto" w:before="188" w:after="0"/>
        <w:ind w:left="1930" w:right="1414" w:hanging="1080"/>
        <w:jc w:val="both"/>
        <w:rPr>
          <w:color w:val="231F20"/>
          <w:sz w:val="17"/>
        </w:rPr>
      </w:pPr>
      <w:r>
        <w:rPr>
          <w:color w:val="231F20"/>
          <w:w w:val="105"/>
          <w:sz w:val="17"/>
        </w:rPr>
        <w:t>Doses</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persons</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below</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relevant</w:t>
      </w:r>
      <w:r>
        <w:rPr>
          <w:color w:val="231F20"/>
          <w:spacing w:val="-10"/>
          <w:w w:val="105"/>
          <w:sz w:val="17"/>
        </w:rPr>
        <w:t> </w:t>
      </w:r>
      <w:r>
        <w:rPr>
          <w:color w:val="231F20"/>
          <w:w w:val="105"/>
          <w:sz w:val="17"/>
        </w:rPr>
        <w:t>dose</w:t>
      </w:r>
      <w:r>
        <w:rPr>
          <w:color w:val="231F20"/>
          <w:spacing w:val="-10"/>
          <w:w w:val="105"/>
          <w:sz w:val="17"/>
        </w:rPr>
        <w:t> </w:t>
      </w:r>
      <w:r>
        <w:rPr>
          <w:color w:val="231F20"/>
          <w:w w:val="105"/>
          <w:sz w:val="17"/>
        </w:rPr>
        <w:t>limits.</w:t>
      </w:r>
      <w:r>
        <w:rPr>
          <w:color w:val="231F20"/>
          <w:spacing w:val="-10"/>
          <w:w w:val="105"/>
          <w:sz w:val="17"/>
        </w:rPr>
        <w:t> </w:t>
      </w:r>
      <w:r>
        <w:rPr>
          <w:color w:val="231F20"/>
          <w:w w:val="105"/>
          <w:sz w:val="17"/>
        </w:rPr>
        <w:t>Protection</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safety</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optimized</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order</w:t>
      </w:r>
      <w:r>
        <w:rPr>
          <w:color w:val="231F20"/>
          <w:spacing w:val="-10"/>
          <w:w w:val="105"/>
          <w:sz w:val="17"/>
        </w:rPr>
        <w:t> </w:t>
      </w:r>
      <w:r>
        <w:rPr>
          <w:color w:val="231F20"/>
          <w:w w:val="105"/>
          <w:sz w:val="17"/>
        </w:rPr>
        <w:t>that the magnitude of individual doses, the number of persons exposed, and the likelihood of incurring exposure shall be kept as low as reasonably achievable, economic and social factors being taken into account, within the restrictions that the doses to individuals be subject to dose constraints. A structured and systematic approach shall be adopted and shall include consideration of the interfaces between transport and other </w:t>
      </w:r>
      <w:r>
        <w:rPr>
          <w:color w:val="231F20"/>
          <w:spacing w:val="-2"/>
          <w:w w:val="105"/>
          <w:sz w:val="17"/>
        </w:rPr>
        <w:t>activities.</w:t>
      </w:r>
    </w:p>
    <w:p>
      <w:pPr>
        <w:pStyle w:val="ListParagraph"/>
        <w:numPr>
          <w:ilvl w:val="3"/>
          <w:numId w:val="1"/>
        </w:numPr>
        <w:tabs>
          <w:tab w:pos="1930" w:val="left" w:leader="none"/>
        </w:tabs>
        <w:spacing w:line="256" w:lineRule="auto" w:before="191" w:after="0"/>
        <w:ind w:left="1930" w:right="1414" w:hanging="1080"/>
        <w:jc w:val="both"/>
        <w:rPr>
          <w:color w:val="231F20"/>
          <w:sz w:val="17"/>
        </w:rPr>
      </w:pPr>
      <w:r>
        <w:rPr>
          <w:color w:val="231F20"/>
          <w:w w:val="105"/>
          <w:sz w:val="17"/>
        </w:rPr>
        <w:t>The nature and extent of the measures to be employed in the programme shall be related to the magnitude and</w:t>
      </w:r>
      <w:r>
        <w:rPr>
          <w:color w:val="231F20"/>
          <w:spacing w:val="-2"/>
          <w:w w:val="105"/>
          <w:sz w:val="17"/>
        </w:rPr>
        <w:t> </w:t>
      </w:r>
      <w:r>
        <w:rPr>
          <w:color w:val="231F20"/>
          <w:w w:val="105"/>
          <w:sz w:val="17"/>
        </w:rPr>
        <w:t>likelihood</w:t>
      </w:r>
      <w:r>
        <w:rPr>
          <w:color w:val="231F20"/>
          <w:spacing w:val="-2"/>
          <w:w w:val="105"/>
          <w:sz w:val="17"/>
        </w:rPr>
        <w:t> </w:t>
      </w:r>
      <w:r>
        <w:rPr>
          <w:color w:val="231F20"/>
          <w:w w:val="105"/>
          <w:sz w:val="17"/>
        </w:rPr>
        <w:t>of</w:t>
      </w:r>
      <w:r>
        <w:rPr>
          <w:color w:val="231F20"/>
          <w:spacing w:val="-2"/>
          <w:w w:val="105"/>
          <w:sz w:val="17"/>
        </w:rPr>
        <w:t> </w:t>
      </w:r>
      <w:r>
        <w:rPr>
          <w:color w:val="231F20"/>
          <w:w w:val="105"/>
          <w:sz w:val="17"/>
        </w:rPr>
        <w:t>radiation</w:t>
      </w:r>
      <w:r>
        <w:rPr>
          <w:color w:val="231F20"/>
          <w:spacing w:val="-2"/>
          <w:w w:val="105"/>
          <w:sz w:val="17"/>
        </w:rPr>
        <w:t> </w:t>
      </w:r>
      <w:r>
        <w:rPr>
          <w:color w:val="231F20"/>
          <w:w w:val="105"/>
          <w:sz w:val="17"/>
        </w:rPr>
        <w:t>exposures.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programme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incorporate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in</w:t>
      </w:r>
      <w:r>
        <w:rPr>
          <w:color w:val="231F20"/>
          <w:spacing w:val="-2"/>
          <w:w w:val="105"/>
          <w:sz w:val="17"/>
        </w:rPr>
        <w:t> </w:t>
      </w:r>
      <w:r>
        <w:rPr>
          <w:color w:val="231F20"/>
          <w:w w:val="105"/>
          <w:sz w:val="17"/>
        </w:rPr>
        <w:t>1.5.2.2,</w:t>
      </w:r>
      <w:r>
        <w:rPr>
          <w:color w:val="231F20"/>
          <w:spacing w:val="-2"/>
          <w:w w:val="105"/>
          <w:sz w:val="17"/>
        </w:rPr>
        <w:t> </w:t>
      </w:r>
      <w:r>
        <w:rPr>
          <w:color w:val="231F20"/>
          <w:w w:val="105"/>
          <w:sz w:val="17"/>
        </w:rPr>
        <w:t>1.5.2.4</w:t>
      </w:r>
      <w:r>
        <w:rPr>
          <w:color w:val="231F20"/>
          <w:spacing w:val="-2"/>
          <w:w w:val="105"/>
          <w:sz w:val="17"/>
        </w:rPr>
        <w:t> </w:t>
      </w:r>
      <w:r>
        <w:rPr>
          <w:color w:val="231F20"/>
          <w:w w:val="105"/>
          <w:sz w:val="17"/>
        </w:rPr>
        <w:t>and</w:t>
      </w:r>
    </w:p>
    <w:p>
      <w:pPr>
        <w:pStyle w:val="BodyText"/>
        <w:spacing w:line="256" w:lineRule="auto" w:before="2"/>
        <w:ind w:left="1930" w:right="648" w:hanging="1"/>
      </w:pPr>
      <w:r>
        <w:rPr>
          <w:color w:val="231F20"/>
          <w:w w:val="105"/>
        </w:rPr>
        <w:t>7.1.4.5.13</w:t>
      </w:r>
      <w:r>
        <w:rPr>
          <w:color w:val="231F20"/>
          <w:spacing w:val="-1"/>
          <w:w w:val="105"/>
        </w:rPr>
        <w:t> </w:t>
      </w:r>
      <w:r>
        <w:rPr>
          <w:color w:val="231F20"/>
          <w:w w:val="105"/>
        </w:rPr>
        <w:t>to</w:t>
      </w:r>
      <w:r>
        <w:rPr>
          <w:color w:val="231F20"/>
          <w:spacing w:val="-1"/>
          <w:w w:val="105"/>
        </w:rPr>
        <w:t> </w:t>
      </w:r>
      <w:r>
        <w:rPr>
          <w:color w:val="231F20"/>
          <w:w w:val="105"/>
        </w:rPr>
        <w:t>7.1.4.5.18.</w:t>
      </w:r>
      <w:r>
        <w:rPr>
          <w:color w:val="231F20"/>
          <w:spacing w:val="-1"/>
          <w:w w:val="105"/>
        </w:rPr>
        <w:t> </w:t>
      </w:r>
      <w:r>
        <w:rPr>
          <w:color w:val="231F20"/>
          <w:w w:val="105"/>
        </w:rPr>
        <w:t>Programme</w:t>
      </w:r>
      <w:r>
        <w:rPr>
          <w:color w:val="231F20"/>
          <w:spacing w:val="-1"/>
          <w:w w:val="105"/>
        </w:rPr>
        <w:t> </w:t>
      </w:r>
      <w:r>
        <w:rPr>
          <w:color w:val="231F20"/>
          <w:w w:val="105"/>
        </w:rPr>
        <w:t>documents</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available,</w:t>
      </w:r>
      <w:r>
        <w:rPr>
          <w:color w:val="231F20"/>
          <w:spacing w:val="-1"/>
          <w:w w:val="105"/>
        </w:rPr>
        <w:t> </w:t>
      </w:r>
      <w:r>
        <w:rPr>
          <w:color w:val="231F20"/>
          <w:w w:val="105"/>
        </w:rPr>
        <w:t>on</w:t>
      </w:r>
      <w:r>
        <w:rPr>
          <w:color w:val="231F20"/>
          <w:spacing w:val="-1"/>
          <w:w w:val="105"/>
        </w:rPr>
        <w:t> </w:t>
      </w:r>
      <w:r>
        <w:rPr>
          <w:color w:val="231F20"/>
          <w:w w:val="105"/>
        </w:rPr>
        <w:t>request,</w:t>
      </w:r>
      <w:r>
        <w:rPr>
          <w:color w:val="231F20"/>
          <w:spacing w:val="-1"/>
          <w:w w:val="105"/>
        </w:rPr>
        <w:t> </w:t>
      </w:r>
      <w:r>
        <w:rPr>
          <w:color w:val="231F20"/>
          <w:w w:val="105"/>
        </w:rPr>
        <w:t>for</w:t>
      </w:r>
      <w:r>
        <w:rPr>
          <w:color w:val="231F20"/>
          <w:spacing w:val="-1"/>
          <w:w w:val="105"/>
        </w:rPr>
        <w:t> </w:t>
      </w:r>
      <w:r>
        <w:rPr>
          <w:color w:val="231F20"/>
          <w:w w:val="105"/>
        </w:rPr>
        <w:t>inspection</w:t>
      </w:r>
      <w:r>
        <w:rPr>
          <w:color w:val="231F20"/>
          <w:spacing w:val="-1"/>
          <w:w w:val="105"/>
        </w:rPr>
        <w:t> </w:t>
      </w:r>
      <w:r>
        <w:rPr>
          <w:color w:val="231F20"/>
          <w:w w:val="105"/>
        </w:rPr>
        <w:t>by</w:t>
      </w:r>
      <w:r>
        <w:rPr>
          <w:color w:val="231F20"/>
          <w:spacing w:val="-1"/>
          <w:w w:val="105"/>
        </w:rPr>
        <w:t> </w:t>
      </w:r>
      <w:r>
        <w:rPr>
          <w:color w:val="231F20"/>
          <w:w w:val="105"/>
        </w:rPr>
        <w:t>the</w:t>
      </w:r>
      <w:r>
        <w:rPr>
          <w:color w:val="231F20"/>
          <w:spacing w:val="-1"/>
          <w:w w:val="105"/>
        </w:rPr>
        <w:t> </w:t>
      </w:r>
      <w:r>
        <w:rPr>
          <w:color w:val="231F20"/>
          <w:w w:val="105"/>
        </w:rPr>
        <w:t>relevant competent authority.</w:t>
      </w:r>
    </w:p>
    <w:p>
      <w:pPr>
        <w:pStyle w:val="ListParagraph"/>
        <w:numPr>
          <w:ilvl w:val="3"/>
          <w:numId w:val="1"/>
        </w:numPr>
        <w:tabs>
          <w:tab w:pos="1930" w:val="left" w:leader="none"/>
        </w:tabs>
        <w:spacing w:line="256" w:lineRule="auto" w:before="188" w:after="0"/>
        <w:ind w:left="1930" w:right="1415" w:hanging="1081"/>
        <w:jc w:val="both"/>
        <w:rPr>
          <w:color w:val="231F20"/>
          <w:sz w:val="17"/>
        </w:rPr>
      </w:pPr>
      <w:r>
        <w:rPr>
          <w:color w:val="231F20"/>
          <w:w w:val="105"/>
          <w:sz w:val="17"/>
        </w:rPr>
        <w:t>For occupational exposures arising from transport activities, where it is assessed that the effective dose </w:t>
      </w:r>
      <w:r>
        <w:rPr>
          <w:color w:val="231F20"/>
          <w:spacing w:val="-2"/>
          <w:w w:val="105"/>
          <w:sz w:val="17"/>
        </w:rPr>
        <w:t>either:</w:t>
      </w:r>
    </w:p>
    <w:p>
      <w:pPr>
        <w:pStyle w:val="ListParagraph"/>
        <w:numPr>
          <w:ilvl w:val="0"/>
          <w:numId w:val="5"/>
        </w:numPr>
        <w:tabs>
          <w:tab w:pos="2290" w:val="left" w:leader="none"/>
        </w:tabs>
        <w:spacing w:line="256" w:lineRule="auto" w:before="109" w:after="0"/>
        <w:ind w:left="2290" w:right="1414" w:hanging="360"/>
        <w:jc w:val="left"/>
        <w:rPr>
          <w:sz w:val="17"/>
        </w:rPr>
      </w:pPr>
      <w:r>
        <w:rPr>
          <w:color w:val="231F20"/>
          <w:w w:val="105"/>
          <w:sz w:val="17"/>
        </w:rPr>
        <w:t>is likely to be between 1 and 6 mSv in a year, a dose assessment programme via workplace monitoring or individual monitoring shall be conducted; or</w:t>
      </w:r>
    </w:p>
    <w:p>
      <w:pPr>
        <w:pStyle w:val="ListParagraph"/>
        <w:numPr>
          <w:ilvl w:val="0"/>
          <w:numId w:val="5"/>
        </w:numPr>
        <w:tabs>
          <w:tab w:pos="2290" w:val="left" w:leader="none"/>
        </w:tabs>
        <w:spacing w:line="240" w:lineRule="auto" w:before="109" w:after="0"/>
        <w:ind w:left="2290" w:right="0" w:hanging="360"/>
        <w:jc w:val="left"/>
        <w:rPr>
          <w:sz w:val="17"/>
        </w:rPr>
      </w:pPr>
      <w:r>
        <w:rPr>
          <w:color w:val="231F20"/>
          <w:w w:val="105"/>
          <w:sz w:val="17"/>
        </w:rPr>
        <w:t>is</w:t>
      </w:r>
      <w:r>
        <w:rPr>
          <w:color w:val="231F20"/>
          <w:spacing w:val="-6"/>
          <w:w w:val="105"/>
          <w:sz w:val="17"/>
        </w:rPr>
        <w:t> </w:t>
      </w:r>
      <w:r>
        <w:rPr>
          <w:color w:val="231F20"/>
          <w:w w:val="105"/>
          <w:sz w:val="17"/>
        </w:rPr>
        <w:t>likely</w:t>
      </w:r>
      <w:r>
        <w:rPr>
          <w:color w:val="231F20"/>
          <w:spacing w:val="-6"/>
          <w:w w:val="105"/>
          <w:sz w:val="17"/>
        </w:rPr>
        <w:t> </w:t>
      </w:r>
      <w:r>
        <w:rPr>
          <w:color w:val="231F20"/>
          <w:w w:val="105"/>
          <w:sz w:val="17"/>
        </w:rPr>
        <w:t>to</w:t>
      </w:r>
      <w:r>
        <w:rPr>
          <w:color w:val="231F20"/>
          <w:spacing w:val="-6"/>
          <w:w w:val="105"/>
          <w:sz w:val="17"/>
        </w:rPr>
        <w:t> </w:t>
      </w:r>
      <w:r>
        <w:rPr>
          <w:color w:val="231F20"/>
          <w:w w:val="105"/>
          <w:sz w:val="17"/>
        </w:rPr>
        <w:t>exceed</w:t>
      </w:r>
      <w:r>
        <w:rPr>
          <w:color w:val="231F20"/>
          <w:spacing w:val="-6"/>
          <w:w w:val="105"/>
          <w:sz w:val="17"/>
        </w:rPr>
        <w:t> </w:t>
      </w:r>
      <w:r>
        <w:rPr>
          <w:color w:val="231F20"/>
          <w:w w:val="105"/>
          <w:sz w:val="17"/>
        </w:rPr>
        <w:t>6</w:t>
      </w:r>
      <w:r>
        <w:rPr>
          <w:color w:val="231F20"/>
          <w:spacing w:val="-5"/>
          <w:w w:val="105"/>
          <w:sz w:val="17"/>
        </w:rPr>
        <w:t> </w:t>
      </w:r>
      <w:r>
        <w:rPr>
          <w:color w:val="231F20"/>
          <w:w w:val="105"/>
          <w:sz w:val="17"/>
        </w:rPr>
        <w:t>mSv</w:t>
      </w:r>
      <w:r>
        <w:rPr>
          <w:color w:val="231F20"/>
          <w:spacing w:val="-6"/>
          <w:w w:val="105"/>
          <w:sz w:val="17"/>
        </w:rPr>
        <w:t> </w:t>
      </w:r>
      <w:r>
        <w:rPr>
          <w:color w:val="231F20"/>
          <w:w w:val="105"/>
          <w:sz w:val="17"/>
        </w:rPr>
        <w:t>in</w:t>
      </w:r>
      <w:r>
        <w:rPr>
          <w:color w:val="231F20"/>
          <w:spacing w:val="-6"/>
          <w:w w:val="105"/>
          <w:sz w:val="17"/>
        </w:rPr>
        <w:t> </w:t>
      </w:r>
      <w:r>
        <w:rPr>
          <w:color w:val="231F20"/>
          <w:w w:val="105"/>
          <w:sz w:val="17"/>
        </w:rPr>
        <w:t>a</w:t>
      </w:r>
      <w:r>
        <w:rPr>
          <w:color w:val="231F20"/>
          <w:spacing w:val="-6"/>
          <w:w w:val="105"/>
          <w:sz w:val="17"/>
        </w:rPr>
        <w:t> </w:t>
      </w:r>
      <w:r>
        <w:rPr>
          <w:color w:val="231F20"/>
          <w:w w:val="105"/>
          <w:sz w:val="17"/>
        </w:rPr>
        <w:t>year,</w:t>
      </w:r>
      <w:r>
        <w:rPr>
          <w:color w:val="231F20"/>
          <w:spacing w:val="-5"/>
          <w:w w:val="105"/>
          <w:sz w:val="17"/>
        </w:rPr>
        <w:t> </w:t>
      </w:r>
      <w:r>
        <w:rPr>
          <w:color w:val="231F20"/>
          <w:w w:val="105"/>
          <w:sz w:val="17"/>
        </w:rPr>
        <w:t>individual</w:t>
      </w:r>
      <w:r>
        <w:rPr>
          <w:color w:val="231F20"/>
          <w:spacing w:val="-6"/>
          <w:w w:val="105"/>
          <w:sz w:val="17"/>
        </w:rPr>
        <w:t> </w:t>
      </w:r>
      <w:r>
        <w:rPr>
          <w:color w:val="231F20"/>
          <w:w w:val="105"/>
          <w:sz w:val="17"/>
        </w:rPr>
        <w:t>monitoring</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spacing w:val="-2"/>
          <w:w w:val="105"/>
          <w:sz w:val="17"/>
        </w:rPr>
        <w:t>conducted.</w:t>
      </w:r>
    </w:p>
    <w:p>
      <w:pPr>
        <w:pStyle w:val="BodyText"/>
        <w:spacing w:before="161"/>
        <w:ind w:left="67" w:right="116"/>
        <w:jc w:val="center"/>
      </w:pPr>
      <w:r>
        <w:rPr>
          <w:color w:val="231F20"/>
          <w:w w:val="105"/>
        </w:rPr>
        <w:t>When</w:t>
      </w:r>
      <w:r>
        <w:rPr>
          <w:color w:val="231F20"/>
          <w:spacing w:val="1"/>
          <w:w w:val="105"/>
        </w:rPr>
        <w:t> </w:t>
      </w:r>
      <w:r>
        <w:rPr>
          <w:color w:val="231F20"/>
          <w:w w:val="105"/>
        </w:rPr>
        <w:t>workplace</w:t>
      </w:r>
      <w:r>
        <w:rPr>
          <w:color w:val="231F20"/>
          <w:spacing w:val="1"/>
          <w:w w:val="105"/>
        </w:rPr>
        <w:t> </w:t>
      </w:r>
      <w:r>
        <w:rPr>
          <w:color w:val="231F20"/>
          <w:w w:val="105"/>
        </w:rPr>
        <w:t>monitoring</w:t>
      </w:r>
      <w:r>
        <w:rPr>
          <w:color w:val="231F20"/>
          <w:spacing w:val="2"/>
          <w:w w:val="105"/>
        </w:rPr>
        <w:t> </w:t>
      </w:r>
      <w:r>
        <w:rPr>
          <w:color w:val="231F20"/>
          <w:w w:val="105"/>
        </w:rPr>
        <w:t>or</w:t>
      </w:r>
      <w:r>
        <w:rPr>
          <w:color w:val="231F20"/>
          <w:spacing w:val="1"/>
          <w:w w:val="105"/>
        </w:rPr>
        <w:t> </w:t>
      </w:r>
      <w:r>
        <w:rPr>
          <w:color w:val="231F20"/>
          <w:w w:val="105"/>
        </w:rPr>
        <w:t>individual</w:t>
      </w:r>
      <w:r>
        <w:rPr>
          <w:color w:val="231F20"/>
          <w:spacing w:val="2"/>
          <w:w w:val="105"/>
        </w:rPr>
        <w:t> </w:t>
      </w:r>
      <w:r>
        <w:rPr>
          <w:color w:val="231F20"/>
          <w:w w:val="105"/>
        </w:rPr>
        <w:t>monitoring</w:t>
      </w:r>
      <w:r>
        <w:rPr>
          <w:color w:val="231F20"/>
          <w:spacing w:val="1"/>
          <w:w w:val="105"/>
        </w:rPr>
        <w:t> </w:t>
      </w:r>
      <w:r>
        <w:rPr>
          <w:color w:val="231F20"/>
          <w:w w:val="105"/>
        </w:rPr>
        <w:t>is</w:t>
      </w:r>
      <w:r>
        <w:rPr>
          <w:color w:val="231F20"/>
          <w:spacing w:val="1"/>
          <w:w w:val="105"/>
        </w:rPr>
        <w:t> </w:t>
      </w:r>
      <w:r>
        <w:rPr>
          <w:color w:val="231F20"/>
          <w:w w:val="105"/>
        </w:rPr>
        <w:t>conducted,</w:t>
      </w:r>
      <w:r>
        <w:rPr>
          <w:color w:val="231F20"/>
          <w:spacing w:val="2"/>
          <w:w w:val="105"/>
        </w:rPr>
        <w:t> </w:t>
      </w:r>
      <w:r>
        <w:rPr>
          <w:color w:val="231F20"/>
          <w:w w:val="105"/>
        </w:rPr>
        <w:t>appropriate</w:t>
      </w:r>
      <w:r>
        <w:rPr>
          <w:color w:val="231F20"/>
          <w:spacing w:val="1"/>
          <w:w w:val="105"/>
        </w:rPr>
        <w:t> </w:t>
      </w:r>
      <w:r>
        <w:rPr>
          <w:color w:val="231F20"/>
          <w:w w:val="105"/>
        </w:rPr>
        <w:t>records</w:t>
      </w:r>
      <w:r>
        <w:rPr>
          <w:color w:val="231F20"/>
          <w:spacing w:val="2"/>
          <w:w w:val="105"/>
        </w:rPr>
        <w:t> </w:t>
      </w:r>
      <w:r>
        <w:rPr>
          <w:color w:val="231F20"/>
          <w:w w:val="105"/>
        </w:rPr>
        <w:t>shall</w:t>
      </w:r>
      <w:r>
        <w:rPr>
          <w:color w:val="231F20"/>
          <w:spacing w:val="1"/>
          <w:w w:val="105"/>
        </w:rPr>
        <w:t> </w:t>
      </w:r>
      <w:r>
        <w:rPr>
          <w:color w:val="231F20"/>
          <w:w w:val="105"/>
        </w:rPr>
        <w:t>be</w:t>
      </w:r>
      <w:r>
        <w:rPr>
          <w:color w:val="231F20"/>
          <w:spacing w:val="2"/>
          <w:w w:val="105"/>
        </w:rPr>
        <w:t> </w:t>
      </w:r>
      <w:r>
        <w:rPr>
          <w:color w:val="231F20"/>
          <w:spacing w:val="-4"/>
          <w:w w:val="105"/>
        </w:rPr>
        <w:t>kept.</w:t>
      </w:r>
    </w:p>
    <w:p>
      <w:pPr>
        <w:pStyle w:val="BodyText"/>
        <w:spacing w:line="256" w:lineRule="auto" w:before="162"/>
        <w:ind w:left="1930" w:right="1414"/>
        <w:jc w:val="both"/>
      </w:pPr>
      <w:r>
        <w:rPr>
          <w:rFonts w:ascii="Arial"/>
          <w:b/>
          <w:color w:val="231F20"/>
        </w:rPr>
        <w:t>Note:</w:t>
      </w:r>
      <w:r>
        <w:rPr>
          <w:rFonts w:ascii="Arial"/>
          <w:b/>
          <w:color w:val="231F20"/>
          <w:spacing w:val="17"/>
        </w:rPr>
        <w:t> </w:t>
      </w:r>
      <w:r>
        <w:rPr>
          <w:color w:val="231F20"/>
        </w:rPr>
        <w:t>For</w:t>
      </w:r>
      <w:r>
        <w:rPr>
          <w:color w:val="231F20"/>
          <w:spacing w:val="17"/>
        </w:rPr>
        <w:t> </w:t>
      </w:r>
      <w:r>
        <w:rPr>
          <w:color w:val="231F20"/>
        </w:rPr>
        <w:t>occupational</w:t>
      </w:r>
      <w:r>
        <w:rPr>
          <w:color w:val="231F20"/>
          <w:spacing w:val="17"/>
        </w:rPr>
        <w:t> </w:t>
      </w:r>
      <w:r>
        <w:rPr>
          <w:color w:val="231F20"/>
        </w:rPr>
        <w:t>exposures</w:t>
      </w:r>
      <w:r>
        <w:rPr>
          <w:color w:val="231F20"/>
          <w:spacing w:val="17"/>
        </w:rPr>
        <w:t> </w:t>
      </w:r>
      <w:r>
        <w:rPr>
          <w:color w:val="231F20"/>
        </w:rPr>
        <w:t>arising</w:t>
      </w:r>
      <w:r>
        <w:rPr>
          <w:color w:val="231F20"/>
          <w:spacing w:val="17"/>
        </w:rPr>
        <w:t> </w:t>
      </w:r>
      <w:r>
        <w:rPr>
          <w:color w:val="231F20"/>
        </w:rPr>
        <w:t>from</w:t>
      </w:r>
      <w:r>
        <w:rPr>
          <w:color w:val="231F20"/>
          <w:spacing w:val="17"/>
        </w:rPr>
        <w:t> </w:t>
      </w:r>
      <w:r>
        <w:rPr>
          <w:color w:val="231F20"/>
        </w:rPr>
        <w:t>transport</w:t>
      </w:r>
      <w:r>
        <w:rPr>
          <w:color w:val="231F20"/>
          <w:spacing w:val="17"/>
        </w:rPr>
        <w:t> </w:t>
      </w:r>
      <w:r>
        <w:rPr>
          <w:color w:val="231F20"/>
        </w:rPr>
        <w:t>activities,</w:t>
      </w:r>
      <w:r>
        <w:rPr>
          <w:color w:val="231F20"/>
          <w:spacing w:val="17"/>
        </w:rPr>
        <w:t> </w:t>
      </w:r>
      <w:r>
        <w:rPr>
          <w:color w:val="231F20"/>
        </w:rPr>
        <w:t>where</w:t>
      </w:r>
      <w:r>
        <w:rPr>
          <w:color w:val="231F20"/>
          <w:spacing w:val="17"/>
        </w:rPr>
        <w:t> </w:t>
      </w:r>
      <w:r>
        <w:rPr>
          <w:color w:val="231F20"/>
        </w:rPr>
        <w:t>it</w:t>
      </w:r>
      <w:r>
        <w:rPr>
          <w:color w:val="231F20"/>
          <w:spacing w:val="17"/>
        </w:rPr>
        <w:t> </w:t>
      </w:r>
      <w:r>
        <w:rPr>
          <w:color w:val="231F20"/>
        </w:rPr>
        <w:t>is</w:t>
      </w:r>
      <w:r>
        <w:rPr>
          <w:color w:val="231F20"/>
          <w:spacing w:val="17"/>
        </w:rPr>
        <w:t> </w:t>
      </w:r>
      <w:r>
        <w:rPr>
          <w:color w:val="231F20"/>
        </w:rPr>
        <w:t>assessed</w:t>
      </w:r>
      <w:r>
        <w:rPr>
          <w:color w:val="231F20"/>
          <w:spacing w:val="17"/>
        </w:rPr>
        <w:t> </w:t>
      </w:r>
      <w:r>
        <w:rPr>
          <w:color w:val="231F20"/>
        </w:rPr>
        <w:t>that</w:t>
      </w:r>
      <w:r>
        <w:rPr>
          <w:color w:val="231F20"/>
          <w:spacing w:val="17"/>
        </w:rPr>
        <w:t> </w:t>
      </w:r>
      <w:r>
        <w:rPr>
          <w:color w:val="231F20"/>
        </w:rPr>
        <w:t>the</w:t>
      </w:r>
      <w:r>
        <w:rPr>
          <w:color w:val="231F20"/>
          <w:spacing w:val="17"/>
        </w:rPr>
        <w:t> </w:t>
      </w:r>
      <w:r>
        <w:rPr>
          <w:color w:val="231F20"/>
        </w:rPr>
        <w:t>effective</w:t>
      </w:r>
      <w:r>
        <w:rPr>
          <w:color w:val="231F20"/>
          <w:spacing w:val="17"/>
        </w:rPr>
        <w:t> </w:t>
      </w:r>
      <w:r>
        <w:rPr>
          <w:color w:val="231F20"/>
        </w:rPr>
        <w:t>dose </w:t>
      </w:r>
      <w:r>
        <w:rPr>
          <w:color w:val="231F20"/>
          <w:w w:val="105"/>
        </w:rPr>
        <w:t>is most unlikely to exceed 1 mSv in a year, no special work patterns, detailed monitoring, dose assessment programmes or individual record keeping need be required.</w:t>
      </w:r>
    </w:p>
    <w:p>
      <w:pPr>
        <w:pStyle w:val="BodyText"/>
        <w:spacing w:before="193"/>
      </w:pPr>
    </w:p>
    <w:p>
      <w:pPr>
        <w:pStyle w:val="Heading1"/>
        <w:numPr>
          <w:ilvl w:val="2"/>
          <w:numId w:val="1"/>
        </w:numPr>
        <w:tabs>
          <w:tab w:pos="1930" w:val="left" w:leader="none"/>
        </w:tabs>
        <w:spacing w:line="240" w:lineRule="auto" w:before="0" w:after="0"/>
        <w:ind w:left="1930" w:right="0" w:hanging="1080"/>
        <w:jc w:val="left"/>
      </w:pPr>
      <w:r>
        <w:rPr>
          <w:color w:val="231F20"/>
        </w:rPr>
        <w:t>Management</w:t>
      </w:r>
      <w:r>
        <w:rPr>
          <w:color w:val="231F20"/>
          <w:spacing w:val="46"/>
        </w:rPr>
        <w:t> </w:t>
      </w:r>
      <w:r>
        <w:rPr>
          <w:color w:val="231F20"/>
          <w:spacing w:val="-2"/>
        </w:rPr>
        <w:t>system</w:t>
      </w:r>
    </w:p>
    <w:p>
      <w:pPr>
        <w:pStyle w:val="ListParagraph"/>
        <w:numPr>
          <w:ilvl w:val="3"/>
          <w:numId w:val="1"/>
        </w:numPr>
        <w:tabs>
          <w:tab w:pos="1930" w:val="left" w:leader="none"/>
        </w:tabs>
        <w:spacing w:line="256" w:lineRule="auto" w:before="172" w:after="0"/>
        <w:ind w:left="1930" w:right="1414" w:hanging="1080"/>
        <w:jc w:val="both"/>
        <w:rPr>
          <w:color w:val="231F20"/>
          <w:sz w:val="17"/>
        </w:rPr>
      </w:pPr>
      <w:r>
        <w:rPr>
          <w:color w:val="231F20"/>
          <w:w w:val="105"/>
          <w:sz w:val="17"/>
        </w:rPr>
        <w:t>A</w:t>
      </w:r>
      <w:r>
        <w:rPr>
          <w:color w:val="231F20"/>
          <w:w w:val="105"/>
          <w:sz w:val="17"/>
        </w:rPr>
        <w:t> management</w:t>
      </w:r>
      <w:r>
        <w:rPr>
          <w:color w:val="231F20"/>
          <w:w w:val="105"/>
          <w:sz w:val="17"/>
        </w:rPr>
        <w:t> system</w:t>
      </w:r>
      <w:r>
        <w:rPr>
          <w:color w:val="231F20"/>
          <w:w w:val="105"/>
          <w:sz w:val="17"/>
        </w:rPr>
        <w:t> based</w:t>
      </w:r>
      <w:r>
        <w:rPr>
          <w:color w:val="231F20"/>
          <w:w w:val="105"/>
          <w:sz w:val="17"/>
        </w:rPr>
        <w:t> on</w:t>
      </w:r>
      <w:r>
        <w:rPr>
          <w:color w:val="231F20"/>
          <w:w w:val="105"/>
          <w:sz w:val="17"/>
        </w:rPr>
        <w:t> international,</w:t>
      </w:r>
      <w:r>
        <w:rPr>
          <w:color w:val="231F20"/>
          <w:w w:val="105"/>
          <w:sz w:val="17"/>
        </w:rPr>
        <w:t> national</w:t>
      </w:r>
      <w:r>
        <w:rPr>
          <w:color w:val="231F20"/>
          <w:w w:val="105"/>
          <w:sz w:val="17"/>
        </w:rPr>
        <w:t> or</w:t>
      </w:r>
      <w:r>
        <w:rPr>
          <w:color w:val="231F20"/>
          <w:w w:val="105"/>
          <w:sz w:val="17"/>
        </w:rPr>
        <w:t> other</w:t>
      </w:r>
      <w:r>
        <w:rPr>
          <w:color w:val="231F20"/>
          <w:w w:val="105"/>
          <w:sz w:val="17"/>
        </w:rPr>
        <w:t> standards</w:t>
      </w:r>
      <w:r>
        <w:rPr>
          <w:color w:val="231F20"/>
          <w:w w:val="105"/>
          <w:sz w:val="17"/>
        </w:rPr>
        <w:t> acceptable</w:t>
      </w:r>
      <w:r>
        <w:rPr>
          <w:color w:val="231F20"/>
          <w:w w:val="105"/>
          <w:sz w:val="17"/>
        </w:rPr>
        <w:t> to</w:t>
      </w:r>
      <w:r>
        <w:rPr>
          <w:color w:val="231F20"/>
          <w:w w:val="105"/>
          <w:sz w:val="17"/>
        </w:rPr>
        <w:t> the</w:t>
      </w:r>
      <w:r>
        <w:rPr>
          <w:color w:val="231F20"/>
          <w:w w:val="105"/>
          <w:sz w:val="17"/>
        </w:rPr>
        <w:t> competent authority</w:t>
      </w:r>
      <w:r>
        <w:rPr>
          <w:color w:val="231F20"/>
          <w:spacing w:val="12"/>
          <w:w w:val="105"/>
          <w:sz w:val="17"/>
        </w:rPr>
        <w:t> </w:t>
      </w:r>
      <w:r>
        <w:rPr>
          <w:color w:val="231F20"/>
          <w:w w:val="105"/>
          <w:sz w:val="17"/>
        </w:rPr>
        <w:t>shall</w:t>
      </w:r>
      <w:r>
        <w:rPr>
          <w:color w:val="231F20"/>
          <w:spacing w:val="12"/>
          <w:w w:val="105"/>
          <w:sz w:val="17"/>
        </w:rPr>
        <w:t> </w:t>
      </w:r>
      <w:r>
        <w:rPr>
          <w:color w:val="231F20"/>
          <w:w w:val="105"/>
          <w:sz w:val="17"/>
        </w:rPr>
        <w:t>be</w:t>
      </w:r>
      <w:r>
        <w:rPr>
          <w:color w:val="231F20"/>
          <w:spacing w:val="12"/>
          <w:w w:val="105"/>
          <w:sz w:val="17"/>
        </w:rPr>
        <w:t> </w:t>
      </w:r>
      <w:r>
        <w:rPr>
          <w:color w:val="231F20"/>
          <w:w w:val="105"/>
          <w:sz w:val="17"/>
        </w:rPr>
        <w:t>established</w:t>
      </w:r>
      <w:r>
        <w:rPr>
          <w:color w:val="231F20"/>
          <w:spacing w:val="12"/>
          <w:w w:val="105"/>
          <w:sz w:val="17"/>
        </w:rPr>
        <w:t> </w:t>
      </w:r>
      <w:r>
        <w:rPr>
          <w:color w:val="231F20"/>
          <w:w w:val="105"/>
          <w:sz w:val="17"/>
        </w:rPr>
        <w:t>and</w:t>
      </w:r>
      <w:r>
        <w:rPr>
          <w:color w:val="231F20"/>
          <w:spacing w:val="12"/>
          <w:w w:val="105"/>
          <w:sz w:val="17"/>
        </w:rPr>
        <w:t> </w:t>
      </w:r>
      <w:r>
        <w:rPr>
          <w:color w:val="231F20"/>
          <w:w w:val="105"/>
          <w:sz w:val="17"/>
        </w:rPr>
        <w:t>implemented</w:t>
      </w:r>
      <w:r>
        <w:rPr>
          <w:color w:val="231F20"/>
          <w:spacing w:val="12"/>
          <w:w w:val="105"/>
          <w:sz w:val="17"/>
        </w:rPr>
        <w:t> </w:t>
      </w:r>
      <w:r>
        <w:rPr>
          <w:color w:val="231F20"/>
          <w:w w:val="105"/>
          <w:sz w:val="17"/>
        </w:rPr>
        <w:t>for</w:t>
      </w:r>
      <w:r>
        <w:rPr>
          <w:color w:val="231F20"/>
          <w:spacing w:val="12"/>
          <w:w w:val="105"/>
          <w:sz w:val="17"/>
        </w:rPr>
        <w:t> </w:t>
      </w:r>
      <w:r>
        <w:rPr>
          <w:color w:val="231F20"/>
          <w:w w:val="105"/>
          <w:sz w:val="17"/>
        </w:rPr>
        <w:t>all</w:t>
      </w:r>
      <w:r>
        <w:rPr>
          <w:color w:val="231F20"/>
          <w:spacing w:val="12"/>
          <w:w w:val="105"/>
          <w:sz w:val="17"/>
        </w:rPr>
        <w:t> </w:t>
      </w:r>
      <w:r>
        <w:rPr>
          <w:color w:val="231F20"/>
          <w:w w:val="105"/>
          <w:sz w:val="17"/>
        </w:rPr>
        <w:t>activities</w:t>
      </w:r>
      <w:r>
        <w:rPr>
          <w:color w:val="231F20"/>
          <w:spacing w:val="12"/>
          <w:w w:val="105"/>
          <w:sz w:val="17"/>
        </w:rPr>
        <w:t> </w:t>
      </w:r>
      <w:r>
        <w:rPr>
          <w:color w:val="231F20"/>
          <w:w w:val="105"/>
          <w:sz w:val="17"/>
        </w:rPr>
        <w:t>within</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scope</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this</w:t>
      </w:r>
      <w:r>
        <w:rPr>
          <w:color w:val="231F20"/>
          <w:spacing w:val="12"/>
          <w:w w:val="105"/>
          <w:sz w:val="17"/>
        </w:rPr>
        <w:t> </w:t>
      </w:r>
      <w:r>
        <w:rPr>
          <w:color w:val="231F20"/>
          <w:w w:val="105"/>
          <w:sz w:val="17"/>
        </w:rPr>
        <w:t>Code,</w:t>
      </w:r>
      <w:r>
        <w:rPr>
          <w:color w:val="231F20"/>
          <w:spacing w:val="12"/>
          <w:w w:val="105"/>
          <w:sz w:val="17"/>
        </w:rPr>
        <w:t> </w:t>
      </w:r>
      <w:r>
        <w:rPr>
          <w:color w:val="231F20"/>
          <w:w w:val="105"/>
          <w:sz w:val="17"/>
        </w:rPr>
        <w:t>as</w:t>
      </w:r>
      <w:r>
        <w:rPr>
          <w:color w:val="231F20"/>
          <w:spacing w:val="12"/>
          <w:w w:val="105"/>
          <w:sz w:val="17"/>
        </w:rPr>
        <w:t> </w:t>
      </w:r>
      <w:r>
        <w:rPr>
          <w:color w:val="231F20"/>
          <w:w w:val="105"/>
          <w:sz w:val="17"/>
        </w:rPr>
        <w:t>identified in</w:t>
      </w:r>
      <w:r>
        <w:rPr>
          <w:color w:val="231F20"/>
          <w:w w:val="105"/>
          <w:sz w:val="17"/>
        </w:rPr>
        <w:t> 1.5.1.3,</w:t>
      </w:r>
      <w:r>
        <w:rPr>
          <w:color w:val="231F20"/>
          <w:w w:val="105"/>
          <w:sz w:val="17"/>
        </w:rPr>
        <w:t> to</w:t>
      </w:r>
      <w:r>
        <w:rPr>
          <w:color w:val="231F20"/>
          <w:w w:val="105"/>
          <w:sz w:val="17"/>
        </w:rPr>
        <w:t> ensure</w:t>
      </w:r>
      <w:r>
        <w:rPr>
          <w:color w:val="231F20"/>
          <w:w w:val="105"/>
          <w:sz w:val="17"/>
        </w:rPr>
        <w:t> compliance</w:t>
      </w:r>
      <w:r>
        <w:rPr>
          <w:color w:val="231F20"/>
          <w:w w:val="105"/>
          <w:sz w:val="17"/>
        </w:rPr>
        <w:t> with</w:t>
      </w:r>
      <w:r>
        <w:rPr>
          <w:color w:val="231F20"/>
          <w:w w:val="105"/>
          <w:sz w:val="17"/>
        </w:rPr>
        <w:t> the</w:t>
      </w:r>
      <w:r>
        <w:rPr>
          <w:color w:val="231F20"/>
          <w:w w:val="105"/>
          <w:sz w:val="17"/>
        </w:rPr>
        <w:t> relevant</w:t>
      </w:r>
      <w:r>
        <w:rPr>
          <w:color w:val="231F20"/>
          <w:w w:val="105"/>
          <w:sz w:val="17"/>
        </w:rPr>
        <w:t> provisions</w:t>
      </w:r>
      <w:r>
        <w:rPr>
          <w:color w:val="231F20"/>
          <w:w w:val="105"/>
          <w:sz w:val="17"/>
        </w:rPr>
        <w:t> of</w:t>
      </w:r>
      <w:r>
        <w:rPr>
          <w:color w:val="231F20"/>
          <w:w w:val="105"/>
          <w:sz w:val="17"/>
        </w:rPr>
        <w:t> this</w:t>
      </w:r>
      <w:r>
        <w:rPr>
          <w:color w:val="231F20"/>
          <w:w w:val="105"/>
          <w:sz w:val="17"/>
        </w:rPr>
        <w:t> Code.</w:t>
      </w:r>
      <w:r>
        <w:rPr>
          <w:color w:val="231F20"/>
          <w:w w:val="105"/>
          <w:sz w:val="17"/>
        </w:rPr>
        <w:t> Certification</w:t>
      </w:r>
      <w:r>
        <w:rPr>
          <w:color w:val="231F20"/>
          <w:w w:val="105"/>
          <w:sz w:val="17"/>
        </w:rPr>
        <w:t> that</w:t>
      </w:r>
      <w:r>
        <w:rPr>
          <w:color w:val="231F20"/>
          <w:w w:val="105"/>
          <w:sz w:val="17"/>
        </w:rPr>
        <w:t> the</w:t>
      </w:r>
      <w:r>
        <w:rPr>
          <w:color w:val="231F20"/>
          <w:w w:val="105"/>
          <w:sz w:val="17"/>
        </w:rPr>
        <w:t> design specification has been fully implemented shall be available to the competent authority. The manufacturer, consignor or user shall be prepared:</w:t>
      </w:r>
    </w:p>
    <w:p>
      <w:pPr>
        <w:pStyle w:val="ListParagraph"/>
        <w:numPr>
          <w:ilvl w:val="0"/>
          <w:numId w:val="6"/>
        </w:numPr>
        <w:tabs>
          <w:tab w:pos="2290" w:val="left" w:leader="none"/>
        </w:tabs>
        <w:spacing w:line="240" w:lineRule="auto" w:before="112" w:after="0"/>
        <w:ind w:left="2290" w:right="0" w:hanging="360"/>
        <w:jc w:val="left"/>
        <w:rPr>
          <w:sz w:val="17"/>
        </w:rPr>
      </w:pPr>
      <w:r>
        <w:rPr>
          <w:color w:val="231F20"/>
          <w:w w:val="105"/>
          <w:sz w:val="17"/>
        </w:rPr>
        <w:t>to</w:t>
      </w:r>
      <w:r>
        <w:rPr>
          <w:color w:val="231F20"/>
          <w:spacing w:val="-3"/>
          <w:w w:val="105"/>
          <w:sz w:val="17"/>
        </w:rPr>
        <w:t> </w:t>
      </w:r>
      <w:r>
        <w:rPr>
          <w:color w:val="231F20"/>
          <w:w w:val="105"/>
          <w:sz w:val="17"/>
        </w:rPr>
        <w:t>provide</w:t>
      </w:r>
      <w:r>
        <w:rPr>
          <w:color w:val="231F20"/>
          <w:spacing w:val="-1"/>
          <w:w w:val="105"/>
          <w:sz w:val="17"/>
        </w:rPr>
        <w:t> </w:t>
      </w:r>
      <w:r>
        <w:rPr>
          <w:color w:val="231F20"/>
          <w:w w:val="105"/>
          <w:sz w:val="17"/>
        </w:rPr>
        <w:t>facilities for</w:t>
      </w:r>
      <w:r>
        <w:rPr>
          <w:color w:val="231F20"/>
          <w:spacing w:val="-1"/>
          <w:w w:val="105"/>
          <w:sz w:val="17"/>
        </w:rPr>
        <w:t> </w:t>
      </w:r>
      <w:r>
        <w:rPr>
          <w:color w:val="231F20"/>
          <w:w w:val="105"/>
          <w:sz w:val="17"/>
        </w:rPr>
        <w:t>inspection during</w:t>
      </w:r>
      <w:r>
        <w:rPr>
          <w:color w:val="231F20"/>
          <w:spacing w:val="-1"/>
          <w:w w:val="105"/>
          <w:sz w:val="17"/>
        </w:rPr>
        <w:t> </w:t>
      </w:r>
      <w:r>
        <w:rPr>
          <w:color w:val="231F20"/>
          <w:w w:val="105"/>
          <w:sz w:val="17"/>
        </w:rPr>
        <w:t>manufacture and</w:t>
      </w:r>
      <w:r>
        <w:rPr>
          <w:color w:val="231F20"/>
          <w:spacing w:val="-1"/>
          <w:w w:val="105"/>
          <w:sz w:val="17"/>
        </w:rPr>
        <w:t> </w:t>
      </w:r>
      <w:r>
        <w:rPr>
          <w:color w:val="231F20"/>
          <w:w w:val="105"/>
          <w:sz w:val="17"/>
        </w:rPr>
        <w:t>use; </w:t>
      </w:r>
      <w:r>
        <w:rPr>
          <w:color w:val="231F20"/>
          <w:spacing w:val="-5"/>
          <w:w w:val="105"/>
          <w:sz w:val="17"/>
        </w:rPr>
        <w:t>and</w:t>
      </w:r>
    </w:p>
    <w:p>
      <w:pPr>
        <w:pStyle w:val="ListParagraph"/>
        <w:numPr>
          <w:ilvl w:val="0"/>
          <w:numId w:val="6"/>
        </w:numPr>
        <w:tabs>
          <w:tab w:pos="2290" w:val="left" w:leader="none"/>
        </w:tabs>
        <w:spacing w:line="240" w:lineRule="auto" w:before="122" w:after="0"/>
        <w:ind w:left="2290" w:right="0" w:hanging="360"/>
        <w:jc w:val="left"/>
        <w:rPr>
          <w:sz w:val="17"/>
        </w:rPr>
      </w:pPr>
      <w:r>
        <w:rPr>
          <w:color w:val="231F20"/>
          <w:w w:val="105"/>
          <w:sz w:val="17"/>
        </w:rPr>
        <w:t>to</w:t>
      </w:r>
      <w:r>
        <w:rPr>
          <w:color w:val="231F20"/>
          <w:spacing w:val="2"/>
          <w:w w:val="105"/>
          <w:sz w:val="17"/>
        </w:rPr>
        <w:t> </w:t>
      </w:r>
      <w:r>
        <w:rPr>
          <w:color w:val="231F20"/>
          <w:w w:val="105"/>
          <w:sz w:val="17"/>
        </w:rPr>
        <w:t>demonstrate</w:t>
      </w:r>
      <w:r>
        <w:rPr>
          <w:color w:val="231F20"/>
          <w:spacing w:val="3"/>
          <w:w w:val="105"/>
          <w:sz w:val="17"/>
        </w:rPr>
        <w:t> </w:t>
      </w:r>
      <w:r>
        <w:rPr>
          <w:color w:val="231F20"/>
          <w:w w:val="105"/>
          <w:sz w:val="17"/>
        </w:rPr>
        <w:t>compliance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Code</w:t>
      </w:r>
      <w:r>
        <w:rPr>
          <w:color w:val="231F20"/>
          <w:spacing w:val="3"/>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3"/>
          <w:w w:val="105"/>
          <w:sz w:val="17"/>
        </w:rPr>
        <w:t> </w:t>
      </w:r>
      <w:r>
        <w:rPr>
          <w:color w:val="231F20"/>
          <w:w w:val="105"/>
          <w:sz w:val="17"/>
        </w:rPr>
        <w:t>competent</w:t>
      </w:r>
      <w:r>
        <w:rPr>
          <w:color w:val="231F20"/>
          <w:spacing w:val="3"/>
          <w:w w:val="105"/>
          <w:sz w:val="17"/>
        </w:rPr>
        <w:t> </w:t>
      </w:r>
      <w:r>
        <w:rPr>
          <w:color w:val="231F20"/>
          <w:spacing w:val="-2"/>
          <w:w w:val="105"/>
          <w:sz w:val="17"/>
        </w:rPr>
        <w:t>authority.</w:t>
      </w:r>
    </w:p>
    <w:p>
      <w:pPr>
        <w:pStyle w:val="BodyText"/>
        <w:spacing w:line="256" w:lineRule="auto" w:before="161"/>
        <w:ind w:left="1930" w:right="1414"/>
        <w:jc w:val="both"/>
      </w:pPr>
      <w:r>
        <w:rPr>
          <w:color w:val="231F20"/>
          <w:w w:val="105"/>
        </w:rPr>
        <w:t>Where competent authority approval is required, such approval shall take into account and be contingent upon the adequacy of the management system.</w:t>
      </w: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589888">
                <wp:simplePos x="0" y="0"/>
                <wp:positionH relativeFrom="page">
                  <wp:posOffset>540000</wp:posOffset>
                </wp:positionH>
                <wp:positionV relativeFrom="paragraph">
                  <wp:posOffset>255257</wp:posOffset>
                </wp:positionV>
                <wp:extent cx="6120130" cy="635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120130" cy="6350"/>
                          <a:chExt cx="6120130" cy="6350"/>
                        </a:xfrm>
                      </wpg:grpSpPr>
                      <wps:wsp>
                        <wps:cNvPr id="19" name="Graphic 1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0" name="Graphic 2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099024pt;width:481.9pt;height:.5pt;mso-position-horizontal-relative:page;mso-position-vertical-relative:paragraph;z-index:-15726592;mso-wrap-distance-left:0;mso-wrap-distance-right:0" id="docshapegroup16" coordorigin="850,402" coordsize="9638,10">
                <v:line style="position:absolute" from="850,407" to="5953,407" stroked="true" strokeweight=".5pt" strokecolor="#231f20">
                  <v:stroke dashstyle="solid"/>
                </v:line>
                <v:line style="position:absolute" from="5953,407" to="10488,407" stroked="true" strokeweight=".5pt" strokecolor="#231f20">
                  <v:stroke dashstyle="solid"/>
                </v:line>
                <w10:wrap type="topAndBottom"/>
              </v:group>
            </w:pict>
          </mc:Fallback>
        </mc:AlternateContent>
      </w:r>
    </w:p>
    <w:p>
      <w:pPr>
        <w:pStyle w:val="BodyText"/>
        <w:spacing w:after="0"/>
        <w:rPr>
          <w:sz w:val="20"/>
        </w:rPr>
        <w:sectPr>
          <w:headerReference w:type="default" r:id="rId7"/>
          <w:footerReference w:type="default" r:id="rId8"/>
          <w:pgSz w:w="11910" w:h="16840"/>
          <w:pgMar w:header="303" w:footer="611" w:top="720" w:bottom="800" w:left="0" w:right="0"/>
        </w:sectPr>
      </w:pPr>
    </w:p>
    <w:p>
      <w:pPr>
        <w:pStyle w:val="BodyText"/>
        <w:spacing w:before="70"/>
      </w:pPr>
      <w:r>
        <w:rPr/>
        <mc:AlternateContent>
          <mc:Choice Requires="wps">
            <w:drawing>
              <wp:anchor distT="0" distB="0" distL="0" distR="0" allowOverlap="1" layoutInCell="1" locked="0" behindDoc="0" simplePos="0" relativeHeight="15732736">
                <wp:simplePos x="0" y="0"/>
                <wp:positionH relativeFrom="page">
                  <wp:posOffset>7199998</wp:posOffset>
                </wp:positionH>
                <wp:positionV relativeFrom="page">
                  <wp:posOffset>0</wp:posOffset>
                </wp:positionV>
                <wp:extent cx="360045" cy="152146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360045" cy="1521460"/>
                          <a:chExt cx="360045" cy="1521460"/>
                        </a:xfrm>
                      </wpg:grpSpPr>
                      <wps:wsp>
                        <wps:cNvPr id="25" name="Graphic 25"/>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26" name="Textbox 26"/>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0pt;width:28.35pt;height:119.8pt;mso-position-horizontal-relative:page;mso-position-vertical-relative:page;z-index:15732736" id="docshapegroup20" coordorigin="11339,0" coordsize="567,2396">
                <v:rect style="position:absolute;left:11338;top:0;width:567;height:2396" id="docshape21" filled="true" fillcolor="#58595b" stroked="false">
                  <v:fill type="solid"/>
                </v:rect>
                <v:shape style="position:absolute;left:11338;top:0;width:567;height:2396" type="#_x0000_t202" id="docshape22"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p>
    <w:p>
      <w:pPr>
        <w:pStyle w:val="BodyText"/>
        <w:ind w:left="5726"/>
      </w:pPr>
      <w:r>
        <w:rPr>
          <w:color w:val="231F20"/>
        </w:rPr>
        <w:t>Chapter</w:t>
      </w:r>
      <w:r>
        <w:rPr>
          <w:color w:val="231F20"/>
          <w:spacing w:val="47"/>
        </w:rPr>
        <w:t> </w:t>
      </w:r>
      <w:r>
        <w:rPr>
          <w:color w:val="231F20"/>
        </w:rPr>
        <w:t>1.5</w:t>
      </w:r>
      <w:r>
        <w:rPr>
          <w:color w:val="231F20"/>
          <w:spacing w:val="47"/>
        </w:rPr>
        <w:t> </w:t>
      </w:r>
      <w:r>
        <w:rPr>
          <w:color w:val="231F20"/>
        </w:rPr>
        <w:t>–</w:t>
      </w:r>
      <w:r>
        <w:rPr>
          <w:color w:val="231F20"/>
          <w:spacing w:val="48"/>
        </w:rPr>
        <w:t> </w:t>
      </w:r>
      <w:r>
        <w:rPr>
          <w:color w:val="231F20"/>
        </w:rPr>
        <w:t>General</w:t>
      </w:r>
      <w:r>
        <w:rPr>
          <w:color w:val="231F20"/>
          <w:spacing w:val="47"/>
        </w:rPr>
        <w:t> </w:t>
      </w:r>
      <w:r>
        <w:rPr>
          <w:color w:val="231F20"/>
        </w:rPr>
        <w:t>provisions</w:t>
      </w:r>
      <w:r>
        <w:rPr>
          <w:color w:val="231F20"/>
          <w:spacing w:val="48"/>
        </w:rPr>
        <w:t> </w:t>
      </w:r>
      <w:r>
        <w:rPr>
          <w:color w:val="231F20"/>
        </w:rPr>
        <w:t>concerning</w:t>
      </w:r>
      <w:r>
        <w:rPr>
          <w:color w:val="231F20"/>
          <w:spacing w:val="47"/>
        </w:rPr>
        <w:t> </w:t>
      </w:r>
      <w:r>
        <w:rPr>
          <w:color w:val="231F20"/>
        </w:rPr>
        <w:t>radioactive</w:t>
      </w:r>
      <w:r>
        <w:rPr>
          <w:color w:val="231F20"/>
          <w:spacing w:val="47"/>
        </w:rPr>
        <w:t> </w:t>
      </w:r>
      <w:r>
        <w:rPr>
          <w:color w:val="231F20"/>
          <w:spacing w:val="-2"/>
        </w:rPr>
        <w:t>material</w:t>
      </w:r>
    </w:p>
    <w:p>
      <w:pPr>
        <w:pStyle w:val="BodyText"/>
        <w:spacing w:before="7"/>
        <w:rPr>
          <w:sz w:val="5"/>
        </w:rPr>
      </w:pPr>
      <w:r>
        <w:rPr>
          <w:sz w:val="5"/>
        </w:rPr>
        <mc:AlternateContent>
          <mc:Choice Requires="wps">
            <w:drawing>
              <wp:anchor distT="0" distB="0" distL="0" distR="0" allowOverlap="1" layoutInCell="1" locked="0" behindDoc="1" simplePos="0" relativeHeight="487590912">
                <wp:simplePos x="0" y="0"/>
                <wp:positionH relativeFrom="page">
                  <wp:posOffset>899999</wp:posOffset>
                </wp:positionH>
                <wp:positionV relativeFrom="paragraph">
                  <wp:posOffset>56635</wp:posOffset>
                </wp:positionV>
                <wp:extent cx="612013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59514pt;width:481.9pt;height:.1pt;mso-position-horizontal-relative:page;mso-position-vertical-relative:paragraph;z-index:-15725568;mso-wrap-distance-left:0;mso-wrap-distance-right:0" id="docshape23" coordorigin="1417,89" coordsize="9638,0" path="m1417,89l11055,89e" filled="false" stroked="true" strokeweight=".5pt" strokecolor="#231f20">
                <v:path arrowok="t"/>
                <v:stroke dashstyle="solid"/>
                <w10:wrap type="topAndBottom"/>
              </v:shape>
            </w:pict>
          </mc:Fallback>
        </mc:AlternateContent>
      </w:r>
    </w:p>
    <w:p>
      <w:pPr>
        <w:pStyle w:val="BodyText"/>
        <w:spacing w:before="188"/>
      </w:pPr>
    </w:p>
    <w:p>
      <w:pPr>
        <w:pStyle w:val="Heading1"/>
        <w:numPr>
          <w:ilvl w:val="2"/>
          <w:numId w:val="1"/>
        </w:numPr>
        <w:tabs>
          <w:tab w:pos="2497" w:val="left" w:leader="none"/>
        </w:tabs>
        <w:spacing w:line="240" w:lineRule="auto" w:before="0" w:after="0"/>
        <w:ind w:left="2497" w:right="0" w:hanging="1080"/>
        <w:jc w:val="left"/>
      </w:pPr>
      <w:r>
        <w:rPr>
          <w:color w:val="231F20"/>
          <w:w w:val="105"/>
        </w:rPr>
        <w:t>Special</w:t>
      </w:r>
      <w:r>
        <w:rPr>
          <w:color w:val="231F20"/>
          <w:spacing w:val="-10"/>
          <w:w w:val="105"/>
        </w:rPr>
        <w:t> </w:t>
      </w:r>
      <w:r>
        <w:rPr>
          <w:color w:val="231F20"/>
          <w:spacing w:val="-2"/>
          <w:w w:val="105"/>
        </w:rPr>
        <w:t>arrangement</w:t>
      </w:r>
    </w:p>
    <w:p>
      <w:pPr>
        <w:pStyle w:val="ListParagraph"/>
        <w:numPr>
          <w:ilvl w:val="3"/>
          <w:numId w:val="1"/>
        </w:numPr>
        <w:tabs>
          <w:tab w:pos="2497" w:val="left" w:leader="none"/>
        </w:tabs>
        <w:spacing w:line="256" w:lineRule="auto" w:before="142" w:after="0"/>
        <w:ind w:left="2497" w:right="847" w:hanging="1080"/>
        <w:jc w:val="both"/>
        <w:rPr>
          <w:color w:val="231F20"/>
          <w:sz w:val="17"/>
        </w:rPr>
      </w:pPr>
      <w:r>
        <w:rPr>
          <w:rFonts w:ascii="Arial"/>
          <w:i/>
          <w:color w:val="231F20"/>
          <w:w w:val="105"/>
          <w:sz w:val="17"/>
        </w:rPr>
        <w:t>Special</w:t>
      </w:r>
      <w:r>
        <w:rPr>
          <w:rFonts w:ascii="Arial"/>
          <w:i/>
          <w:color w:val="231F20"/>
          <w:w w:val="105"/>
          <w:sz w:val="17"/>
        </w:rPr>
        <w:t> arrangement</w:t>
      </w:r>
      <w:r>
        <w:rPr>
          <w:rFonts w:ascii="Arial"/>
          <w:i/>
          <w:color w:val="231F20"/>
          <w:w w:val="105"/>
          <w:sz w:val="17"/>
        </w:rPr>
        <w:t> </w:t>
      </w:r>
      <w:r>
        <w:rPr>
          <w:color w:val="231F20"/>
          <w:w w:val="105"/>
          <w:sz w:val="17"/>
        </w:rPr>
        <w:t>shall</w:t>
      </w:r>
      <w:r>
        <w:rPr>
          <w:color w:val="231F20"/>
          <w:w w:val="105"/>
          <w:sz w:val="17"/>
        </w:rPr>
        <w:t> mean</w:t>
      </w:r>
      <w:r>
        <w:rPr>
          <w:color w:val="231F20"/>
          <w:w w:val="105"/>
          <w:sz w:val="17"/>
        </w:rPr>
        <w:t> those</w:t>
      </w:r>
      <w:r>
        <w:rPr>
          <w:color w:val="231F20"/>
          <w:w w:val="105"/>
          <w:sz w:val="17"/>
        </w:rPr>
        <w:t> provisions,</w:t>
      </w:r>
      <w:r>
        <w:rPr>
          <w:color w:val="231F20"/>
          <w:w w:val="105"/>
          <w:sz w:val="17"/>
        </w:rPr>
        <w:t> approved</w:t>
      </w:r>
      <w:r>
        <w:rPr>
          <w:color w:val="231F20"/>
          <w:w w:val="105"/>
          <w:sz w:val="17"/>
        </w:rPr>
        <w:t> by</w:t>
      </w:r>
      <w:r>
        <w:rPr>
          <w:color w:val="231F20"/>
          <w:w w:val="105"/>
          <w:sz w:val="17"/>
        </w:rPr>
        <w:t> the</w:t>
      </w:r>
      <w:r>
        <w:rPr>
          <w:color w:val="231F20"/>
          <w:w w:val="105"/>
          <w:sz w:val="17"/>
        </w:rPr>
        <w:t> competent</w:t>
      </w:r>
      <w:r>
        <w:rPr>
          <w:color w:val="231F20"/>
          <w:w w:val="105"/>
          <w:sz w:val="17"/>
        </w:rPr>
        <w:t> authority,</w:t>
      </w:r>
      <w:r>
        <w:rPr>
          <w:color w:val="231F20"/>
          <w:w w:val="105"/>
          <w:sz w:val="17"/>
        </w:rPr>
        <w:t> under</w:t>
      </w:r>
      <w:r>
        <w:rPr>
          <w:color w:val="231F20"/>
          <w:w w:val="105"/>
          <w:sz w:val="17"/>
        </w:rPr>
        <w:t> which consignments which do not satisfy all the provisions of this Code applicable to radioactive material may be </w:t>
      </w:r>
      <w:r>
        <w:rPr>
          <w:color w:val="231F20"/>
          <w:spacing w:val="-2"/>
          <w:w w:val="105"/>
          <w:sz w:val="17"/>
        </w:rPr>
        <w:t>transported.</w:t>
      </w:r>
    </w:p>
    <w:p>
      <w:pPr>
        <w:pStyle w:val="ListParagraph"/>
        <w:numPr>
          <w:ilvl w:val="3"/>
          <w:numId w:val="1"/>
        </w:numPr>
        <w:tabs>
          <w:tab w:pos="2497" w:val="left" w:leader="none"/>
        </w:tabs>
        <w:spacing w:line="256" w:lineRule="auto" w:before="123" w:after="0"/>
        <w:ind w:left="2497" w:right="847" w:hanging="1080"/>
        <w:jc w:val="both"/>
        <w:rPr>
          <w:color w:val="231F20"/>
          <w:sz w:val="17"/>
        </w:rPr>
      </w:pPr>
      <w:r>
        <w:rPr>
          <w:color w:val="231F20"/>
          <w:w w:val="105"/>
          <w:sz w:val="17"/>
        </w:rPr>
        <w:t>Consignments</w:t>
      </w:r>
      <w:r>
        <w:rPr>
          <w:color w:val="231F20"/>
          <w:w w:val="105"/>
          <w:sz w:val="17"/>
        </w:rPr>
        <w:t> for</w:t>
      </w:r>
      <w:r>
        <w:rPr>
          <w:color w:val="231F20"/>
          <w:w w:val="105"/>
          <w:sz w:val="17"/>
        </w:rPr>
        <w:t> which</w:t>
      </w:r>
      <w:r>
        <w:rPr>
          <w:color w:val="231F20"/>
          <w:w w:val="105"/>
          <w:sz w:val="17"/>
        </w:rPr>
        <w:t> conformity</w:t>
      </w:r>
      <w:r>
        <w:rPr>
          <w:color w:val="231F20"/>
          <w:w w:val="105"/>
          <w:sz w:val="17"/>
        </w:rPr>
        <w:t> with</w:t>
      </w:r>
      <w:r>
        <w:rPr>
          <w:color w:val="231F20"/>
          <w:w w:val="105"/>
          <w:sz w:val="17"/>
        </w:rPr>
        <w:t> any</w:t>
      </w:r>
      <w:r>
        <w:rPr>
          <w:color w:val="231F20"/>
          <w:w w:val="105"/>
          <w:sz w:val="17"/>
        </w:rPr>
        <w:t> provision</w:t>
      </w:r>
      <w:r>
        <w:rPr>
          <w:color w:val="231F20"/>
          <w:w w:val="105"/>
          <w:sz w:val="17"/>
        </w:rPr>
        <w:t> applicable</w:t>
      </w:r>
      <w:r>
        <w:rPr>
          <w:color w:val="231F20"/>
          <w:w w:val="105"/>
          <w:sz w:val="17"/>
        </w:rPr>
        <w:t> to</w:t>
      </w:r>
      <w:r>
        <w:rPr>
          <w:color w:val="231F20"/>
          <w:w w:val="105"/>
          <w:sz w:val="17"/>
        </w:rPr>
        <w:t> radioactive</w:t>
      </w:r>
      <w:r>
        <w:rPr>
          <w:color w:val="231F20"/>
          <w:w w:val="105"/>
          <w:sz w:val="17"/>
        </w:rPr>
        <w:t> material</w:t>
      </w:r>
      <w:r>
        <w:rPr>
          <w:color w:val="231F20"/>
          <w:w w:val="105"/>
          <w:sz w:val="17"/>
        </w:rPr>
        <w:t> is</w:t>
      </w:r>
      <w:r>
        <w:rPr>
          <w:color w:val="231F20"/>
          <w:w w:val="105"/>
          <w:sz w:val="17"/>
        </w:rPr>
        <w:t> impracticable</w:t>
      </w:r>
      <w:r>
        <w:rPr>
          <w:color w:val="231F20"/>
          <w:spacing w:val="40"/>
          <w:w w:val="105"/>
          <w:sz w:val="17"/>
        </w:rPr>
        <w:t> </w:t>
      </w:r>
      <w:r>
        <w:rPr>
          <w:color w:val="231F20"/>
          <w:w w:val="105"/>
          <w:sz w:val="17"/>
        </w:rPr>
        <w:t>shall not be transported except under special arrangement. Provided the competent authority is satisfied</w:t>
      </w:r>
      <w:r>
        <w:rPr>
          <w:color w:val="231F20"/>
          <w:spacing w:val="80"/>
          <w:w w:val="105"/>
          <w:sz w:val="17"/>
        </w:rPr>
        <w:t> </w:t>
      </w:r>
      <w:r>
        <w:rPr>
          <w:color w:val="231F20"/>
          <w:w w:val="105"/>
          <w:sz w:val="17"/>
        </w:rPr>
        <w:t>that conformity with the radioactive material provisions of this Code is impracticable and that the requisite standards</w:t>
      </w:r>
      <w:r>
        <w:rPr>
          <w:color w:val="231F20"/>
          <w:spacing w:val="-5"/>
          <w:w w:val="105"/>
          <w:sz w:val="17"/>
        </w:rPr>
        <w:t> </w:t>
      </w:r>
      <w:r>
        <w:rPr>
          <w:color w:val="231F20"/>
          <w:w w:val="105"/>
          <w:sz w:val="17"/>
        </w:rPr>
        <w:t>of</w:t>
      </w:r>
      <w:r>
        <w:rPr>
          <w:color w:val="231F20"/>
          <w:spacing w:val="-5"/>
          <w:w w:val="105"/>
          <w:sz w:val="17"/>
        </w:rPr>
        <w:t> </w:t>
      </w:r>
      <w:r>
        <w:rPr>
          <w:color w:val="231F20"/>
          <w:w w:val="105"/>
          <w:sz w:val="17"/>
        </w:rPr>
        <w:t>safety</w:t>
      </w:r>
      <w:r>
        <w:rPr>
          <w:color w:val="231F20"/>
          <w:spacing w:val="-5"/>
          <w:w w:val="105"/>
          <w:sz w:val="17"/>
        </w:rPr>
        <w:t> </w:t>
      </w:r>
      <w:r>
        <w:rPr>
          <w:color w:val="231F20"/>
          <w:w w:val="105"/>
          <w:sz w:val="17"/>
        </w:rPr>
        <w:t>established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this</w:t>
      </w:r>
      <w:r>
        <w:rPr>
          <w:color w:val="231F20"/>
          <w:spacing w:val="-5"/>
          <w:w w:val="105"/>
          <w:sz w:val="17"/>
        </w:rPr>
        <w:t> </w:t>
      </w:r>
      <w:r>
        <w:rPr>
          <w:color w:val="231F20"/>
          <w:w w:val="105"/>
          <w:sz w:val="17"/>
        </w:rPr>
        <w:t>Code</w:t>
      </w:r>
      <w:r>
        <w:rPr>
          <w:color w:val="231F20"/>
          <w:spacing w:val="-5"/>
          <w:w w:val="105"/>
          <w:sz w:val="17"/>
        </w:rPr>
        <w:t> </w:t>
      </w:r>
      <w:r>
        <w:rPr>
          <w:color w:val="231F20"/>
          <w:w w:val="105"/>
          <w:sz w:val="17"/>
        </w:rPr>
        <w:t>have</w:t>
      </w:r>
      <w:r>
        <w:rPr>
          <w:color w:val="231F20"/>
          <w:spacing w:val="-5"/>
          <w:w w:val="105"/>
          <w:sz w:val="17"/>
        </w:rPr>
        <w:t> </w:t>
      </w:r>
      <w:r>
        <w:rPr>
          <w:color w:val="231F20"/>
          <w:w w:val="105"/>
          <w:sz w:val="17"/>
        </w:rPr>
        <w:t>been</w:t>
      </w:r>
      <w:r>
        <w:rPr>
          <w:color w:val="231F20"/>
          <w:spacing w:val="-5"/>
          <w:w w:val="105"/>
          <w:sz w:val="17"/>
        </w:rPr>
        <w:t> </w:t>
      </w:r>
      <w:r>
        <w:rPr>
          <w:color w:val="231F20"/>
          <w:w w:val="105"/>
          <w:sz w:val="17"/>
        </w:rPr>
        <w:t>demonstrated</w:t>
      </w:r>
      <w:r>
        <w:rPr>
          <w:color w:val="231F20"/>
          <w:spacing w:val="-5"/>
          <w:w w:val="105"/>
          <w:sz w:val="17"/>
        </w:rPr>
        <w:t> </w:t>
      </w:r>
      <w:r>
        <w:rPr>
          <w:color w:val="231F20"/>
          <w:w w:val="105"/>
          <w:sz w:val="17"/>
        </w:rPr>
        <w:t>through</w:t>
      </w:r>
      <w:r>
        <w:rPr>
          <w:color w:val="231F20"/>
          <w:spacing w:val="-5"/>
          <w:w w:val="105"/>
          <w:sz w:val="17"/>
        </w:rPr>
        <w:t> </w:t>
      </w:r>
      <w:r>
        <w:rPr>
          <w:color w:val="231F20"/>
          <w:w w:val="105"/>
          <w:sz w:val="17"/>
        </w:rPr>
        <w:t>means</w:t>
      </w:r>
      <w:r>
        <w:rPr>
          <w:color w:val="231F20"/>
          <w:spacing w:val="-5"/>
          <w:w w:val="105"/>
          <w:sz w:val="17"/>
        </w:rPr>
        <w:t> </w:t>
      </w:r>
      <w:r>
        <w:rPr>
          <w:color w:val="231F20"/>
          <w:w w:val="105"/>
          <w:sz w:val="17"/>
        </w:rPr>
        <w:t>alternative</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5"/>
          <w:w w:val="105"/>
          <w:sz w:val="17"/>
        </w:rPr>
        <w:t> </w:t>
      </w:r>
      <w:r>
        <w:rPr>
          <w:color w:val="231F20"/>
          <w:w w:val="105"/>
          <w:sz w:val="17"/>
        </w:rPr>
        <w:t>other provisions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Code,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competent</w:t>
      </w:r>
      <w:r>
        <w:rPr>
          <w:color w:val="231F20"/>
          <w:spacing w:val="-3"/>
          <w:w w:val="105"/>
          <w:sz w:val="17"/>
        </w:rPr>
        <w:t> </w:t>
      </w:r>
      <w:r>
        <w:rPr>
          <w:color w:val="231F20"/>
          <w:w w:val="105"/>
          <w:sz w:val="17"/>
        </w:rPr>
        <w:t>authority</w:t>
      </w:r>
      <w:r>
        <w:rPr>
          <w:color w:val="231F20"/>
          <w:spacing w:val="-3"/>
          <w:w w:val="105"/>
          <w:sz w:val="17"/>
        </w:rPr>
        <w:t> </w:t>
      </w:r>
      <w:r>
        <w:rPr>
          <w:color w:val="231F20"/>
          <w:w w:val="105"/>
          <w:sz w:val="17"/>
        </w:rPr>
        <w:t>may</w:t>
      </w:r>
      <w:r>
        <w:rPr>
          <w:color w:val="231F20"/>
          <w:spacing w:val="-3"/>
          <w:w w:val="105"/>
          <w:sz w:val="17"/>
        </w:rPr>
        <w:t> </w:t>
      </w:r>
      <w:r>
        <w:rPr>
          <w:color w:val="231F20"/>
          <w:w w:val="105"/>
          <w:sz w:val="17"/>
        </w:rPr>
        <w:t>approve</w:t>
      </w:r>
      <w:r>
        <w:rPr>
          <w:color w:val="231F20"/>
          <w:spacing w:val="-3"/>
          <w:w w:val="105"/>
          <w:sz w:val="17"/>
        </w:rPr>
        <w:t> </w:t>
      </w:r>
      <w:r>
        <w:rPr>
          <w:color w:val="231F20"/>
          <w:w w:val="105"/>
          <w:sz w:val="17"/>
        </w:rPr>
        <w:t>special</w:t>
      </w:r>
      <w:r>
        <w:rPr>
          <w:color w:val="231F20"/>
          <w:spacing w:val="-3"/>
          <w:w w:val="105"/>
          <w:sz w:val="17"/>
        </w:rPr>
        <w:t> </w:t>
      </w:r>
      <w:r>
        <w:rPr>
          <w:color w:val="231F20"/>
          <w:w w:val="105"/>
          <w:sz w:val="17"/>
        </w:rPr>
        <w:t>arrangement</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operations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a single</w:t>
      </w:r>
      <w:r>
        <w:rPr>
          <w:color w:val="231F20"/>
          <w:spacing w:val="-5"/>
          <w:w w:val="105"/>
          <w:sz w:val="17"/>
        </w:rPr>
        <w:t> </w:t>
      </w:r>
      <w:r>
        <w:rPr>
          <w:color w:val="231F20"/>
          <w:w w:val="105"/>
          <w:sz w:val="17"/>
        </w:rPr>
        <w:t>consignment</w:t>
      </w:r>
      <w:r>
        <w:rPr>
          <w:color w:val="231F20"/>
          <w:spacing w:val="-5"/>
          <w:w w:val="105"/>
          <w:sz w:val="17"/>
        </w:rPr>
        <w:t> </w:t>
      </w:r>
      <w:r>
        <w:rPr>
          <w:color w:val="231F20"/>
          <w:w w:val="105"/>
          <w:sz w:val="17"/>
        </w:rPr>
        <w:t>or</w:t>
      </w:r>
      <w:r>
        <w:rPr>
          <w:color w:val="231F20"/>
          <w:spacing w:val="-5"/>
          <w:w w:val="105"/>
          <w:sz w:val="17"/>
        </w:rPr>
        <w:t> </w:t>
      </w:r>
      <w:r>
        <w:rPr>
          <w:color w:val="231F20"/>
          <w:w w:val="105"/>
          <w:sz w:val="17"/>
        </w:rPr>
        <w:t>a</w:t>
      </w:r>
      <w:r>
        <w:rPr>
          <w:color w:val="231F20"/>
          <w:spacing w:val="-5"/>
          <w:w w:val="105"/>
          <w:sz w:val="17"/>
        </w:rPr>
        <w:t> </w:t>
      </w:r>
      <w:r>
        <w:rPr>
          <w:color w:val="231F20"/>
          <w:w w:val="105"/>
          <w:sz w:val="17"/>
        </w:rPr>
        <w:t>planned</w:t>
      </w:r>
      <w:r>
        <w:rPr>
          <w:color w:val="231F20"/>
          <w:spacing w:val="-5"/>
          <w:w w:val="105"/>
          <w:sz w:val="17"/>
        </w:rPr>
        <w:t> </w:t>
      </w:r>
      <w:r>
        <w:rPr>
          <w:color w:val="231F20"/>
          <w:w w:val="105"/>
          <w:sz w:val="17"/>
        </w:rPr>
        <w:t>series</w:t>
      </w:r>
      <w:r>
        <w:rPr>
          <w:color w:val="231F20"/>
          <w:spacing w:val="-5"/>
          <w:w w:val="105"/>
          <w:sz w:val="17"/>
        </w:rPr>
        <w:t> </w:t>
      </w:r>
      <w:r>
        <w:rPr>
          <w:color w:val="231F20"/>
          <w:w w:val="105"/>
          <w:sz w:val="17"/>
        </w:rPr>
        <w:t>of</w:t>
      </w:r>
      <w:r>
        <w:rPr>
          <w:color w:val="231F20"/>
          <w:spacing w:val="-5"/>
          <w:w w:val="105"/>
          <w:sz w:val="17"/>
        </w:rPr>
        <w:t> </w:t>
      </w:r>
      <w:r>
        <w:rPr>
          <w:color w:val="231F20"/>
          <w:w w:val="105"/>
          <w:sz w:val="17"/>
        </w:rPr>
        <w:t>multiple</w:t>
      </w:r>
      <w:r>
        <w:rPr>
          <w:color w:val="231F20"/>
          <w:spacing w:val="-5"/>
          <w:w w:val="105"/>
          <w:sz w:val="17"/>
        </w:rPr>
        <w:t> </w:t>
      </w:r>
      <w:r>
        <w:rPr>
          <w:color w:val="231F20"/>
          <w:w w:val="105"/>
          <w:sz w:val="17"/>
        </w:rPr>
        <w:t>consignments.</w:t>
      </w:r>
      <w:r>
        <w:rPr>
          <w:color w:val="231F20"/>
          <w:spacing w:val="-5"/>
          <w:w w:val="105"/>
          <w:sz w:val="17"/>
        </w:rPr>
        <w:t> </w:t>
      </w:r>
      <w:r>
        <w:rPr>
          <w:color w:val="231F20"/>
          <w:w w:val="105"/>
          <w:sz w:val="17"/>
        </w:rPr>
        <w:t>The</w:t>
      </w:r>
      <w:r>
        <w:rPr>
          <w:color w:val="231F20"/>
          <w:spacing w:val="-5"/>
          <w:w w:val="105"/>
          <w:sz w:val="17"/>
        </w:rPr>
        <w:t> </w:t>
      </w:r>
      <w:r>
        <w:rPr>
          <w:color w:val="231F20"/>
          <w:w w:val="105"/>
          <w:sz w:val="17"/>
        </w:rPr>
        <w:t>overall</w:t>
      </w:r>
      <w:r>
        <w:rPr>
          <w:color w:val="231F20"/>
          <w:spacing w:val="-5"/>
          <w:w w:val="105"/>
          <w:sz w:val="17"/>
        </w:rPr>
        <w:t> </w:t>
      </w:r>
      <w:r>
        <w:rPr>
          <w:color w:val="231F20"/>
          <w:w w:val="105"/>
          <w:sz w:val="17"/>
        </w:rPr>
        <w:t>level</w:t>
      </w:r>
      <w:r>
        <w:rPr>
          <w:color w:val="231F20"/>
          <w:spacing w:val="-5"/>
          <w:w w:val="105"/>
          <w:sz w:val="17"/>
        </w:rPr>
        <w:t> </w:t>
      </w:r>
      <w:r>
        <w:rPr>
          <w:color w:val="231F20"/>
          <w:w w:val="105"/>
          <w:sz w:val="17"/>
        </w:rPr>
        <w:t>of</w:t>
      </w:r>
      <w:r>
        <w:rPr>
          <w:color w:val="231F20"/>
          <w:spacing w:val="-5"/>
          <w:w w:val="105"/>
          <w:sz w:val="17"/>
        </w:rPr>
        <w:t> </w:t>
      </w:r>
      <w:r>
        <w:rPr>
          <w:color w:val="231F20"/>
          <w:w w:val="105"/>
          <w:sz w:val="17"/>
        </w:rPr>
        <w:t>safety</w:t>
      </w:r>
      <w:r>
        <w:rPr>
          <w:color w:val="231F20"/>
          <w:spacing w:val="-5"/>
          <w:w w:val="105"/>
          <w:sz w:val="17"/>
        </w:rPr>
        <w:t> </w:t>
      </w:r>
      <w:r>
        <w:rPr>
          <w:color w:val="231F20"/>
          <w:w w:val="105"/>
          <w:sz w:val="17"/>
        </w:rPr>
        <w:t>in</w:t>
      </w:r>
      <w:r>
        <w:rPr>
          <w:color w:val="231F20"/>
          <w:spacing w:val="-5"/>
          <w:w w:val="105"/>
          <w:sz w:val="17"/>
        </w:rPr>
        <w:t> </w:t>
      </w:r>
      <w:r>
        <w:rPr>
          <w:color w:val="231F20"/>
          <w:w w:val="105"/>
          <w:sz w:val="17"/>
        </w:rPr>
        <w:t>transport</w:t>
      </w:r>
      <w:r>
        <w:rPr>
          <w:color w:val="231F20"/>
          <w:spacing w:val="-5"/>
          <w:w w:val="105"/>
          <w:sz w:val="17"/>
        </w:rPr>
        <w:t> </w:t>
      </w:r>
      <w:r>
        <w:rPr>
          <w:color w:val="231F20"/>
          <w:w w:val="105"/>
          <w:sz w:val="17"/>
        </w:rPr>
        <w:t>shall be at least equivalent to that which would be provided if all the applicable provisions in this Code had been met. For international consignments of this type, multilateral approval shall be required.</w:t>
      </w:r>
    </w:p>
    <w:p>
      <w:pPr>
        <w:pStyle w:val="BodyText"/>
        <w:spacing w:before="154"/>
      </w:pPr>
    </w:p>
    <w:p>
      <w:pPr>
        <w:pStyle w:val="Heading1"/>
        <w:numPr>
          <w:ilvl w:val="2"/>
          <w:numId w:val="1"/>
        </w:numPr>
        <w:tabs>
          <w:tab w:pos="2497" w:val="left" w:leader="none"/>
        </w:tabs>
        <w:spacing w:line="240" w:lineRule="auto" w:before="0" w:after="0"/>
        <w:ind w:left="2497" w:right="0" w:hanging="1080"/>
        <w:jc w:val="left"/>
      </w:pPr>
      <w:r>
        <w:rPr>
          <w:color w:val="231F20"/>
          <w:w w:val="105"/>
        </w:rPr>
        <w:t>Radioactive</w:t>
      </w:r>
      <w:r>
        <w:rPr>
          <w:color w:val="231F20"/>
          <w:spacing w:val="-10"/>
          <w:w w:val="105"/>
        </w:rPr>
        <w:t> </w:t>
      </w:r>
      <w:r>
        <w:rPr>
          <w:color w:val="231F20"/>
          <w:w w:val="105"/>
        </w:rPr>
        <w:t>material</w:t>
      </w:r>
      <w:r>
        <w:rPr>
          <w:color w:val="231F20"/>
          <w:spacing w:val="-10"/>
          <w:w w:val="105"/>
        </w:rPr>
        <w:t> </w:t>
      </w:r>
      <w:r>
        <w:rPr>
          <w:color w:val="231F20"/>
          <w:w w:val="105"/>
        </w:rPr>
        <w:t>possessing</w:t>
      </w:r>
      <w:r>
        <w:rPr>
          <w:color w:val="231F20"/>
          <w:spacing w:val="-10"/>
          <w:w w:val="105"/>
        </w:rPr>
        <w:t> </w:t>
      </w:r>
      <w:r>
        <w:rPr>
          <w:color w:val="231F20"/>
          <w:w w:val="105"/>
        </w:rPr>
        <w:t>other</w:t>
      </w:r>
      <w:r>
        <w:rPr>
          <w:color w:val="231F20"/>
          <w:spacing w:val="-10"/>
          <w:w w:val="105"/>
        </w:rPr>
        <w:t> </w:t>
      </w:r>
      <w:r>
        <w:rPr>
          <w:color w:val="231F20"/>
          <w:w w:val="105"/>
        </w:rPr>
        <w:t>dangerous</w:t>
      </w:r>
      <w:r>
        <w:rPr>
          <w:color w:val="231F20"/>
          <w:spacing w:val="-9"/>
          <w:w w:val="105"/>
        </w:rPr>
        <w:t> </w:t>
      </w:r>
      <w:r>
        <w:rPr>
          <w:color w:val="231F20"/>
          <w:spacing w:val="-2"/>
          <w:w w:val="105"/>
        </w:rPr>
        <w:t>properties</w:t>
      </w:r>
    </w:p>
    <w:p>
      <w:pPr>
        <w:pStyle w:val="ListParagraph"/>
        <w:numPr>
          <w:ilvl w:val="3"/>
          <w:numId w:val="1"/>
        </w:numPr>
        <w:tabs>
          <w:tab w:pos="2497" w:val="left" w:leader="none"/>
        </w:tabs>
        <w:spacing w:line="256" w:lineRule="auto" w:before="124" w:after="0"/>
        <w:ind w:left="2497" w:right="847" w:hanging="1080"/>
        <w:jc w:val="both"/>
        <w:rPr>
          <w:color w:val="231F20"/>
          <w:sz w:val="17"/>
        </w:rPr>
      </w:pPr>
      <w:r>
        <w:rPr>
          <w:color w:val="231F20"/>
          <w:w w:val="105"/>
          <w:sz w:val="17"/>
        </w:rPr>
        <w:t>In addition to the radioactive and fissile properties, any subsidiary hazard of the contents of a package, such as explosiveness, flammability, pyrophoricity, chemical toxicity and corrosiveness, shall also be taken into account in the documentation, packing, labelling, marking, placarding, stowage, segregation and transport,</w:t>
      </w:r>
      <w:r>
        <w:rPr>
          <w:color w:val="231F20"/>
          <w:spacing w:val="40"/>
          <w:w w:val="105"/>
          <w:sz w:val="17"/>
        </w:rPr>
        <w:t> </w:t>
      </w:r>
      <w:r>
        <w:rPr>
          <w:color w:val="231F20"/>
          <w:w w:val="105"/>
          <w:sz w:val="17"/>
        </w:rPr>
        <w:t>in</w:t>
      </w:r>
      <w:r>
        <w:rPr>
          <w:color w:val="231F20"/>
          <w:spacing w:val="-4"/>
          <w:w w:val="105"/>
          <w:sz w:val="17"/>
        </w:rPr>
        <w:t> </w:t>
      </w:r>
      <w:r>
        <w:rPr>
          <w:color w:val="231F20"/>
          <w:w w:val="105"/>
          <w:sz w:val="17"/>
        </w:rPr>
        <w:t>order</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w:t>
      </w:r>
      <w:r>
        <w:rPr>
          <w:color w:val="231F20"/>
          <w:spacing w:val="-4"/>
          <w:w w:val="105"/>
          <w:sz w:val="17"/>
        </w:rPr>
        <w:t> </w:t>
      </w:r>
      <w:r>
        <w:rPr>
          <w:color w:val="231F20"/>
          <w:w w:val="105"/>
          <w:sz w:val="17"/>
        </w:rPr>
        <w:t>in</w:t>
      </w:r>
      <w:r>
        <w:rPr>
          <w:color w:val="231F20"/>
          <w:spacing w:val="-4"/>
          <w:w w:val="105"/>
          <w:sz w:val="17"/>
        </w:rPr>
        <w:t> </w:t>
      </w:r>
      <w:r>
        <w:rPr>
          <w:color w:val="231F20"/>
          <w:w w:val="105"/>
          <w:sz w:val="17"/>
        </w:rPr>
        <w:t>compliance</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all</w:t>
      </w:r>
      <w:r>
        <w:rPr>
          <w:color w:val="231F20"/>
          <w:spacing w:val="-4"/>
          <w:w w:val="105"/>
          <w:sz w:val="17"/>
        </w:rPr>
        <w:t> </w:t>
      </w:r>
      <w:r>
        <w:rPr>
          <w:color w:val="231F20"/>
          <w:w w:val="105"/>
          <w:sz w:val="17"/>
        </w:rPr>
        <w:t>relevant</w:t>
      </w:r>
      <w:r>
        <w:rPr>
          <w:color w:val="231F20"/>
          <w:spacing w:val="-4"/>
          <w:w w:val="105"/>
          <w:sz w:val="17"/>
        </w:rPr>
        <w:t> </w:t>
      </w:r>
      <w:r>
        <w:rPr>
          <w:color w:val="231F20"/>
          <w:w w:val="105"/>
          <w:sz w:val="17"/>
        </w:rPr>
        <w:t>provisions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dangerous</w:t>
      </w:r>
      <w:r>
        <w:rPr>
          <w:color w:val="231F20"/>
          <w:spacing w:val="-4"/>
          <w:w w:val="105"/>
          <w:sz w:val="17"/>
        </w:rPr>
        <w:t> </w:t>
      </w:r>
      <w:r>
        <w:rPr>
          <w:color w:val="231F20"/>
          <w:w w:val="105"/>
          <w:sz w:val="17"/>
        </w:rPr>
        <w:t>goods.</w:t>
      </w:r>
      <w:r>
        <w:rPr>
          <w:color w:val="231F20"/>
          <w:spacing w:val="-4"/>
          <w:w w:val="105"/>
          <w:sz w:val="17"/>
        </w:rPr>
        <w:t> </w:t>
      </w:r>
      <w:r>
        <w:rPr>
          <w:color w:val="231F20"/>
          <w:w w:val="105"/>
          <w:sz w:val="17"/>
        </w:rPr>
        <w:t>(See</w:t>
      </w:r>
      <w:r>
        <w:rPr>
          <w:color w:val="231F20"/>
          <w:spacing w:val="-4"/>
          <w:w w:val="105"/>
          <w:sz w:val="17"/>
        </w:rPr>
        <w:t> </w:t>
      </w:r>
      <w:r>
        <w:rPr>
          <w:color w:val="231F20"/>
          <w:w w:val="105"/>
          <w:sz w:val="17"/>
        </w:rPr>
        <w:t>also</w:t>
      </w:r>
      <w:r>
        <w:rPr>
          <w:color w:val="231F20"/>
          <w:spacing w:val="-4"/>
          <w:w w:val="105"/>
          <w:sz w:val="17"/>
        </w:rPr>
        <w:t> </w:t>
      </w:r>
      <w:r>
        <w:rPr>
          <w:color w:val="231F20"/>
          <w:w w:val="105"/>
          <w:sz w:val="17"/>
        </w:rPr>
        <w:t>special</w:t>
      </w:r>
      <w:r>
        <w:rPr>
          <w:color w:val="231F20"/>
          <w:spacing w:val="-4"/>
          <w:w w:val="105"/>
          <w:sz w:val="17"/>
        </w:rPr>
        <w:t> </w:t>
      </w:r>
      <w:r>
        <w:rPr>
          <w:color w:val="231F20"/>
          <w:w w:val="105"/>
          <w:sz w:val="17"/>
        </w:rPr>
        <w:t>provision</w:t>
      </w:r>
      <w:r>
        <w:rPr>
          <w:color w:val="231F20"/>
          <w:spacing w:val="-4"/>
          <w:w w:val="105"/>
          <w:sz w:val="17"/>
        </w:rPr>
        <w:t> </w:t>
      </w:r>
      <w:r>
        <w:rPr>
          <w:color w:val="231F20"/>
          <w:w w:val="105"/>
          <w:sz w:val="17"/>
        </w:rPr>
        <w:t>172 and, for excepted packages, special provision 290.)</w:t>
      </w:r>
    </w:p>
    <w:p>
      <w:pPr>
        <w:pStyle w:val="BodyText"/>
        <w:spacing w:before="152"/>
      </w:pPr>
    </w:p>
    <w:p>
      <w:pPr>
        <w:pStyle w:val="Heading1"/>
        <w:numPr>
          <w:ilvl w:val="2"/>
          <w:numId w:val="1"/>
        </w:numPr>
        <w:tabs>
          <w:tab w:pos="2497" w:val="left" w:leader="none"/>
        </w:tabs>
        <w:spacing w:line="240" w:lineRule="auto" w:before="0" w:after="0"/>
        <w:ind w:left="2497" w:right="0" w:hanging="1080"/>
        <w:jc w:val="left"/>
      </w:pPr>
      <w:r>
        <w:rPr>
          <w:color w:val="231F20"/>
        </w:rPr>
        <w:t>Non-</w:t>
      </w:r>
      <w:r>
        <w:rPr>
          <w:color w:val="231F20"/>
          <w:spacing w:val="-2"/>
        </w:rPr>
        <w:t>compliance</w:t>
      </w:r>
    </w:p>
    <w:p>
      <w:pPr>
        <w:pStyle w:val="ListParagraph"/>
        <w:numPr>
          <w:ilvl w:val="3"/>
          <w:numId w:val="1"/>
        </w:numPr>
        <w:tabs>
          <w:tab w:pos="2497" w:val="left" w:leader="none"/>
        </w:tabs>
        <w:spacing w:line="256" w:lineRule="auto" w:before="124" w:after="0"/>
        <w:ind w:left="2497" w:right="848" w:hanging="1080"/>
        <w:jc w:val="both"/>
        <w:rPr>
          <w:color w:val="231F20"/>
          <w:sz w:val="17"/>
        </w:rPr>
      </w:pPr>
      <w:r>
        <w:rPr>
          <w:color w:val="231F20"/>
          <w:w w:val="105"/>
          <w:sz w:val="17"/>
        </w:rPr>
        <w:t>In</w:t>
      </w:r>
      <w:r>
        <w:rPr>
          <w:color w:val="231F20"/>
          <w:w w:val="105"/>
          <w:sz w:val="17"/>
        </w:rPr>
        <w:t> the</w:t>
      </w:r>
      <w:r>
        <w:rPr>
          <w:color w:val="231F20"/>
          <w:w w:val="105"/>
          <w:sz w:val="17"/>
        </w:rPr>
        <w:t> event</w:t>
      </w:r>
      <w:r>
        <w:rPr>
          <w:color w:val="231F20"/>
          <w:w w:val="105"/>
          <w:sz w:val="17"/>
        </w:rPr>
        <w:t> of</w:t>
      </w:r>
      <w:r>
        <w:rPr>
          <w:color w:val="231F20"/>
          <w:w w:val="105"/>
          <w:sz w:val="17"/>
        </w:rPr>
        <w:t> non-compliance</w:t>
      </w:r>
      <w:r>
        <w:rPr>
          <w:color w:val="231F20"/>
          <w:w w:val="105"/>
          <w:sz w:val="17"/>
        </w:rPr>
        <w:t> with</w:t>
      </w:r>
      <w:r>
        <w:rPr>
          <w:color w:val="231F20"/>
          <w:w w:val="105"/>
          <w:sz w:val="17"/>
        </w:rPr>
        <w:t> any</w:t>
      </w:r>
      <w:r>
        <w:rPr>
          <w:color w:val="231F20"/>
          <w:w w:val="105"/>
          <w:sz w:val="17"/>
        </w:rPr>
        <w:t> limit</w:t>
      </w:r>
      <w:r>
        <w:rPr>
          <w:color w:val="231F20"/>
          <w:w w:val="105"/>
          <w:sz w:val="17"/>
        </w:rPr>
        <w:t> in</w:t>
      </w:r>
      <w:r>
        <w:rPr>
          <w:color w:val="231F20"/>
          <w:w w:val="105"/>
          <w:sz w:val="17"/>
        </w:rPr>
        <w:t> the</w:t>
      </w:r>
      <w:r>
        <w:rPr>
          <w:color w:val="231F20"/>
          <w:w w:val="105"/>
          <w:sz w:val="17"/>
        </w:rPr>
        <w:t> provisions</w:t>
      </w:r>
      <w:r>
        <w:rPr>
          <w:color w:val="231F20"/>
          <w:w w:val="105"/>
          <w:sz w:val="17"/>
        </w:rPr>
        <w:t> of</w:t>
      </w:r>
      <w:r>
        <w:rPr>
          <w:color w:val="231F20"/>
          <w:w w:val="105"/>
          <w:sz w:val="17"/>
        </w:rPr>
        <w:t> this</w:t>
      </w:r>
      <w:r>
        <w:rPr>
          <w:color w:val="231F20"/>
          <w:w w:val="105"/>
          <w:sz w:val="17"/>
        </w:rPr>
        <w:t> Code</w:t>
      </w:r>
      <w:r>
        <w:rPr>
          <w:color w:val="231F20"/>
          <w:w w:val="105"/>
          <w:sz w:val="17"/>
        </w:rPr>
        <w:t> applicable</w:t>
      </w:r>
      <w:r>
        <w:rPr>
          <w:color w:val="231F20"/>
          <w:w w:val="105"/>
          <w:sz w:val="17"/>
        </w:rPr>
        <w:t> to</w:t>
      </w:r>
      <w:r>
        <w:rPr>
          <w:color w:val="231F20"/>
          <w:w w:val="105"/>
          <w:sz w:val="17"/>
        </w:rPr>
        <w:t> dose</w:t>
      </w:r>
      <w:r>
        <w:rPr>
          <w:color w:val="231F20"/>
          <w:w w:val="105"/>
          <w:sz w:val="17"/>
        </w:rPr>
        <w:t> rate</w:t>
      </w:r>
      <w:r>
        <w:rPr>
          <w:color w:val="231F20"/>
          <w:w w:val="105"/>
          <w:sz w:val="17"/>
        </w:rPr>
        <w:t> or </w:t>
      </w:r>
      <w:r>
        <w:rPr>
          <w:color w:val="231F20"/>
          <w:spacing w:val="-2"/>
          <w:w w:val="105"/>
          <w:sz w:val="17"/>
        </w:rPr>
        <w:t>contamination,</w:t>
      </w:r>
    </w:p>
    <w:p>
      <w:pPr>
        <w:pStyle w:val="ListParagraph"/>
        <w:numPr>
          <w:ilvl w:val="0"/>
          <w:numId w:val="7"/>
        </w:numPr>
        <w:tabs>
          <w:tab w:pos="2857" w:val="left" w:leader="none"/>
        </w:tabs>
        <w:spacing w:line="256" w:lineRule="auto" w:before="61" w:after="0"/>
        <w:ind w:left="2857" w:right="848" w:hanging="360"/>
        <w:jc w:val="both"/>
        <w:rPr>
          <w:sz w:val="17"/>
        </w:rPr>
      </w:pPr>
      <w:r>
        <w:rPr>
          <w:color w:val="231F20"/>
          <w:w w:val="105"/>
          <w:sz w:val="17"/>
        </w:rPr>
        <w:t>the consignor, carrier , consignee and any organization involved during transport who may be affected, as appropriate, shall be informed of the non-compliance:</w:t>
      </w:r>
    </w:p>
    <w:p>
      <w:pPr>
        <w:pStyle w:val="ListParagraph"/>
        <w:numPr>
          <w:ilvl w:val="1"/>
          <w:numId w:val="7"/>
        </w:numPr>
        <w:tabs>
          <w:tab w:pos="3216" w:val="left" w:leader="none"/>
        </w:tabs>
        <w:spacing w:line="240" w:lineRule="auto" w:before="42" w:after="0"/>
        <w:ind w:left="3216" w:right="0" w:hanging="359"/>
        <w:jc w:val="both"/>
        <w:rPr>
          <w:sz w:val="17"/>
        </w:rPr>
      </w:pPr>
      <w:r>
        <w:rPr>
          <w:color w:val="231F20"/>
          <w:w w:val="105"/>
          <w:sz w:val="17"/>
        </w:rPr>
        <w:t>by</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carrier</w:t>
      </w:r>
      <w:r>
        <w:rPr>
          <w:color w:val="231F20"/>
          <w:spacing w:val="3"/>
          <w:w w:val="105"/>
          <w:sz w:val="17"/>
        </w:rPr>
        <w:t> </w:t>
      </w:r>
      <w:r>
        <w:rPr>
          <w:color w:val="231F20"/>
          <w:w w:val="105"/>
          <w:sz w:val="17"/>
        </w:rPr>
        <w:t>if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non-compliance</w:t>
      </w:r>
      <w:r>
        <w:rPr>
          <w:color w:val="231F20"/>
          <w:spacing w:val="2"/>
          <w:w w:val="105"/>
          <w:sz w:val="17"/>
        </w:rPr>
        <w:t> </w:t>
      </w:r>
      <w:r>
        <w:rPr>
          <w:color w:val="231F20"/>
          <w:w w:val="105"/>
          <w:sz w:val="17"/>
        </w:rPr>
        <w:t>is</w:t>
      </w:r>
      <w:r>
        <w:rPr>
          <w:color w:val="231F20"/>
          <w:spacing w:val="3"/>
          <w:w w:val="105"/>
          <w:sz w:val="17"/>
        </w:rPr>
        <w:t> </w:t>
      </w:r>
      <w:r>
        <w:rPr>
          <w:color w:val="231F20"/>
          <w:w w:val="105"/>
          <w:sz w:val="17"/>
        </w:rPr>
        <w:t>identified</w:t>
      </w:r>
      <w:r>
        <w:rPr>
          <w:color w:val="231F20"/>
          <w:spacing w:val="2"/>
          <w:w w:val="105"/>
          <w:sz w:val="17"/>
        </w:rPr>
        <w:t> </w:t>
      </w:r>
      <w:r>
        <w:rPr>
          <w:color w:val="231F20"/>
          <w:w w:val="105"/>
          <w:sz w:val="17"/>
        </w:rPr>
        <w:t>during</w:t>
      </w:r>
      <w:r>
        <w:rPr>
          <w:color w:val="231F20"/>
          <w:spacing w:val="2"/>
          <w:w w:val="105"/>
          <w:sz w:val="17"/>
        </w:rPr>
        <w:t> </w:t>
      </w:r>
      <w:r>
        <w:rPr>
          <w:color w:val="231F20"/>
          <w:w w:val="105"/>
          <w:sz w:val="17"/>
        </w:rPr>
        <w:t>transport;</w:t>
      </w:r>
      <w:r>
        <w:rPr>
          <w:color w:val="231F20"/>
          <w:spacing w:val="3"/>
          <w:w w:val="105"/>
          <w:sz w:val="17"/>
        </w:rPr>
        <w:t> </w:t>
      </w:r>
      <w:r>
        <w:rPr>
          <w:color w:val="231F20"/>
          <w:spacing w:val="-7"/>
          <w:w w:val="105"/>
          <w:sz w:val="17"/>
        </w:rPr>
        <w:t>or</w:t>
      </w:r>
    </w:p>
    <w:p>
      <w:pPr>
        <w:pStyle w:val="ListParagraph"/>
        <w:numPr>
          <w:ilvl w:val="1"/>
          <w:numId w:val="7"/>
        </w:numPr>
        <w:tabs>
          <w:tab w:pos="3215" w:val="left" w:leader="none"/>
        </w:tabs>
        <w:spacing w:line="240" w:lineRule="auto" w:before="55" w:after="0"/>
        <w:ind w:left="3215" w:right="0" w:hanging="358"/>
        <w:jc w:val="both"/>
        <w:rPr>
          <w:sz w:val="17"/>
        </w:rPr>
      </w:pPr>
      <w:r>
        <w:rPr>
          <w:color w:val="231F20"/>
          <w:w w:val="105"/>
          <w:sz w:val="17"/>
        </w:rPr>
        <w:t>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consignee</w:t>
      </w:r>
      <w:r>
        <w:rPr>
          <w:color w:val="231F20"/>
          <w:spacing w:val="1"/>
          <w:w w:val="105"/>
          <w:sz w:val="17"/>
        </w:rPr>
        <w:t> </w:t>
      </w:r>
      <w:r>
        <w:rPr>
          <w:color w:val="231F20"/>
          <w:w w:val="105"/>
          <w:sz w:val="17"/>
        </w:rPr>
        <w:t>if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non-compliance</w:t>
      </w:r>
      <w:r>
        <w:rPr>
          <w:color w:val="231F20"/>
          <w:spacing w:val="2"/>
          <w:w w:val="105"/>
          <w:sz w:val="17"/>
        </w:rPr>
        <w:t> </w:t>
      </w:r>
      <w:r>
        <w:rPr>
          <w:color w:val="231F20"/>
          <w:w w:val="105"/>
          <w:sz w:val="17"/>
        </w:rPr>
        <w:t>is</w:t>
      </w:r>
      <w:r>
        <w:rPr>
          <w:color w:val="231F20"/>
          <w:spacing w:val="1"/>
          <w:w w:val="105"/>
          <w:sz w:val="17"/>
        </w:rPr>
        <w:t> </w:t>
      </w:r>
      <w:r>
        <w:rPr>
          <w:color w:val="231F20"/>
          <w:w w:val="105"/>
          <w:sz w:val="17"/>
        </w:rPr>
        <w:t>identified</w:t>
      </w:r>
      <w:r>
        <w:rPr>
          <w:color w:val="231F20"/>
          <w:spacing w:val="1"/>
          <w:w w:val="105"/>
          <w:sz w:val="17"/>
        </w:rPr>
        <w:t> </w:t>
      </w:r>
      <w:r>
        <w:rPr>
          <w:color w:val="231F20"/>
          <w:w w:val="105"/>
          <w:sz w:val="17"/>
        </w:rPr>
        <w:t>at</w:t>
      </w:r>
      <w:r>
        <w:rPr>
          <w:color w:val="231F20"/>
          <w:spacing w:val="1"/>
          <w:w w:val="105"/>
          <w:sz w:val="17"/>
        </w:rPr>
        <w:t> </w:t>
      </w:r>
      <w:r>
        <w:rPr>
          <w:color w:val="231F20"/>
          <w:spacing w:val="-2"/>
          <w:w w:val="105"/>
          <w:sz w:val="17"/>
        </w:rPr>
        <w:t>receipt;</w:t>
      </w:r>
    </w:p>
    <w:p>
      <w:pPr>
        <w:pStyle w:val="ListParagraph"/>
        <w:numPr>
          <w:ilvl w:val="0"/>
          <w:numId w:val="7"/>
        </w:numPr>
        <w:tabs>
          <w:tab w:pos="2855" w:val="left" w:leader="none"/>
        </w:tabs>
        <w:spacing w:line="240" w:lineRule="auto" w:before="74" w:after="0"/>
        <w:ind w:left="2855" w:right="0" w:hanging="358"/>
        <w:jc w:val="both"/>
        <w:rPr>
          <w:sz w:val="17"/>
        </w:rPr>
      </w:pPr>
      <w:r>
        <w:rPr>
          <w:color w:val="231F20"/>
          <w:w w:val="105"/>
          <w:sz w:val="17"/>
        </w:rPr>
        <w:t>the</w:t>
      </w:r>
      <w:r>
        <w:rPr>
          <w:color w:val="231F20"/>
          <w:spacing w:val="-5"/>
          <w:w w:val="105"/>
          <w:sz w:val="17"/>
        </w:rPr>
        <w:t> </w:t>
      </w:r>
      <w:r>
        <w:rPr>
          <w:color w:val="231F20"/>
          <w:w w:val="105"/>
          <w:sz w:val="17"/>
        </w:rPr>
        <w:t>consignor,</w:t>
      </w:r>
      <w:r>
        <w:rPr>
          <w:color w:val="231F20"/>
          <w:spacing w:val="-4"/>
          <w:w w:val="105"/>
          <w:sz w:val="17"/>
        </w:rPr>
        <w:t> </w:t>
      </w:r>
      <w:r>
        <w:rPr>
          <w:color w:val="231F20"/>
          <w:w w:val="105"/>
          <w:sz w:val="17"/>
        </w:rPr>
        <w:t>carrier,</w:t>
      </w:r>
      <w:r>
        <w:rPr>
          <w:color w:val="231F20"/>
          <w:spacing w:val="-4"/>
          <w:w w:val="105"/>
          <w:sz w:val="17"/>
        </w:rPr>
        <w:t> </w:t>
      </w:r>
      <w:r>
        <w:rPr>
          <w:color w:val="231F20"/>
          <w:w w:val="105"/>
          <w:sz w:val="17"/>
        </w:rPr>
        <w:t>or</w:t>
      </w:r>
      <w:r>
        <w:rPr>
          <w:color w:val="231F20"/>
          <w:spacing w:val="-4"/>
          <w:w w:val="105"/>
          <w:sz w:val="17"/>
        </w:rPr>
        <w:t> </w:t>
      </w:r>
      <w:r>
        <w:rPr>
          <w:color w:val="231F20"/>
          <w:w w:val="105"/>
          <w:sz w:val="17"/>
        </w:rPr>
        <w:t>consignee,</w:t>
      </w:r>
      <w:r>
        <w:rPr>
          <w:color w:val="231F20"/>
          <w:spacing w:val="-4"/>
          <w:w w:val="105"/>
          <w:sz w:val="17"/>
        </w:rPr>
        <w:t> </w:t>
      </w:r>
      <w:r>
        <w:rPr>
          <w:color w:val="231F20"/>
          <w:w w:val="105"/>
          <w:sz w:val="17"/>
        </w:rPr>
        <w:t>as</w:t>
      </w:r>
      <w:r>
        <w:rPr>
          <w:color w:val="231F20"/>
          <w:spacing w:val="-4"/>
          <w:w w:val="105"/>
          <w:sz w:val="17"/>
        </w:rPr>
        <w:t> </w:t>
      </w:r>
      <w:r>
        <w:rPr>
          <w:color w:val="231F20"/>
          <w:w w:val="105"/>
          <w:sz w:val="17"/>
        </w:rPr>
        <w:t>appropriate,</w:t>
      </w:r>
      <w:r>
        <w:rPr>
          <w:color w:val="231F20"/>
          <w:spacing w:val="-4"/>
          <w:w w:val="105"/>
          <w:sz w:val="17"/>
        </w:rPr>
        <w:t> </w:t>
      </w:r>
      <w:r>
        <w:rPr>
          <w:color w:val="231F20"/>
          <w:spacing w:val="-2"/>
          <w:w w:val="105"/>
          <w:sz w:val="17"/>
        </w:rPr>
        <w:t>shall:</w:t>
      </w:r>
    </w:p>
    <w:p>
      <w:pPr>
        <w:pStyle w:val="ListParagraph"/>
        <w:numPr>
          <w:ilvl w:val="1"/>
          <w:numId w:val="7"/>
        </w:numPr>
        <w:tabs>
          <w:tab w:pos="3216" w:val="left" w:leader="none"/>
        </w:tabs>
        <w:spacing w:line="240" w:lineRule="auto" w:before="55" w:after="0"/>
        <w:ind w:left="3216" w:right="0" w:hanging="359"/>
        <w:jc w:val="both"/>
        <w:rPr>
          <w:sz w:val="17"/>
        </w:rPr>
      </w:pPr>
      <w:r>
        <w:rPr>
          <w:color w:val="231F20"/>
          <w:w w:val="105"/>
          <w:sz w:val="17"/>
        </w:rPr>
        <w:t>take</w:t>
      </w:r>
      <w:r>
        <w:rPr>
          <w:color w:val="231F20"/>
          <w:spacing w:val="-1"/>
          <w:w w:val="105"/>
          <w:sz w:val="17"/>
        </w:rPr>
        <w:t> </w:t>
      </w:r>
      <w:r>
        <w:rPr>
          <w:color w:val="231F20"/>
          <w:w w:val="105"/>
          <w:sz w:val="17"/>
        </w:rPr>
        <w:t>immediate steps to mitigate the consequences of the non-</w:t>
      </w:r>
      <w:r>
        <w:rPr>
          <w:color w:val="231F20"/>
          <w:spacing w:val="-2"/>
          <w:w w:val="105"/>
          <w:sz w:val="17"/>
        </w:rPr>
        <w:t>compliance;</w:t>
      </w:r>
    </w:p>
    <w:p>
      <w:pPr>
        <w:pStyle w:val="ListParagraph"/>
        <w:numPr>
          <w:ilvl w:val="1"/>
          <w:numId w:val="7"/>
        </w:numPr>
        <w:tabs>
          <w:tab w:pos="3215" w:val="left" w:leader="none"/>
        </w:tabs>
        <w:spacing w:line="240" w:lineRule="auto" w:before="54" w:after="0"/>
        <w:ind w:left="3215" w:right="0" w:hanging="358"/>
        <w:jc w:val="both"/>
        <w:rPr>
          <w:sz w:val="17"/>
        </w:rPr>
      </w:pPr>
      <w:r>
        <w:rPr>
          <w:color w:val="231F20"/>
          <w:w w:val="105"/>
          <w:sz w:val="17"/>
        </w:rPr>
        <w:t>investigate the non-compliance and its causes, circumstances</w:t>
      </w:r>
      <w:r>
        <w:rPr>
          <w:color w:val="231F20"/>
          <w:spacing w:val="1"/>
          <w:w w:val="105"/>
          <w:sz w:val="17"/>
        </w:rPr>
        <w:t> </w:t>
      </w:r>
      <w:r>
        <w:rPr>
          <w:color w:val="231F20"/>
          <w:w w:val="105"/>
          <w:sz w:val="17"/>
        </w:rPr>
        <w:t>and </w:t>
      </w:r>
      <w:r>
        <w:rPr>
          <w:color w:val="231F20"/>
          <w:spacing w:val="-2"/>
          <w:w w:val="105"/>
          <w:sz w:val="17"/>
        </w:rPr>
        <w:t>consequences;</w:t>
      </w:r>
    </w:p>
    <w:p>
      <w:pPr>
        <w:pStyle w:val="ListParagraph"/>
        <w:numPr>
          <w:ilvl w:val="1"/>
          <w:numId w:val="7"/>
        </w:numPr>
        <w:tabs>
          <w:tab w:pos="3215" w:val="left" w:leader="none"/>
          <w:tab w:pos="3217" w:val="left" w:leader="none"/>
        </w:tabs>
        <w:spacing w:line="256" w:lineRule="auto" w:before="55" w:after="0"/>
        <w:ind w:left="3217" w:right="848" w:hanging="360"/>
        <w:jc w:val="both"/>
        <w:rPr>
          <w:sz w:val="17"/>
        </w:rPr>
      </w:pPr>
      <w:r>
        <w:rPr>
          <w:color w:val="231F20"/>
          <w:w w:val="105"/>
          <w:sz w:val="17"/>
        </w:rPr>
        <w:t>take appropriate action to remedy the causes and circumstances that led to the non-compliance and</w:t>
      </w:r>
      <w:r>
        <w:rPr>
          <w:color w:val="231F20"/>
          <w:spacing w:val="36"/>
          <w:w w:val="105"/>
          <w:sz w:val="17"/>
        </w:rPr>
        <w:t> </w:t>
      </w:r>
      <w:r>
        <w:rPr>
          <w:color w:val="231F20"/>
          <w:w w:val="105"/>
          <w:sz w:val="17"/>
        </w:rPr>
        <w:t>to</w:t>
      </w:r>
      <w:r>
        <w:rPr>
          <w:color w:val="231F20"/>
          <w:spacing w:val="36"/>
          <w:w w:val="105"/>
          <w:sz w:val="17"/>
        </w:rPr>
        <w:t> </w:t>
      </w:r>
      <w:r>
        <w:rPr>
          <w:color w:val="231F20"/>
          <w:w w:val="105"/>
          <w:sz w:val="17"/>
        </w:rPr>
        <w:t>prevent</w:t>
      </w:r>
      <w:r>
        <w:rPr>
          <w:color w:val="231F20"/>
          <w:spacing w:val="36"/>
          <w:w w:val="105"/>
          <w:sz w:val="17"/>
        </w:rPr>
        <w:t> </w:t>
      </w:r>
      <w:r>
        <w:rPr>
          <w:color w:val="231F20"/>
          <w:w w:val="105"/>
          <w:sz w:val="17"/>
        </w:rPr>
        <w:t>a</w:t>
      </w:r>
      <w:r>
        <w:rPr>
          <w:color w:val="231F20"/>
          <w:spacing w:val="36"/>
          <w:w w:val="105"/>
          <w:sz w:val="17"/>
        </w:rPr>
        <w:t> </w:t>
      </w:r>
      <w:r>
        <w:rPr>
          <w:color w:val="231F20"/>
          <w:w w:val="105"/>
          <w:sz w:val="17"/>
        </w:rPr>
        <w:t>recurrence</w:t>
      </w:r>
      <w:r>
        <w:rPr>
          <w:color w:val="231F20"/>
          <w:spacing w:val="36"/>
          <w:w w:val="105"/>
          <w:sz w:val="17"/>
        </w:rPr>
        <w:t> </w:t>
      </w:r>
      <w:r>
        <w:rPr>
          <w:color w:val="231F20"/>
          <w:w w:val="105"/>
          <w:sz w:val="17"/>
        </w:rPr>
        <w:t>of</w:t>
      </w:r>
      <w:r>
        <w:rPr>
          <w:color w:val="231F20"/>
          <w:spacing w:val="36"/>
          <w:w w:val="105"/>
          <w:sz w:val="17"/>
        </w:rPr>
        <w:t> </w:t>
      </w:r>
      <w:r>
        <w:rPr>
          <w:color w:val="231F20"/>
          <w:w w:val="105"/>
          <w:sz w:val="17"/>
        </w:rPr>
        <w:t>the</w:t>
      </w:r>
      <w:r>
        <w:rPr>
          <w:color w:val="231F20"/>
          <w:spacing w:val="36"/>
          <w:w w:val="105"/>
          <w:sz w:val="17"/>
        </w:rPr>
        <w:t> </w:t>
      </w:r>
      <w:r>
        <w:rPr>
          <w:color w:val="231F20"/>
          <w:w w:val="105"/>
          <w:sz w:val="17"/>
        </w:rPr>
        <w:t>causes</w:t>
      </w:r>
      <w:r>
        <w:rPr>
          <w:color w:val="231F20"/>
          <w:spacing w:val="36"/>
          <w:w w:val="105"/>
          <w:sz w:val="17"/>
        </w:rPr>
        <w:t> </w:t>
      </w:r>
      <w:r>
        <w:rPr>
          <w:color w:val="231F20"/>
          <w:w w:val="105"/>
          <w:sz w:val="17"/>
        </w:rPr>
        <w:t>and</w:t>
      </w:r>
      <w:r>
        <w:rPr>
          <w:color w:val="231F20"/>
          <w:spacing w:val="36"/>
          <w:w w:val="105"/>
          <w:sz w:val="17"/>
        </w:rPr>
        <w:t> </w:t>
      </w:r>
      <w:r>
        <w:rPr>
          <w:color w:val="231F20"/>
          <w:w w:val="105"/>
          <w:sz w:val="17"/>
        </w:rPr>
        <w:t>circumstances</w:t>
      </w:r>
      <w:r>
        <w:rPr>
          <w:color w:val="231F20"/>
          <w:spacing w:val="36"/>
          <w:w w:val="105"/>
          <w:sz w:val="17"/>
        </w:rPr>
        <w:t> </w:t>
      </w:r>
      <w:r>
        <w:rPr>
          <w:color w:val="231F20"/>
          <w:w w:val="105"/>
          <w:sz w:val="17"/>
        </w:rPr>
        <w:t>similar</w:t>
      </w:r>
      <w:r>
        <w:rPr>
          <w:color w:val="231F20"/>
          <w:spacing w:val="36"/>
          <w:w w:val="105"/>
          <w:sz w:val="17"/>
        </w:rPr>
        <w:t> </w:t>
      </w:r>
      <w:r>
        <w:rPr>
          <w:color w:val="231F20"/>
          <w:w w:val="105"/>
          <w:sz w:val="17"/>
        </w:rPr>
        <w:t>to</w:t>
      </w:r>
      <w:r>
        <w:rPr>
          <w:color w:val="231F20"/>
          <w:spacing w:val="36"/>
          <w:w w:val="105"/>
          <w:sz w:val="17"/>
        </w:rPr>
        <w:t> </w:t>
      </w:r>
      <w:r>
        <w:rPr>
          <w:color w:val="231F20"/>
          <w:w w:val="105"/>
          <w:sz w:val="17"/>
        </w:rPr>
        <w:t>those</w:t>
      </w:r>
      <w:r>
        <w:rPr>
          <w:color w:val="231F20"/>
          <w:spacing w:val="36"/>
          <w:w w:val="105"/>
          <w:sz w:val="17"/>
        </w:rPr>
        <w:t> </w:t>
      </w:r>
      <w:r>
        <w:rPr>
          <w:color w:val="231F20"/>
          <w:w w:val="105"/>
          <w:sz w:val="17"/>
        </w:rPr>
        <w:t>that</w:t>
      </w:r>
      <w:r>
        <w:rPr>
          <w:color w:val="231F20"/>
          <w:spacing w:val="36"/>
          <w:w w:val="105"/>
          <w:sz w:val="17"/>
        </w:rPr>
        <w:t> </w:t>
      </w:r>
      <w:r>
        <w:rPr>
          <w:color w:val="231F20"/>
          <w:w w:val="105"/>
          <w:sz w:val="17"/>
        </w:rPr>
        <w:t>led</w:t>
      </w:r>
      <w:r>
        <w:rPr>
          <w:color w:val="231F20"/>
          <w:spacing w:val="36"/>
          <w:w w:val="105"/>
          <w:sz w:val="17"/>
        </w:rPr>
        <w:t> </w:t>
      </w:r>
      <w:r>
        <w:rPr>
          <w:color w:val="231F20"/>
          <w:w w:val="105"/>
          <w:sz w:val="17"/>
        </w:rPr>
        <w:t>to</w:t>
      </w:r>
      <w:r>
        <w:rPr>
          <w:color w:val="231F20"/>
          <w:spacing w:val="36"/>
          <w:w w:val="105"/>
          <w:sz w:val="17"/>
        </w:rPr>
        <w:t> </w:t>
      </w:r>
      <w:r>
        <w:rPr>
          <w:color w:val="231F20"/>
          <w:w w:val="105"/>
          <w:sz w:val="17"/>
        </w:rPr>
        <w:t>the non-compliance; and</w:t>
      </w:r>
    </w:p>
    <w:p>
      <w:pPr>
        <w:pStyle w:val="ListParagraph"/>
        <w:numPr>
          <w:ilvl w:val="1"/>
          <w:numId w:val="7"/>
        </w:numPr>
        <w:tabs>
          <w:tab w:pos="3217" w:val="left" w:leader="none"/>
        </w:tabs>
        <w:spacing w:line="256" w:lineRule="auto" w:before="43" w:after="0"/>
        <w:ind w:left="3217" w:right="848" w:hanging="360"/>
        <w:jc w:val="both"/>
        <w:rPr>
          <w:sz w:val="17"/>
        </w:rPr>
      </w:pPr>
      <w:r>
        <w:rPr>
          <w:color w:val="231F20"/>
          <w:w w:val="105"/>
          <w:sz w:val="17"/>
        </w:rPr>
        <w:t>communicate</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relevant</w:t>
      </w:r>
      <w:r>
        <w:rPr>
          <w:color w:val="231F20"/>
          <w:spacing w:val="-2"/>
          <w:w w:val="105"/>
          <w:sz w:val="17"/>
        </w:rPr>
        <w:t> </w:t>
      </w:r>
      <w:r>
        <w:rPr>
          <w:color w:val="231F20"/>
          <w:w w:val="105"/>
          <w:sz w:val="17"/>
        </w:rPr>
        <w:t>competent</w:t>
      </w:r>
      <w:r>
        <w:rPr>
          <w:color w:val="231F20"/>
          <w:spacing w:val="-2"/>
          <w:w w:val="105"/>
          <w:sz w:val="17"/>
        </w:rPr>
        <w:t> </w:t>
      </w:r>
      <w:r>
        <w:rPr>
          <w:color w:val="231F20"/>
          <w:w w:val="105"/>
          <w:sz w:val="17"/>
        </w:rPr>
        <w:t>authority(ies)</w:t>
      </w:r>
      <w:r>
        <w:rPr>
          <w:color w:val="231F20"/>
          <w:spacing w:val="-2"/>
          <w:w w:val="105"/>
          <w:sz w:val="17"/>
        </w:rPr>
        <w:t> </w:t>
      </w:r>
      <w:r>
        <w:rPr>
          <w:color w:val="231F20"/>
          <w:w w:val="105"/>
          <w:sz w:val="17"/>
        </w:rPr>
        <w:t>on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causes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non-compliance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the corrective or preventive actions taken or to be taken;</w:t>
      </w:r>
    </w:p>
    <w:p>
      <w:pPr>
        <w:pStyle w:val="ListParagraph"/>
        <w:numPr>
          <w:ilvl w:val="0"/>
          <w:numId w:val="7"/>
        </w:numPr>
        <w:tabs>
          <w:tab w:pos="2855" w:val="left" w:leader="none"/>
          <w:tab w:pos="2857" w:val="left" w:leader="none"/>
        </w:tabs>
        <w:spacing w:line="256" w:lineRule="auto" w:before="61" w:after="0"/>
        <w:ind w:left="2857" w:right="848" w:hanging="360"/>
        <w:jc w:val="both"/>
        <w:rPr>
          <w:sz w:val="17"/>
        </w:rPr>
      </w:pPr>
      <w:r>
        <w:rPr>
          <w:color w:val="231F20"/>
          <w:w w:val="105"/>
          <w:sz w:val="17"/>
        </w:rPr>
        <w:t>The</w:t>
      </w:r>
      <w:r>
        <w:rPr>
          <w:color w:val="231F20"/>
          <w:w w:val="105"/>
          <w:sz w:val="17"/>
        </w:rPr>
        <w:t> communication</w:t>
      </w:r>
      <w:r>
        <w:rPr>
          <w:color w:val="231F20"/>
          <w:w w:val="105"/>
          <w:sz w:val="17"/>
        </w:rPr>
        <w:t> of</w:t>
      </w:r>
      <w:r>
        <w:rPr>
          <w:color w:val="231F20"/>
          <w:w w:val="105"/>
          <w:sz w:val="17"/>
        </w:rPr>
        <w:t> the</w:t>
      </w:r>
      <w:r>
        <w:rPr>
          <w:color w:val="231F20"/>
          <w:w w:val="105"/>
          <w:sz w:val="17"/>
        </w:rPr>
        <w:t> non-compliance</w:t>
      </w:r>
      <w:r>
        <w:rPr>
          <w:color w:val="231F20"/>
          <w:w w:val="105"/>
          <w:sz w:val="17"/>
        </w:rPr>
        <w:t> to</w:t>
      </w:r>
      <w:r>
        <w:rPr>
          <w:color w:val="231F20"/>
          <w:w w:val="105"/>
          <w:sz w:val="17"/>
        </w:rPr>
        <w:t> the</w:t>
      </w:r>
      <w:r>
        <w:rPr>
          <w:color w:val="231F20"/>
          <w:w w:val="105"/>
          <w:sz w:val="17"/>
        </w:rPr>
        <w:t> consignor</w:t>
      </w:r>
      <w:r>
        <w:rPr>
          <w:color w:val="231F20"/>
          <w:w w:val="105"/>
          <w:sz w:val="17"/>
        </w:rPr>
        <w:t> and</w:t>
      </w:r>
      <w:r>
        <w:rPr>
          <w:color w:val="231F20"/>
          <w:w w:val="105"/>
          <w:sz w:val="17"/>
        </w:rPr>
        <w:t> relevant</w:t>
      </w:r>
      <w:r>
        <w:rPr>
          <w:color w:val="231F20"/>
          <w:w w:val="105"/>
          <w:sz w:val="17"/>
        </w:rPr>
        <w:t> competent</w:t>
      </w:r>
      <w:r>
        <w:rPr>
          <w:color w:val="231F20"/>
          <w:w w:val="105"/>
          <w:sz w:val="17"/>
        </w:rPr>
        <w:t> authority(ies), respectively, shall be made as soon as practicable and it shall be immediate whenever an emergency exposure situation has developed or is developing.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591424">
                <wp:simplePos x="0" y="0"/>
                <wp:positionH relativeFrom="page">
                  <wp:posOffset>899999</wp:posOffset>
                </wp:positionH>
                <wp:positionV relativeFrom="paragraph">
                  <wp:posOffset>269862</wp:posOffset>
                </wp:positionV>
                <wp:extent cx="6120130" cy="635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120130" cy="6350"/>
                          <a:chExt cx="6120130" cy="6350"/>
                        </a:xfrm>
                      </wpg:grpSpPr>
                      <wps:wsp>
                        <wps:cNvPr id="29" name="Graphic 29"/>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0" name="Graphic 30"/>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1.249023pt;width:481.9pt;height:.5pt;mso-position-horizontal-relative:page;mso-position-vertical-relative:paragraph;z-index:-15725056;mso-wrap-distance-left:0;mso-wrap-distance-right:0" id="docshapegroup24" coordorigin="1417,425" coordsize="9638,10">
                <v:line style="position:absolute" from="5953,430" to="11055,430" stroked="true" strokeweight=".5pt" strokecolor="#231f20">
                  <v:stroke dashstyle="solid"/>
                </v:line>
                <v:line style="position:absolute" from="1417,430" to="5953,430" stroked="true" strokeweight=".5pt" strokecolor="#231f20">
                  <v:stroke dashstyle="solid"/>
                </v:line>
                <w10:wrap type="topAndBottom"/>
              </v:group>
            </w:pict>
          </mc:Fallback>
        </mc:AlternateContent>
      </w:r>
    </w:p>
    <w:sectPr>
      <w:headerReference w:type="default" r:id="rId9"/>
      <w:footerReference w:type="default" r:id="rId10"/>
      <w:pgSz w:w="11910" w:h="16840"/>
      <w:pgMar w:header="303" w:footer="611" w:top="720" w:bottom="8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5984">
              <wp:simplePos x="0" y="0"/>
              <wp:positionH relativeFrom="page">
                <wp:posOffset>887299</wp:posOffset>
              </wp:positionH>
              <wp:positionV relativeFrom="page">
                <wp:posOffset>10164177</wp:posOffset>
              </wp:positionV>
              <wp:extent cx="2842895" cy="1784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42895" cy="178435"/>
                      </a:xfrm>
                      <a:prstGeom prst="rect">
                        <a:avLst/>
                      </a:prstGeom>
                    </wps:spPr>
                    <wps:txbx>
                      <w:txbxContent>
                        <w:p>
                          <w:pPr>
                            <w:spacing w:before="30"/>
                            <w:ind w:left="20" w:right="0" w:firstLine="0"/>
                            <w:jc w:val="left"/>
                            <w:rPr>
                              <w:sz w:val="20"/>
                            </w:rPr>
                          </w:pPr>
                          <w:r>
                            <w:rPr>
                              <w:rFonts w:ascii="Arial"/>
                              <w:b/>
                              <w:color w:val="231F20"/>
                              <w:sz w:val="20"/>
                            </w:rPr>
                            <w:t>IMDG</w:t>
                          </w:r>
                          <w:r>
                            <w:rPr>
                              <w:rFonts w:ascii="Arial"/>
                              <w:b/>
                              <w:color w:val="231F20"/>
                              <w:spacing w:val="6"/>
                              <w:sz w:val="20"/>
                            </w:rPr>
                            <w:t> </w:t>
                          </w:r>
                          <w:r>
                            <w:rPr>
                              <w:rFonts w:ascii="Arial"/>
                              <w:b/>
                              <w:color w:val="231F20"/>
                              <w:sz w:val="20"/>
                            </w:rPr>
                            <w:t>Code</w:t>
                          </w:r>
                          <w:r>
                            <w:rPr>
                              <w:rFonts w:ascii="Arial"/>
                              <w:b/>
                              <w:color w:val="231F20"/>
                              <w:spacing w:val="6"/>
                              <w:sz w:val="20"/>
                            </w:rPr>
                            <w:t> </w:t>
                          </w:r>
                          <w:r>
                            <w:rPr>
                              <w:rFonts w:ascii="Arial"/>
                              <w:b/>
                              <w:color w:val="231F20"/>
                              <w:sz w:val="20"/>
                            </w:rPr>
                            <w:t>(Amendment</w:t>
                          </w:r>
                          <w:r>
                            <w:rPr>
                              <w:rFonts w:ascii="Arial"/>
                              <w:b/>
                              <w:color w:val="231F20"/>
                              <w:spacing w:val="7"/>
                              <w:sz w:val="20"/>
                            </w:rPr>
                            <w:t> </w:t>
                          </w:r>
                          <w:r>
                            <w:rPr>
                              <w:rFonts w:ascii="Arial"/>
                              <w:b/>
                              <w:color w:val="231F20"/>
                              <w:sz w:val="20"/>
                            </w:rPr>
                            <w:t>42-24)</w:t>
                          </w:r>
                          <w:r>
                            <w:rPr>
                              <w:rFonts w:ascii="Arial"/>
                              <w:b/>
                              <w:color w:val="231F20"/>
                              <w:spacing w:val="54"/>
                              <w:sz w:val="20"/>
                            </w:rPr>
                            <w:t> </w:t>
                          </w:r>
                          <w:r>
                            <w:rPr>
                              <w:color w:val="231F20"/>
                              <w:sz w:val="20"/>
                            </w:rPr>
                            <w:t>2024</w:t>
                          </w:r>
                          <w:r>
                            <w:rPr>
                              <w:color w:val="231F20"/>
                              <w:spacing w:val="7"/>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328918pt;width:223.85pt;height:14.05pt;mso-position-horizontal-relative:page;mso-position-vertical-relative:page;z-index:-15850496" type="#_x0000_t202" id="docshape2" filled="false" stroked="false">
              <v:textbox inset="0,0,0,0">
                <w:txbxContent>
                  <w:p>
                    <w:pPr>
                      <w:spacing w:before="30"/>
                      <w:ind w:left="20" w:right="0" w:firstLine="0"/>
                      <w:jc w:val="left"/>
                      <w:rPr>
                        <w:sz w:val="20"/>
                      </w:rPr>
                    </w:pPr>
                    <w:r>
                      <w:rPr>
                        <w:rFonts w:ascii="Arial"/>
                        <w:b/>
                        <w:color w:val="231F20"/>
                        <w:sz w:val="20"/>
                      </w:rPr>
                      <w:t>IMDG</w:t>
                    </w:r>
                    <w:r>
                      <w:rPr>
                        <w:rFonts w:ascii="Arial"/>
                        <w:b/>
                        <w:color w:val="231F20"/>
                        <w:spacing w:val="6"/>
                        <w:sz w:val="20"/>
                      </w:rPr>
                      <w:t> </w:t>
                    </w:r>
                    <w:r>
                      <w:rPr>
                        <w:rFonts w:ascii="Arial"/>
                        <w:b/>
                        <w:color w:val="231F20"/>
                        <w:sz w:val="20"/>
                      </w:rPr>
                      <w:t>Code</w:t>
                    </w:r>
                    <w:r>
                      <w:rPr>
                        <w:rFonts w:ascii="Arial"/>
                        <w:b/>
                        <w:color w:val="231F20"/>
                        <w:spacing w:val="6"/>
                        <w:sz w:val="20"/>
                      </w:rPr>
                      <w:t> </w:t>
                    </w:r>
                    <w:r>
                      <w:rPr>
                        <w:rFonts w:ascii="Arial"/>
                        <w:b/>
                        <w:color w:val="231F20"/>
                        <w:sz w:val="20"/>
                      </w:rPr>
                      <w:t>(Amendment</w:t>
                    </w:r>
                    <w:r>
                      <w:rPr>
                        <w:rFonts w:ascii="Arial"/>
                        <w:b/>
                        <w:color w:val="231F20"/>
                        <w:spacing w:val="7"/>
                        <w:sz w:val="20"/>
                      </w:rPr>
                      <w:t> </w:t>
                    </w:r>
                    <w:r>
                      <w:rPr>
                        <w:rFonts w:ascii="Arial"/>
                        <w:b/>
                        <w:color w:val="231F20"/>
                        <w:sz w:val="20"/>
                      </w:rPr>
                      <w:t>42-24)</w:t>
                    </w:r>
                    <w:r>
                      <w:rPr>
                        <w:rFonts w:ascii="Arial"/>
                        <w:b/>
                        <w:color w:val="231F20"/>
                        <w:spacing w:val="54"/>
                        <w:sz w:val="20"/>
                      </w:rPr>
                      <w:t> </w:t>
                    </w:r>
                    <w:r>
                      <w:rPr>
                        <w:color w:val="231F20"/>
                        <w:sz w:val="20"/>
                      </w:rPr>
                      <w:t>2024</w:t>
                    </w:r>
                    <w:r>
                      <w:rPr>
                        <w:color w:val="231F20"/>
                        <w:spacing w:val="7"/>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66496">
              <wp:simplePos x="0" y="0"/>
              <wp:positionH relativeFrom="page">
                <wp:posOffset>6864170</wp:posOffset>
              </wp:positionH>
              <wp:positionV relativeFrom="page">
                <wp:posOffset>10168114</wp:posOffset>
              </wp:positionV>
              <wp:extent cx="170815" cy="1752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0815" cy="175260"/>
                      </a:xfrm>
                      <a:prstGeom prst="rect">
                        <a:avLst/>
                      </a:prstGeom>
                    </wps:spPr>
                    <wps:txbx>
                      <w:txbxContent>
                        <w:p>
                          <w:pPr>
                            <w:spacing w:before="24"/>
                            <w:ind w:left="20" w:right="0" w:firstLine="0"/>
                            <w:jc w:val="left"/>
                            <w:rPr>
                              <w:sz w:val="20"/>
                            </w:rPr>
                          </w:pPr>
                          <w:r>
                            <w:rPr>
                              <w:color w:val="231F20"/>
                              <w:spacing w:val="-5"/>
                              <w:sz w:val="20"/>
                            </w:rPr>
                            <w:t>39</w:t>
                          </w:r>
                        </w:p>
                      </w:txbxContent>
                    </wps:txbx>
                    <wps:bodyPr wrap="square" lIns="0" tIns="0" rIns="0" bIns="0" rtlCol="0">
                      <a:noAutofit/>
                    </wps:bodyPr>
                  </wps:wsp>
                </a:graphicData>
              </a:graphic>
            </wp:anchor>
          </w:drawing>
        </mc:Choice>
        <mc:Fallback>
          <w:pict>
            <v:shape style="position:absolute;margin-left:540.485901pt;margin-top:800.638916pt;width:13.45pt;height:13.8pt;mso-position-horizontal-relative:page;mso-position-vertical-relative:page;z-index:-15849984" type="#_x0000_t202" id="docshape3" filled="false" stroked="false">
              <v:textbox inset="0,0,0,0">
                <w:txbxContent>
                  <w:p>
                    <w:pPr>
                      <w:spacing w:before="24"/>
                      <w:ind w:left="20" w:right="0" w:firstLine="0"/>
                      <w:jc w:val="left"/>
                      <w:rPr>
                        <w:sz w:val="20"/>
                      </w:rPr>
                    </w:pPr>
                    <w:r>
                      <w:rPr>
                        <w:color w:val="231F20"/>
                        <w:spacing w:val="-5"/>
                        <w:sz w:val="20"/>
                      </w:rPr>
                      <w:t>39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7520">
              <wp:simplePos x="0" y="0"/>
              <wp:positionH relativeFrom="page">
                <wp:posOffset>3830341</wp:posOffset>
              </wp:positionH>
              <wp:positionV relativeFrom="page">
                <wp:posOffset>10164177</wp:posOffset>
              </wp:positionV>
              <wp:extent cx="2842895" cy="1784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842895" cy="178435"/>
                      </a:xfrm>
                      <a:prstGeom prst="rect">
                        <a:avLst/>
                      </a:prstGeom>
                    </wps:spPr>
                    <wps:txbx>
                      <w:txbxContent>
                        <w:p>
                          <w:pPr>
                            <w:spacing w:before="30"/>
                            <w:ind w:left="20" w:right="0" w:firstLine="0"/>
                            <w:jc w:val="left"/>
                            <w:rPr>
                              <w:sz w:val="20"/>
                            </w:rPr>
                          </w:pPr>
                          <w:r>
                            <w:rPr>
                              <w:rFonts w:ascii="Arial"/>
                              <w:b/>
                              <w:color w:val="231F20"/>
                              <w:sz w:val="20"/>
                            </w:rPr>
                            <w:t>IMDG</w:t>
                          </w:r>
                          <w:r>
                            <w:rPr>
                              <w:rFonts w:ascii="Arial"/>
                              <w:b/>
                              <w:color w:val="231F20"/>
                              <w:spacing w:val="6"/>
                              <w:sz w:val="20"/>
                            </w:rPr>
                            <w:t> </w:t>
                          </w:r>
                          <w:r>
                            <w:rPr>
                              <w:rFonts w:ascii="Arial"/>
                              <w:b/>
                              <w:color w:val="231F20"/>
                              <w:sz w:val="20"/>
                            </w:rPr>
                            <w:t>Code</w:t>
                          </w:r>
                          <w:r>
                            <w:rPr>
                              <w:rFonts w:ascii="Arial"/>
                              <w:b/>
                              <w:color w:val="231F20"/>
                              <w:spacing w:val="6"/>
                              <w:sz w:val="20"/>
                            </w:rPr>
                            <w:t> </w:t>
                          </w:r>
                          <w:r>
                            <w:rPr>
                              <w:rFonts w:ascii="Arial"/>
                              <w:b/>
                              <w:color w:val="231F20"/>
                              <w:sz w:val="20"/>
                            </w:rPr>
                            <w:t>(Amendment</w:t>
                          </w:r>
                          <w:r>
                            <w:rPr>
                              <w:rFonts w:ascii="Arial"/>
                              <w:b/>
                              <w:color w:val="231F20"/>
                              <w:spacing w:val="7"/>
                              <w:sz w:val="20"/>
                            </w:rPr>
                            <w:t> </w:t>
                          </w:r>
                          <w:r>
                            <w:rPr>
                              <w:rFonts w:ascii="Arial"/>
                              <w:b/>
                              <w:color w:val="231F20"/>
                              <w:sz w:val="20"/>
                            </w:rPr>
                            <w:t>42-24)</w:t>
                          </w:r>
                          <w:r>
                            <w:rPr>
                              <w:rFonts w:ascii="Arial"/>
                              <w:b/>
                              <w:color w:val="231F20"/>
                              <w:spacing w:val="54"/>
                              <w:sz w:val="20"/>
                            </w:rPr>
                            <w:t> </w:t>
                          </w:r>
                          <w:r>
                            <w:rPr>
                              <w:color w:val="231F20"/>
                              <w:sz w:val="20"/>
                            </w:rPr>
                            <w:t>2024</w:t>
                          </w:r>
                          <w:r>
                            <w:rPr>
                              <w:color w:val="231F20"/>
                              <w:spacing w:val="7"/>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1.601715pt;margin-top:800.328918pt;width:223.85pt;height:14.05pt;mso-position-horizontal-relative:page;mso-position-vertical-relative:page;z-index:-15848960" type="#_x0000_t202" id="docshape10" filled="false" stroked="false">
              <v:textbox inset="0,0,0,0">
                <w:txbxContent>
                  <w:p>
                    <w:pPr>
                      <w:spacing w:before="30"/>
                      <w:ind w:left="20" w:right="0" w:firstLine="0"/>
                      <w:jc w:val="left"/>
                      <w:rPr>
                        <w:sz w:val="20"/>
                      </w:rPr>
                    </w:pPr>
                    <w:r>
                      <w:rPr>
                        <w:rFonts w:ascii="Arial"/>
                        <w:b/>
                        <w:color w:val="231F20"/>
                        <w:sz w:val="20"/>
                      </w:rPr>
                      <w:t>IMDG</w:t>
                    </w:r>
                    <w:r>
                      <w:rPr>
                        <w:rFonts w:ascii="Arial"/>
                        <w:b/>
                        <w:color w:val="231F20"/>
                        <w:spacing w:val="6"/>
                        <w:sz w:val="20"/>
                      </w:rPr>
                      <w:t> </w:t>
                    </w:r>
                    <w:r>
                      <w:rPr>
                        <w:rFonts w:ascii="Arial"/>
                        <w:b/>
                        <w:color w:val="231F20"/>
                        <w:sz w:val="20"/>
                      </w:rPr>
                      <w:t>Code</w:t>
                    </w:r>
                    <w:r>
                      <w:rPr>
                        <w:rFonts w:ascii="Arial"/>
                        <w:b/>
                        <w:color w:val="231F20"/>
                        <w:spacing w:val="6"/>
                        <w:sz w:val="20"/>
                      </w:rPr>
                      <w:t> </w:t>
                    </w:r>
                    <w:r>
                      <w:rPr>
                        <w:rFonts w:ascii="Arial"/>
                        <w:b/>
                        <w:color w:val="231F20"/>
                        <w:sz w:val="20"/>
                      </w:rPr>
                      <w:t>(Amendment</w:t>
                    </w:r>
                    <w:r>
                      <w:rPr>
                        <w:rFonts w:ascii="Arial"/>
                        <w:b/>
                        <w:color w:val="231F20"/>
                        <w:spacing w:val="7"/>
                        <w:sz w:val="20"/>
                      </w:rPr>
                      <w:t> </w:t>
                    </w:r>
                    <w:r>
                      <w:rPr>
                        <w:rFonts w:ascii="Arial"/>
                        <w:b/>
                        <w:color w:val="231F20"/>
                        <w:sz w:val="20"/>
                      </w:rPr>
                      <w:t>42-24)</w:t>
                    </w:r>
                    <w:r>
                      <w:rPr>
                        <w:rFonts w:ascii="Arial"/>
                        <w:b/>
                        <w:color w:val="231F20"/>
                        <w:spacing w:val="54"/>
                        <w:sz w:val="20"/>
                      </w:rPr>
                      <w:t> </w:t>
                    </w:r>
                    <w:r>
                      <w:rPr>
                        <w:color w:val="231F20"/>
                        <w:sz w:val="20"/>
                      </w:rPr>
                      <w:t>2024</w:t>
                    </w:r>
                    <w:r>
                      <w:rPr>
                        <w:color w:val="231F20"/>
                        <w:spacing w:val="7"/>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68032">
              <wp:simplePos x="0" y="0"/>
              <wp:positionH relativeFrom="page">
                <wp:posOffset>527300</wp:posOffset>
              </wp:positionH>
              <wp:positionV relativeFrom="page">
                <wp:posOffset>10168114</wp:posOffset>
              </wp:positionV>
              <wp:extent cx="168910" cy="1752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8910" cy="175260"/>
                      </a:xfrm>
                      <a:prstGeom prst="rect">
                        <a:avLst/>
                      </a:prstGeom>
                    </wps:spPr>
                    <wps:txbx>
                      <w:txbxContent>
                        <w:p>
                          <w:pPr>
                            <w:spacing w:before="24"/>
                            <w:ind w:left="20" w:right="0" w:firstLine="0"/>
                            <w:jc w:val="left"/>
                            <w:rPr>
                              <w:sz w:val="20"/>
                            </w:rPr>
                          </w:pPr>
                          <w:r>
                            <w:rPr>
                              <w:color w:val="231F20"/>
                              <w:spacing w:val="-5"/>
                              <w:sz w:val="20"/>
                            </w:rPr>
                            <w:t>40</w:t>
                          </w:r>
                        </w:p>
                      </w:txbxContent>
                    </wps:txbx>
                    <wps:bodyPr wrap="square" lIns="0" tIns="0" rIns="0" bIns="0" rtlCol="0">
                      <a:noAutofit/>
                    </wps:bodyPr>
                  </wps:wsp>
                </a:graphicData>
              </a:graphic>
            </wp:anchor>
          </w:drawing>
        </mc:Choice>
        <mc:Fallback>
          <w:pict>
            <v:shape style="position:absolute;margin-left:41.519699pt;margin-top:800.638916pt;width:13.3pt;height:13.8pt;mso-position-horizontal-relative:page;mso-position-vertical-relative:page;z-index:-15848448" type="#_x0000_t202" id="docshape11" filled="false" stroked="false">
              <v:textbox inset="0,0,0,0">
                <w:txbxContent>
                  <w:p>
                    <w:pPr>
                      <w:spacing w:before="24"/>
                      <w:ind w:left="20" w:right="0" w:firstLine="0"/>
                      <w:jc w:val="left"/>
                      <w:rPr>
                        <w:sz w:val="20"/>
                      </w:rPr>
                    </w:pPr>
                    <w:r>
                      <w:rPr>
                        <w:color w:val="231F20"/>
                        <w:spacing w:val="-5"/>
                        <w:sz w:val="20"/>
                      </w:rPr>
                      <w:t>40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9056">
              <wp:simplePos x="0" y="0"/>
              <wp:positionH relativeFrom="page">
                <wp:posOffset>887299</wp:posOffset>
              </wp:positionH>
              <wp:positionV relativeFrom="page">
                <wp:posOffset>10164177</wp:posOffset>
              </wp:positionV>
              <wp:extent cx="2842895" cy="1784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842895" cy="178435"/>
                      </a:xfrm>
                      <a:prstGeom prst="rect">
                        <a:avLst/>
                      </a:prstGeom>
                    </wps:spPr>
                    <wps:txbx>
                      <w:txbxContent>
                        <w:p>
                          <w:pPr>
                            <w:spacing w:before="30"/>
                            <w:ind w:left="20" w:right="0" w:firstLine="0"/>
                            <w:jc w:val="left"/>
                            <w:rPr>
                              <w:sz w:val="20"/>
                            </w:rPr>
                          </w:pPr>
                          <w:r>
                            <w:rPr>
                              <w:rFonts w:ascii="Arial"/>
                              <w:b/>
                              <w:color w:val="231F20"/>
                              <w:sz w:val="20"/>
                            </w:rPr>
                            <w:t>IMDG</w:t>
                          </w:r>
                          <w:r>
                            <w:rPr>
                              <w:rFonts w:ascii="Arial"/>
                              <w:b/>
                              <w:color w:val="231F20"/>
                              <w:spacing w:val="6"/>
                              <w:sz w:val="20"/>
                            </w:rPr>
                            <w:t> </w:t>
                          </w:r>
                          <w:r>
                            <w:rPr>
                              <w:rFonts w:ascii="Arial"/>
                              <w:b/>
                              <w:color w:val="231F20"/>
                              <w:sz w:val="20"/>
                            </w:rPr>
                            <w:t>Code</w:t>
                          </w:r>
                          <w:r>
                            <w:rPr>
                              <w:rFonts w:ascii="Arial"/>
                              <w:b/>
                              <w:color w:val="231F20"/>
                              <w:spacing w:val="6"/>
                              <w:sz w:val="20"/>
                            </w:rPr>
                            <w:t> </w:t>
                          </w:r>
                          <w:r>
                            <w:rPr>
                              <w:rFonts w:ascii="Arial"/>
                              <w:b/>
                              <w:color w:val="231F20"/>
                              <w:sz w:val="20"/>
                            </w:rPr>
                            <w:t>(Amendment</w:t>
                          </w:r>
                          <w:r>
                            <w:rPr>
                              <w:rFonts w:ascii="Arial"/>
                              <w:b/>
                              <w:color w:val="231F20"/>
                              <w:spacing w:val="7"/>
                              <w:sz w:val="20"/>
                            </w:rPr>
                            <w:t> </w:t>
                          </w:r>
                          <w:r>
                            <w:rPr>
                              <w:rFonts w:ascii="Arial"/>
                              <w:b/>
                              <w:color w:val="231F20"/>
                              <w:sz w:val="20"/>
                            </w:rPr>
                            <w:t>42-24)</w:t>
                          </w:r>
                          <w:r>
                            <w:rPr>
                              <w:rFonts w:ascii="Arial"/>
                              <w:b/>
                              <w:color w:val="231F20"/>
                              <w:spacing w:val="54"/>
                              <w:sz w:val="20"/>
                            </w:rPr>
                            <w:t> </w:t>
                          </w:r>
                          <w:r>
                            <w:rPr>
                              <w:color w:val="231F20"/>
                              <w:sz w:val="20"/>
                            </w:rPr>
                            <w:t>2024</w:t>
                          </w:r>
                          <w:r>
                            <w:rPr>
                              <w:color w:val="231F20"/>
                              <w:spacing w:val="7"/>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328918pt;width:223.85pt;height:14.05pt;mso-position-horizontal-relative:page;mso-position-vertical-relative:page;z-index:-15847424" type="#_x0000_t202" id="docshape18" filled="false" stroked="false">
              <v:textbox inset="0,0,0,0">
                <w:txbxContent>
                  <w:p>
                    <w:pPr>
                      <w:spacing w:before="30"/>
                      <w:ind w:left="20" w:right="0" w:firstLine="0"/>
                      <w:jc w:val="left"/>
                      <w:rPr>
                        <w:sz w:val="20"/>
                      </w:rPr>
                    </w:pPr>
                    <w:r>
                      <w:rPr>
                        <w:rFonts w:ascii="Arial"/>
                        <w:b/>
                        <w:color w:val="231F20"/>
                        <w:sz w:val="20"/>
                      </w:rPr>
                      <w:t>IMDG</w:t>
                    </w:r>
                    <w:r>
                      <w:rPr>
                        <w:rFonts w:ascii="Arial"/>
                        <w:b/>
                        <w:color w:val="231F20"/>
                        <w:spacing w:val="6"/>
                        <w:sz w:val="20"/>
                      </w:rPr>
                      <w:t> </w:t>
                    </w:r>
                    <w:r>
                      <w:rPr>
                        <w:rFonts w:ascii="Arial"/>
                        <w:b/>
                        <w:color w:val="231F20"/>
                        <w:sz w:val="20"/>
                      </w:rPr>
                      <w:t>Code</w:t>
                    </w:r>
                    <w:r>
                      <w:rPr>
                        <w:rFonts w:ascii="Arial"/>
                        <w:b/>
                        <w:color w:val="231F20"/>
                        <w:spacing w:val="6"/>
                        <w:sz w:val="20"/>
                      </w:rPr>
                      <w:t> </w:t>
                    </w:r>
                    <w:r>
                      <w:rPr>
                        <w:rFonts w:ascii="Arial"/>
                        <w:b/>
                        <w:color w:val="231F20"/>
                        <w:sz w:val="20"/>
                      </w:rPr>
                      <w:t>(Amendment</w:t>
                    </w:r>
                    <w:r>
                      <w:rPr>
                        <w:rFonts w:ascii="Arial"/>
                        <w:b/>
                        <w:color w:val="231F20"/>
                        <w:spacing w:val="7"/>
                        <w:sz w:val="20"/>
                      </w:rPr>
                      <w:t> </w:t>
                    </w:r>
                    <w:r>
                      <w:rPr>
                        <w:rFonts w:ascii="Arial"/>
                        <w:b/>
                        <w:color w:val="231F20"/>
                        <w:sz w:val="20"/>
                      </w:rPr>
                      <w:t>42-24)</w:t>
                    </w:r>
                    <w:r>
                      <w:rPr>
                        <w:rFonts w:ascii="Arial"/>
                        <w:b/>
                        <w:color w:val="231F20"/>
                        <w:spacing w:val="54"/>
                        <w:sz w:val="20"/>
                      </w:rPr>
                      <w:t> </w:t>
                    </w:r>
                    <w:r>
                      <w:rPr>
                        <w:color w:val="231F20"/>
                        <w:sz w:val="20"/>
                      </w:rPr>
                      <w:t>2024</w:t>
                    </w:r>
                    <w:r>
                      <w:rPr>
                        <w:color w:val="231F20"/>
                        <w:spacing w:val="7"/>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69568">
              <wp:simplePos x="0" y="0"/>
              <wp:positionH relativeFrom="page">
                <wp:posOffset>6871372</wp:posOffset>
              </wp:positionH>
              <wp:positionV relativeFrom="page">
                <wp:posOffset>10168114</wp:posOffset>
              </wp:positionV>
              <wp:extent cx="156210" cy="17526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6210" cy="175260"/>
                      </a:xfrm>
                      <a:prstGeom prst="rect">
                        <a:avLst/>
                      </a:prstGeom>
                    </wps:spPr>
                    <wps:txbx>
                      <w:txbxContent>
                        <w:p>
                          <w:pPr>
                            <w:spacing w:before="24"/>
                            <w:ind w:left="20" w:right="0" w:firstLine="0"/>
                            <w:jc w:val="left"/>
                            <w:rPr>
                              <w:sz w:val="20"/>
                            </w:rPr>
                          </w:pPr>
                          <w:r>
                            <w:rPr>
                              <w:color w:val="231F20"/>
                              <w:spacing w:val="-5"/>
                              <w:sz w:val="20"/>
                            </w:rPr>
                            <w:t>41</w:t>
                          </w:r>
                        </w:p>
                      </w:txbxContent>
                    </wps:txbx>
                    <wps:bodyPr wrap="square" lIns="0" tIns="0" rIns="0" bIns="0" rtlCol="0">
                      <a:noAutofit/>
                    </wps:bodyPr>
                  </wps:wsp>
                </a:graphicData>
              </a:graphic>
            </wp:anchor>
          </w:drawing>
        </mc:Choice>
        <mc:Fallback>
          <w:pict>
            <v:shape style="position:absolute;margin-left:541.052917pt;margin-top:800.638916pt;width:12.3pt;height:13.8pt;mso-position-horizontal-relative:page;mso-position-vertical-relative:page;z-index:-15846912" type="#_x0000_t202" id="docshape19" filled="false" stroked="false">
              <v:textbox inset="0,0,0,0">
                <w:txbxContent>
                  <w:p>
                    <w:pPr>
                      <w:spacing w:before="24"/>
                      <w:ind w:left="20" w:right="0" w:firstLine="0"/>
                      <w:jc w:val="left"/>
                      <w:rPr>
                        <w:sz w:val="20"/>
                      </w:rPr>
                    </w:pPr>
                    <w:r>
                      <w:rPr>
                        <w:color w:val="231F20"/>
                        <w:spacing w:val="-5"/>
                        <w:sz w:val="20"/>
                      </w:rPr>
                      <w:t>41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5472">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5851008" type="#_x0000_t202" id="docshape1"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7008">
              <wp:simplePos x="0" y="0"/>
              <wp:positionH relativeFrom="page">
                <wp:posOffset>6041519</wp:posOffset>
              </wp:positionH>
              <wp:positionV relativeFrom="page">
                <wp:posOffset>179815</wp:posOffset>
              </wp:positionV>
              <wp:extent cx="1029335" cy="29083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849472" type="#_x0000_t202" id="docshape9"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51</w:t>
                    </w:r>
                    <w:r>
                      <w:rPr>
                        <w:spacing w:val="-5"/>
                        <w:sz w:val="18"/>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8544">
              <wp:simplePos x="0" y="0"/>
              <wp:positionH relativeFrom="page">
                <wp:posOffset>6041519</wp:posOffset>
              </wp:positionH>
              <wp:positionV relativeFrom="page">
                <wp:posOffset>179815</wp:posOffset>
              </wp:positionV>
              <wp:extent cx="1029335" cy="29083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847936" type="#_x0000_t202" id="docshape17"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w:t>
                    </w:r>
                    <w:r>
                      <w:rPr>
                        <w:spacing w:val="-5"/>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321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5">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4">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
    <w:multiLevelType w:val="hybridMultilevel"/>
    <w:lvl w:ilvl="0">
      <w:start w:val="1"/>
      <w:numFmt w:val="decimal"/>
      <w:lvlText w:val=".%1"/>
      <w:lvlJc w:val="left"/>
      <w:pPr>
        <w:ind w:left="2857"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1"/>
      <w:numFmt w:val="decimal"/>
      <w:lvlText w:val="%1"/>
      <w:lvlJc w:val="left"/>
      <w:pPr>
        <w:ind w:left="2497" w:hanging="1080"/>
        <w:jc w:val="left"/>
      </w:pPr>
      <w:rPr>
        <w:rFonts w:hint="default"/>
        <w:lang w:val="en-US" w:eastAsia="en-US" w:bidi="ar-SA"/>
      </w:rPr>
    </w:lvl>
    <w:lvl w:ilvl="1">
      <w:start w:val="5"/>
      <w:numFmt w:val="decimal"/>
      <w:lvlText w:val="%1.%2"/>
      <w:lvlJc w:val="left"/>
      <w:pPr>
        <w:ind w:left="2497" w:hanging="1080"/>
        <w:jc w:val="left"/>
      </w:pPr>
      <w:rPr>
        <w:rFonts w:hint="default"/>
        <w:lang w:val="en-US" w:eastAsia="en-US" w:bidi="ar-SA"/>
      </w:rPr>
    </w:lvl>
    <w:lvl w:ilvl="2">
      <w:start w:val="1"/>
      <w:numFmt w:val="decimal"/>
      <w:lvlText w:val="%1.%2.%3"/>
      <w:lvlJc w:val="left"/>
      <w:pPr>
        <w:ind w:left="2497"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2497" w:hanging="1080"/>
        <w:jc w:val="left"/>
      </w:pPr>
      <w:rPr>
        <w:rFonts w:hint="default"/>
        <w:spacing w:val="-10"/>
        <w:w w:val="102"/>
        <w:lang w:val="en-US" w:eastAsia="en-US" w:bidi="ar-SA"/>
      </w:rPr>
    </w:lvl>
    <w:lvl w:ilvl="4">
      <w:start w:val="1"/>
      <w:numFmt w:val="decimal"/>
      <w:lvlText w:val="%1.%2.%3.%4.%5"/>
      <w:lvlJc w:val="left"/>
      <w:pPr>
        <w:ind w:left="193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6680" w:hanging="1080"/>
      </w:pPr>
      <w:rPr>
        <w:rFonts w:hint="default"/>
        <w:lang w:val="en-US" w:eastAsia="en-US" w:bidi="ar-SA"/>
      </w:rPr>
    </w:lvl>
    <w:lvl w:ilvl="6">
      <w:start w:val="0"/>
      <w:numFmt w:val="bullet"/>
      <w:lvlText w:val="•"/>
      <w:lvlJc w:val="left"/>
      <w:pPr>
        <w:ind w:left="7725" w:hanging="1080"/>
      </w:pPr>
      <w:rPr>
        <w:rFonts w:hint="default"/>
        <w:lang w:val="en-US" w:eastAsia="en-US" w:bidi="ar-SA"/>
      </w:rPr>
    </w:lvl>
    <w:lvl w:ilvl="7">
      <w:start w:val="0"/>
      <w:numFmt w:val="bullet"/>
      <w:lvlText w:val="•"/>
      <w:lvlJc w:val="left"/>
      <w:pPr>
        <w:ind w:left="8770" w:hanging="1080"/>
      </w:pPr>
      <w:rPr>
        <w:rFonts w:hint="default"/>
        <w:lang w:val="en-US" w:eastAsia="en-US" w:bidi="ar-SA"/>
      </w:rPr>
    </w:lvl>
    <w:lvl w:ilvl="8">
      <w:start w:val="0"/>
      <w:numFmt w:val="bullet"/>
      <w:lvlText w:val="•"/>
      <w:lvlJc w:val="left"/>
      <w:pPr>
        <w:ind w:left="9815" w:hanging="1080"/>
      </w:pPr>
      <w:rPr>
        <w:rFonts w:hint="default"/>
        <w:lang w:val="en-US" w:eastAsia="en-US" w:bidi="ar-SA"/>
      </w:rPr>
    </w:lvl>
  </w:abstractNum>
  <w:num w:numId="7">
    <w:abstractNumId w:val="6"/>
  </w:num>
  <w:num w:numId="6">
    <w:abstractNumId w:val="5"/>
  </w:num>
  <w:num w:numId="5">
    <w:abstractNumId w:val="4"/>
  </w:num>
  <w:num w:numId="2">
    <w:abstractNumId w:val="1"/>
  </w:num>
  <w:num w:numId="3">
    <w:abstractNumId w:val="2"/>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249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right="78"/>
      <w:jc w:val="right"/>
      <w:outlineLvl w:val="2"/>
    </w:pPr>
    <w:rPr>
      <w:rFonts w:ascii="Arial MT" w:hAnsi="Arial MT" w:eastAsia="Arial MT" w:cs="Arial MT"/>
      <w:sz w:val="18"/>
      <w:szCs w:val="18"/>
      <w:lang w:val="en-US" w:eastAsia="en-US" w:bidi="ar-SA"/>
    </w:rPr>
  </w:style>
  <w:style w:styleId="Title" w:type="paragraph">
    <w:name w:val="Title"/>
    <w:basedOn w:val="Normal"/>
    <w:uiPriority w:val="1"/>
    <w:qFormat/>
    <w:pPr>
      <w:ind w:left="1417"/>
    </w:pPr>
    <w:rPr>
      <w:rFonts w:ascii="Arial MT" w:hAnsi="Arial MT" w:eastAsia="Arial MT" w:cs="Arial MT"/>
      <w:sz w:val="40"/>
      <w:szCs w:val="40"/>
      <w:lang w:val="en-US" w:eastAsia="en-US" w:bidi="ar-SA"/>
    </w:rPr>
  </w:style>
  <w:style w:styleId="ListParagraph" w:type="paragraph">
    <w:name w:val="List Paragraph"/>
    <w:basedOn w:val="Normal"/>
    <w:uiPriority w:val="1"/>
    <w:qFormat/>
    <w:pPr>
      <w:ind w:left="2497" w:hanging="1080"/>
      <w:jc w:val="both"/>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2026-06-20T02:46:28Z</dcterms:created>
  <dcterms:modified xsi:type="dcterms:W3CDTF">2026-06-20T02:46:28Z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