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7"/>
        <w:ind w:left="284" w:right="0" w:firstLine="0"/>
        <w:jc w:val="left"/>
        <w:rPr>
          <w:sz w:val="40"/>
        </w:rPr>
      </w:pPr>
      <w:r>
        <w:rPr>
          <w:color w:val="231F20"/>
          <w:sz w:val="40"/>
        </w:rPr>
        <w:t>Chapter</w:t>
      </w:r>
      <w:r>
        <w:rPr>
          <w:color w:val="231F20"/>
          <w:spacing w:val="32"/>
          <w:sz w:val="40"/>
        </w:rPr>
        <w:t> </w:t>
      </w:r>
      <w:r>
        <w:rPr>
          <w:color w:val="231F20"/>
          <w:spacing w:val="-4"/>
          <w:sz w:val="40"/>
        </w:rPr>
        <w:t>2.10</w:t>
      </w:r>
    </w:p>
    <w:p>
      <w:pPr>
        <w:pStyle w:val="BodyText"/>
        <w:spacing w:before="2"/>
        <w:ind w:left="0" w:firstLine="0"/>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60857</wp:posOffset>
                </wp:positionV>
                <wp:extent cx="612013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91953pt;width:481.9pt;height:.1pt;mso-position-horizontal-relative:page;mso-position-vertical-relative:paragraph;z-index:-15728640;mso-wrap-distance-left:0;mso-wrap-distance-right:0" id="docshape5" coordorigin="850,96" coordsize="9638,0" path="m850,96l10488,96e" filled="false" stroked="true" strokeweight="2pt" strokecolor="#231f20">
                <v:path arrowok="t"/>
                <v:stroke dashstyle="solid"/>
                <w10:wrap type="topAndBottom"/>
              </v:shape>
            </w:pict>
          </mc:Fallback>
        </mc:AlternateContent>
      </w:r>
    </w:p>
    <w:p>
      <w:pPr>
        <w:spacing w:before="62"/>
        <w:ind w:left="284" w:right="0" w:firstLine="0"/>
        <w:jc w:val="left"/>
        <w:rPr>
          <w:rFonts w:ascii="Arial"/>
          <w:i/>
          <w:sz w:val="36"/>
        </w:rPr>
      </w:pPr>
      <w:r>
        <w:rPr>
          <w:rFonts w:ascii="Arial"/>
          <w:i/>
          <w:color w:val="231F20"/>
          <w:sz w:val="36"/>
        </w:rPr>
        <w:t>Marine</w:t>
      </w:r>
      <w:r>
        <w:rPr>
          <w:rFonts w:ascii="Arial"/>
          <w:i/>
          <w:color w:val="231F20"/>
          <w:spacing w:val="-13"/>
          <w:sz w:val="36"/>
        </w:rPr>
        <w:t> </w:t>
      </w:r>
      <w:r>
        <w:rPr>
          <w:rFonts w:ascii="Arial"/>
          <w:i/>
          <w:color w:val="231F20"/>
          <w:spacing w:val="-2"/>
          <w:sz w:val="36"/>
        </w:rPr>
        <w:t>pollutants</w:t>
      </w:r>
    </w:p>
    <w:p>
      <w:pPr>
        <w:pStyle w:val="BodyText"/>
        <w:spacing w:before="383"/>
        <w:ind w:left="0" w:firstLine="0"/>
        <w:rPr>
          <w:rFonts w:ascii="Arial"/>
          <w:i/>
          <w:sz w:val="36"/>
        </w:rPr>
      </w:pPr>
    </w:p>
    <w:p>
      <w:pPr>
        <w:pStyle w:val="Heading1"/>
        <w:numPr>
          <w:ilvl w:val="2"/>
          <w:numId w:val="1"/>
        </w:numPr>
        <w:tabs>
          <w:tab w:pos="1364" w:val="left" w:leader="none"/>
        </w:tabs>
        <w:spacing w:line="240" w:lineRule="auto" w:before="0" w:after="0"/>
        <w:ind w:left="1364" w:right="0" w:hanging="1080"/>
        <w:jc w:val="left"/>
      </w:pPr>
      <w:r>
        <w:rPr>
          <w:color w:val="231F20"/>
          <w:spacing w:val="-2"/>
          <w:w w:val="105"/>
        </w:rPr>
        <w:t>Definition</w:t>
      </w:r>
    </w:p>
    <w:p>
      <w:pPr>
        <w:pStyle w:val="BodyText"/>
        <w:ind w:firstLine="0"/>
      </w:pPr>
      <w:r>
        <w:rPr>
          <w:rFonts w:ascii="Arial"/>
          <w:i/>
          <w:color w:val="231F20"/>
        </w:rPr>
        <w:t>Marine</w:t>
      </w:r>
      <w:r>
        <w:rPr>
          <w:rFonts w:ascii="Arial"/>
          <w:i/>
          <w:color w:val="231F20"/>
          <w:spacing w:val="6"/>
        </w:rPr>
        <w:t> </w:t>
      </w:r>
      <w:r>
        <w:rPr>
          <w:rFonts w:ascii="Arial"/>
          <w:i/>
          <w:color w:val="231F20"/>
        </w:rPr>
        <w:t>pollutants</w:t>
      </w:r>
      <w:r>
        <w:rPr>
          <w:rFonts w:ascii="Arial"/>
          <w:i/>
          <w:color w:val="231F20"/>
          <w:spacing w:val="6"/>
        </w:rPr>
        <w:t> </w:t>
      </w:r>
      <w:r>
        <w:rPr>
          <w:color w:val="231F20"/>
        </w:rPr>
        <w:t>means</w:t>
      </w:r>
      <w:r>
        <w:rPr>
          <w:color w:val="231F20"/>
          <w:spacing w:val="6"/>
        </w:rPr>
        <w:t> </w:t>
      </w:r>
      <w:r>
        <w:rPr>
          <w:color w:val="231F20"/>
        </w:rPr>
        <w:t>substances</w:t>
      </w:r>
      <w:r>
        <w:rPr>
          <w:color w:val="231F20"/>
          <w:spacing w:val="6"/>
        </w:rPr>
        <w:t> </w:t>
      </w:r>
      <w:r>
        <w:rPr>
          <w:color w:val="231F20"/>
        </w:rPr>
        <w:t>which</w:t>
      </w:r>
      <w:r>
        <w:rPr>
          <w:color w:val="231F20"/>
          <w:spacing w:val="6"/>
        </w:rPr>
        <w:t> </w:t>
      </w:r>
      <w:r>
        <w:rPr>
          <w:color w:val="231F20"/>
        </w:rPr>
        <w:t>are</w:t>
      </w:r>
      <w:r>
        <w:rPr>
          <w:color w:val="231F20"/>
          <w:spacing w:val="6"/>
        </w:rPr>
        <w:t> </w:t>
      </w:r>
      <w:r>
        <w:rPr>
          <w:color w:val="231F20"/>
        </w:rPr>
        <w:t>subject</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provisions</w:t>
      </w:r>
      <w:r>
        <w:rPr>
          <w:color w:val="231F20"/>
          <w:spacing w:val="6"/>
        </w:rPr>
        <w:t> </w:t>
      </w:r>
      <w:r>
        <w:rPr>
          <w:color w:val="231F20"/>
        </w:rPr>
        <w:t>of</w:t>
      </w:r>
      <w:r>
        <w:rPr>
          <w:color w:val="231F20"/>
          <w:spacing w:val="6"/>
        </w:rPr>
        <w:t> </w:t>
      </w:r>
      <w:r>
        <w:rPr>
          <w:color w:val="231F20"/>
        </w:rPr>
        <w:t>Annex</w:t>
      </w:r>
      <w:r>
        <w:rPr>
          <w:color w:val="231F20"/>
          <w:spacing w:val="6"/>
        </w:rPr>
        <w:t> </w:t>
      </w:r>
      <w:r>
        <w:rPr>
          <w:color w:val="231F20"/>
        </w:rPr>
        <w:t>III</w:t>
      </w:r>
      <w:r>
        <w:rPr>
          <w:color w:val="231F20"/>
          <w:spacing w:val="6"/>
        </w:rPr>
        <w:t> </w:t>
      </w:r>
      <w:r>
        <w:rPr>
          <w:color w:val="231F20"/>
        </w:rPr>
        <w:t>of</w:t>
      </w:r>
      <w:r>
        <w:rPr>
          <w:color w:val="231F20"/>
          <w:spacing w:val="6"/>
        </w:rPr>
        <w:t> </w:t>
      </w:r>
      <w:r>
        <w:rPr>
          <w:color w:val="231F20"/>
        </w:rPr>
        <w:t>MARPOL,</w:t>
      </w:r>
      <w:r>
        <w:rPr>
          <w:color w:val="231F20"/>
          <w:spacing w:val="6"/>
        </w:rPr>
        <w:t> </w:t>
      </w:r>
      <w:r>
        <w:rPr>
          <w:color w:val="231F20"/>
        </w:rPr>
        <w:t>as</w:t>
      </w:r>
      <w:r>
        <w:rPr>
          <w:color w:val="231F20"/>
          <w:spacing w:val="6"/>
        </w:rPr>
        <w:t> </w:t>
      </w:r>
      <w:r>
        <w:rPr>
          <w:color w:val="231F20"/>
          <w:spacing w:val="-2"/>
        </w:rPr>
        <w:t>amended.</w:t>
      </w:r>
    </w:p>
    <w:p>
      <w:pPr>
        <w:pStyle w:val="BodyText"/>
        <w:spacing w:before="162"/>
        <w:ind w:left="0" w:firstLine="0"/>
      </w:pPr>
    </w:p>
    <w:p>
      <w:pPr>
        <w:pStyle w:val="Heading1"/>
        <w:numPr>
          <w:ilvl w:val="2"/>
          <w:numId w:val="1"/>
        </w:numPr>
        <w:tabs>
          <w:tab w:pos="1364" w:val="left" w:leader="none"/>
        </w:tabs>
        <w:spacing w:line="240" w:lineRule="auto" w:before="0" w:after="0"/>
        <w:ind w:left="1364" w:right="0" w:hanging="1080"/>
        <w:jc w:val="left"/>
      </w:pPr>
      <w:r>
        <w:rPr>
          <w:color w:val="231F20"/>
        </w:rPr>
        <w:t>General</w:t>
      </w:r>
      <w:r>
        <w:rPr>
          <w:color w:val="231F20"/>
          <w:spacing w:val="11"/>
        </w:rPr>
        <w:t> </w:t>
      </w:r>
      <w:r>
        <w:rPr>
          <w:color w:val="231F20"/>
          <w:spacing w:val="-2"/>
        </w:rPr>
        <w:t>provisions</w:t>
      </w:r>
    </w:p>
    <w:p>
      <w:pPr>
        <w:pStyle w:val="ListParagraph"/>
        <w:numPr>
          <w:ilvl w:val="3"/>
          <w:numId w:val="1"/>
        </w:numPr>
        <w:tabs>
          <w:tab w:pos="1364" w:val="left" w:leader="none"/>
        </w:tabs>
        <w:spacing w:line="240" w:lineRule="auto" w:before="124" w:after="0"/>
        <w:ind w:left="1364" w:right="0" w:hanging="1080"/>
        <w:jc w:val="left"/>
        <w:rPr>
          <w:sz w:val="17"/>
        </w:rPr>
      </w:pPr>
      <w:r>
        <w:rPr>
          <w:color w:val="231F20"/>
          <w:w w:val="105"/>
          <w:sz w:val="17"/>
        </w:rPr>
        <w:t>Marine</w:t>
      </w:r>
      <w:r>
        <w:rPr>
          <w:color w:val="231F20"/>
          <w:spacing w:val="-5"/>
          <w:w w:val="105"/>
          <w:sz w:val="17"/>
        </w:rPr>
        <w:t> </w:t>
      </w:r>
      <w:r>
        <w:rPr>
          <w:color w:val="231F20"/>
          <w:w w:val="105"/>
          <w:sz w:val="17"/>
        </w:rPr>
        <w:t>pollutants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transported</w:t>
      </w:r>
      <w:r>
        <w:rPr>
          <w:color w:val="231F20"/>
          <w:spacing w:val="-4"/>
          <w:w w:val="105"/>
          <w:sz w:val="17"/>
        </w:rPr>
        <w:t> </w:t>
      </w:r>
      <w:r>
        <w:rPr>
          <w:color w:val="231F20"/>
          <w:w w:val="105"/>
          <w:sz w:val="17"/>
        </w:rPr>
        <w:t>under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of</w:t>
      </w:r>
      <w:r>
        <w:rPr>
          <w:color w:val="231F20"/>
          <w:spacing w:val="-4"/>
          <w:w w:val="105"/>
          <w:sz w:val="17"/>
        </w:rPr>
        <w:t> </w:t>
      </w:r>
      <w:r>
        <w:rPr>
          <w:color w:val="231F20"/>
          <w:w w:val="105"/>
          <w:sz w:val="17"/>
        </w:rPr>
        <w:t>Annex</w:t>
      </w:r>
      <w:r>
        <w:rPr>
          <w:color w:val="231F20"/>
          <w:spacing w:val="-4"/>
          <w:w w:val="105"/>
          <w:sz w:val="17"/>
        </w:rPr>
        <w:t> </w:t>
      </w:r>
      <w:r>
        <w:rPr>
          <w:color w:val="231F20"/>
          <w:w w:val="105"/>
          <w:sz w:val="17"/>
        </w:rPr>
        <w:t>III</w:t>
      </w:r>
      <w:r>
        <w:rPr>
          <w:color w:val="231F20"/>
          <w:spacing w:val="-4"/>
          <w:w w:val="105"/>
          <w:sz w:val="17"/>
        </w:rPr>
        <w:t> </w:t>
      </w:r>
      <w:r>
        <w:rPr>
          <w:color w:val="231F20"/>
          <w:w w:val="105"/>
          <w:sz w:val="17"/>
        </w:rPr>
        <w:t>of</w:t>
      </w:r>
      <w:r>
        <w:rPr>
          <w:color w:val="231F20"/>
          <w:spacing w:val="-4"/>
          <w:w w:val="105"/>
          <w:sz w:val="17"/>
        </w:rPr>
        <w:t> </w:t>
      </w:r>
      <w:r>
        <w:rPr>
          <w:color w:val="231F20"/>
          <w:w w:val="105"/>
          <w:sz w:val="17"/>
        </w:rPr>
        <w:t>MARPOL,</w:t>
      </w:r>
      <w:r>
        <w:rPr>
          <w:color w:val="231F20"/>
          <w:spacing w:val="-4"/>
          <w:w w:val="105"/>
          <w:sz w:val="17"/>
        </w:rPr>
        <w:t> </w:t>
      </w:r>
      <w:r>
        <w:rPr>
          <w:color w:val="231F20"/>
          <w:w w:val="105"/>
          <w:sz w:val="17"/>
        </w:rPr>
        <w:t>as</w:t>
      </w:r>
      <w:r>
        <w:rPr>
          <w:color w:val="231F20"/>
          <w:spacing w:val="-4"/>
          <w:w w:val="105"/>
          <w:sz w:val="17"/>
        </w:rPr>
        <w:t> </w:t>
      </w:r>
      <w:r>
        <w:rPr>
          <w:color w:val="231F20"/>
          <w:spacing w:val="-2"/>
          <w:w w:val="105"/>
          <w:sz w:val="17"/>
        </w:rPr>
        <w:t>amended.</w:t>
      </w:r>
    </w:p>
    <w:p>
      <w:pPr>
        <w:pStyle w:val="ListParagraph"/>
        <w:numPr>
          <w:ilvl w:val="3"/>
          <w:numId w:val="1"/>
        </w:numPr>
        <w:tabs>
          <w:tab w:pos="1360" w:val="left" w:leader="none"/>
          <w:tab w:pos="1364" w:val="left" w:leader="none"/>
        </w:tabs>
        <w:spacing w:line="256" w:lineRule="auto" w:before="135" w:after="0"/>
        <w:ind w:left="1364" w:right="140" w:hanging="1080"/>
        <w:jc w:val="both"/>
        <w:rPr>
          <w:sz w:val="17"/>
        </w:rPr>
      </w:pPr>
      <w:r>
        <w:rPr>
          <w:color w:val="231F20"/>
          <w:w w:val="105"/>
          <w:sz w:val="17"/>
        </w:rPr>
        <w:t>The Index indicates by the symbol </w:t>
      </w:r>
      <w:r>
        <w:rPr>
          <w:rFonts w:ascii="Times New Roman"/>
          <w:b/>
          <w:color w:val="231F20"/>
          <w:w w:val="105"/>
          <w:sz w:val="13"/>
        </w:rPr>
        <w:t>P</w:t>
      </w:r>
      <w:r>
        <w:rPr>
          <w:rFonts w:ascii="Times New Roman"/>
          <w:b/>
          <w:color w:val="231F20"/>
          <w:spacing w:val="17"/>
          <w:w w:val="105"/>
          <w:sz w:val="13"/>
        </w:rPr>
        <w:t> </w:t>
      </w:r>
      <w:r>
        <w:rPr>
          <w:color w:val="231F20"/>
          <w:w w:val="105"/>
          <w:sz w:val="17"/>
        </w:rPr>
        <w:t>in the column headed MP those substances, materials and articles that are identified as marine pollutants.</w:t>
      </w:r>
    </w:p>
    <w:p>
      <w:pPr>
        <w:pStyle w:val="ListParagraph"/>
        <w:numPr>
          <w:ilvl w:val="3"/>
          <w:numId w:val="1"/>
        </w:numPr>
        <w:tabs>
          <w:tab w:pos="1359" w:val="left" w:leader="none"/>
          <w:tab w:pos="1364" w:val="left" w:leader="none"/>
        </w:tabs>
        <w:spacing w:line="256" w:lineRule="auto" w:before="122" w:after="0"/>
        <w:ind w:left="1364" w:right="139" w:hanging="1080"/>
        <w:jc w:val="both"/>
        <w:rPr>
          <w:sz w:val="17"/>
        </w:rPr>
      </w:pPr>
      <w:r>
        <w:rPr>
          <w:color w:val="231F20"/>
          <w:sz w:val="17"/>
        </w:rPr>
        <w:t>Marine</w:t>
      </w:r>
      <w:r>
        <w:rPr>
          <w:color w:val="231F20"/>
          <w:spacing w:val="40"/>
          <w:sz w:val="17"/>
        </w:rPr>
        <w:t> </w:t>
      </w:r>
      <w:r>
        <w:rPr>
          <w:color w:val="231F20"/>
          <w:sz w:val="17"/>
        </w:rPr>
        <w:t>pollutants</w:t>
      </w:r>
      <w:r>
        <w:rPr>
          <w:color w:val="231F20"/>
          <w:spacing w:val="40"/>
          <w:sz w:val="17"/>
        </w:rPr>
        <w:t> </w:t>
      </w:r>
      <w:r>
        <w:rPr>
          <w:color w:val="231F20"/>
          <w:sz w:val="17"/>
        </w:rPr>
        <w:t>shall</w:t>
      </w:r>
      <w:r>
        <w:rPr>
          <w:color w:val="231F20"/>
          <w:spacing w:val="40"/>
          <w:sz w:val="17"/>
        </w:rPr>
        <w:t> </w:t>
      </w:r>
      <w:r>
        <w:rPr>
          <w:color w:val="231F20"/>
          <w:sz w:val="17"/>
        </w:rPr>
        <w:t>be</w:t>
      </w:r>
      <w:r>
        <w:rPr>
          <w:color w:val="231F20"/>
          <w:spacing w:val="40"/>
          <w:sz w:val="17"/>
        </w:rPr>
        <w:t> </w:t>
      </w:r>
      <w:r>
        <w:rPr>
          <w:color w:val="231F20"/>
          <w:sz w:val="17"/>
        </w:rPr>
        <w:t>transported</w:t>
      </w:r>
      <w:r>
        <w:rPr>
          <w:color w:val="231F20"/>
          <w:spacing w:val="40"/>
          <w:sz w:val="17"/>
        </w:rPr>
        <w:t> </w:t>
      </w:r>
      <w:r>
        <w:rPr>
          <w:color w:val="231F20"/>
          <w:sz w:val="17"/>
        </w:rPr>
        <w:t>under</w:t>
      </w:r>
      <w:r>
        <w:rPr>
          <w:color w:val="231F20"/>
          <w:spacing w:val="40"/>
          <w:sz w:val="17"/>
        </w:rPr>
        <w:t> </w:t>
      </w:r>
      <w:r>
        <w:rPr>
          <w:color w:val="231F20"/>
          <w:sz w:val="17"/>
        </w:rPr>
        <w:t>the</w:t>
      </w:r>
      <w:r>
        <w:rPr>
          <w:color w:val="231F20"/>
          <w:spacing w:val="40"/>
          <w:sz w:val="17"/>
        </w:rPr>
        <w:t> </w:t>
      </w:r>
      <w:r>
        <w:rPr>
          <w:color w:val="231F20"/>
          <w:sz w:val="17"/>
        </w:rPr>
        <w:t>appropriate</w:t>
      </w:r>
      <w:r>
        <w:rPr>
          <w:color w:val="231F20"/>
          <w:spacing w:val="40"/>
          <w:sz w:val="17"/>
        </w:rPr>
        <w:t> </w:t>
      </w:r>
      <w:r>
        <w:rPr>
          <w:color w:val="231F20"/>
          <w:sz w:val="17"/>
        </w:rPr>
        <w:t>entry</w:t>
      </w:r>
      <w:r>
        <w:rPr>
          <w:color w:val="231F20"/>
          <w:spacing w:val="40"/>
          <w:sz w:val="17"/>
        </w:rPr>
        <w:t> </w:t>
      </w:r>
      <w:r>
        <w:rPr>
          <w:color w:val="231F20"/>
          <w:sz w:val="17"/>
        </w:rPr>
        <w:t>according</w:t>
      </w:r>
      <w:r>
        <w:rPr>
          <w:color w:val="231F20"/>
          <w:spacing w:val="40"/>
          <w:sz w:val="17"/>
        </w:rPr>
        <w:t> </w:t>
      </w:r>
      <w:r>
        <w:rPr>
          <w:color w:val="231F20"/>
          <w:sz w:val="17"/>
        </w:rPr>
        <w:t>to</w:t>
      </w:r>
      <w:r>
        <w:rPr>
          <w:color w:val="231F20"/>
          <w:spacing w:val="40"/>
          <w:sz w:val="17"/>
        </w:rPr>
        <w:t> </w:t>
      </w:r>
      <w:r>
        <w:rPr>
          <w:color w:val="231F20"/>
          <w:sz w:val="17"/>
        </w:rPr>
        <w:t>their</w:t>
      </w:r>
      <w:r>
        <w:rPr>
          <w:color w:val="231F20"/>
          <w:spacing w:val="40"/>
          <w:sz w:val="17"/>
        </w:rPr>
        <w:t> </w:t>
      </w:r>
      <w:r>
        <w:rPr>
          <w:color w:val="231F20"/>
          <w:sz w:val="17"/>
        </w:rPr>
        <w:t>properties</w:t>
      </w:r>
      <w:r>
        <w:rPr>
          <w:color w:val="231F20"/>
          <w:spacing w:val="40"/>
          <w:sz w:val="17"/>
        </w:rPr>
        <w:t> </w:t>
      </w:r>
      <w:r>
        <w:rPr>
          <w:color w:val="231F20"/>
          <w:sz w:val="17"/>
        </w:rPr>
        <w:t>if</w:t>
      </w:r>
      <w:r>
        <w:rPr>
          <w:color w:val="231F20"/>
          <w:spacing w:val="40"/>
          <w:sz w:val="17"/>
        </w:rPr>
        <w:t> </w:t>
      </w:r>
      <w:r>
        <w:rPr>
          <w:color w:val="231F20"/>
          <w:sz w:val="17"/>
        </w:rPr>
        <w:t>they</w:t>
      </w:r>
      <w:r>
        <w:rPr>
          <w:color w:val="231F20"/>
          <w:spacing w:val="40"/>
          <w:sz w:val="17"/>
        </w:rPr>
        <w:t> </w:t>
      </w:r>
      <w:r>
        <w:rPr>
          <w:color w:val="231F20"/>
          <w:sz w:val="17"/>
        </w:rPr>
        <w:t>fall within</w:t>
      </w:r>
      <w:r>
        <w:rPr>
          <w:color w:val="231F20"/>
          <w:spacing w:val="30"/>
          <w:sz w:val="17"/>
        </w:rPr>
        <w:t> </w:t>
      </w:r>
      <w:r>
        <w:rPr>
          <w:color w:val="231F20"/>
          <w:sz w:val="17"/>
        </w:rPr>
        <w:t>the</w:t>
      </w:r>
      <w:r>
        <w:rPr>
          <w:color w:val="231F20"/>
          <w:spacing w:val="30"/>
          <w:sz w:val="17"/>
        </w:rPr>
        <w:t> </w:t>
      </w:r>
      <w:r>
        <w:rPr>
          <w:color w:val="231F20"/>
          <w:sz w:val="17"/>
        </w:rPr>
        <w:t>criteria</w:t>
      </w:r>
      <w:r>
        <w:rPr>
          <w:color w:val="231F20"/>
          <w:spacing w:val="30"/>
          <w:sz w:val="17"/>
        </w:rPr>
        <w:t> </w:t>
      </w:r>
      <w:r>
        <w:rPr>
          <w:color w:val="231F20"/>
          <w:sz w:val="17"/>
        </w:rPr>
        <w:t>of</w:t>
      </w:r>
      <w:r>
        <w:rPr>
          <w:color w:val="231F20"/>
          <w:spacing w:val="30"/>
          <w:sz w:val="17"/>
        </w:rPr>
        <w:t> </w:t>
      </w:r>
      <w:r>
        <w:rPr>
          <w:color w:val="231F20"/>
          <w:sz w:val="17"/>
        </w:rPr>
        <w:t>any</w:t>
      </w:r>
      <w:r>
        <w:rPr>
          <w:color w:val="231F20"/>
          <w:spacing w:val="30"/>
          <w:sz w:val="17"/>
        </w:rPr>
        <w:t> </w:t>
      </w:r>
      <w:r>
        <w:rPr>
          <w:color w:val="231F20"/>
          <w:sz w:val="17"/>
        </w:rPr>
        <w:t>of</w:t>
      </w:r>
      <w:r>
        <w:rPr>
          <w:color w:val="231F20"/>
          <w:spacing w:val="30"/>
          <w:sz w:val="17"/>
        </w:rPr>
        <w:t> </w:t>
      </w:r>
      <w:r>
        <w:rPr>
          <w:color w:val="231F20"/>
          <w:sz w:val="17"/>
        </w:rPr>
        <w:t>the</w:t>
      </w:r>
      <w:r>
        <w:rPr>
          <w:color w:val="231F20"/>
          <w:spacing w:val="30"/>
          <w:sz w:val="17"/>
        </w:rPr>
        <w:t> </w:t>
      </w:r>
      <w:r>
        <w:rPr>
          <w:color w:val="231F20"/>
          <w:sz w:val="17"/>
        </w:rPr>
        <w:t>classes</w:t>
      </w:r>
      <w:r>
        <w:rPr>
          <w:color w:val="231F20"/>
          <w:spacing w:val="30"/>
          <w:sz w:val="17"/>
        </w:rPr>
        <w:t> </w:t>
      </w:r>
      <w:r>
        <w:rPr>
          <w:color w:val="231F20"/>
          <w:sz w:val="17"/>
        </w:rPr>
        <w:t>1</w:t>
      </w:r>
      <w:r>
        <w:rPr>
          <w:color w:val="231F20"/>
          <w:spacing w:val="30"/>
          <w:sz w:val="17"/>
        </w:rPr>
        <w:t> </w:t>
      </w:r>
      <w:r>
        <w:rPr>
          <w:color w:val="231F20"/>
          <w:sz w:val="17"/>
        </w:rPr>
        <w:t>to</w:t>
      </w:r>
      <w:r>
        <w:rPr>
          <w:color w:val="231F20"/>
          <w:spacing w:val="30"/>
          <w:sz w:val="17"/>
        </w:rPr>
        <w:t> </w:t>
      </w:r>
      <w:r>
        <w:rPr>
          <w:color w:val="231F20"/>
          <w:sz w:val="17"/>
        </w:rPr>
        <w:t>8.</w:t>
      </w:r>
      <w:r>
        <w:rPr>
          <w:color w:val="231F20"/>
          <w:spacing w:val="30"/>
          <w:sz w:val="17"/>
        </w:rPr>
        <w:t> </w:t>
      </w:r>
      <w:r>
        <w:rPr>
          <w:color w:val="231F20"/>
          <w:sz w:val="17"/>
        </w:rPr>
        <w:t>If</w:t>
      </w:r>
      <w:r>
        <w:rPr>
          <w:color w:val="231F20"/>
          <w:spacing w:val="30"/>
          <w:sz w:val="17"/>
        </w:rPr>
        <w:t> </w:t>
      </w:r>
      <w:r>
        <w:rPr>
          <w:color w:val="231F20"/>
          <w:sz w:val="17"/>
        </w:rPr>
        <w:t>they</w:t>
      </w:r>
      <w:r>
        <w:rPr>
          <w:color w:val="231F20"/>
          <w:spacing w:val="30"/>
          <w:sz w:val="17"/>
        </w:rPr>
        <w:t> </w:t>
      </w:r>
      <w:r>
        <w:rPr>
          <w:color w:val="231F20"/>
          <w:sz w:val="17"/>
        </w:rPr>
        <w:t>do</w:t>
      </w:r>
      <w:r>
        <w:rPr>
          <w:color w:val="231F20"/>
          <w:spacing w:val="30"/>
          <w:sz w:val="17"/>
        </w:rPr>
        <w:t> </w:t>
      </w:r>
      <w:r>
        <w:rPr>
          <w:color w:val="231F20"/>
          <w:sz w:val="17"/>
        </w:rPr>
        <w:t>not</w:t>
      </w:r>
      <w:r>
        <w:rPr>
          <w:color w:val="231F20"/>
          <w:spacing w:val="30"/>
          <w:sz w:val="17"/>
        </w:rPr>
        <w:t> </w:t>
      </w:r>
      <w:r>
        <w:rPr>
          <w:color w:val="231F20"/>
          <w:sz w:val="17"/>
        </w:rPr>
        <w:t>fall</w:t>
      </w:r>
      <w:r>
        <w:rPr>
          <w:color w:val="231F20"/>
          <w:spacing w:val="30"/>
          <w:sz w:val="17"/>
        </w:rPr>
        <w:t> </w:t>
      </w:r>
      <w:r>
        <w:rPr>
          <w:color w:val="231F20"/>
          <w:sz w:val="17"/>
        </w:rPr>
        <w:t>within</w:t>
      </w:r>
      <w:r>
        <w:rPr>
          <w:color w:val="231F20"/>
          <w:spacing w:val="30"/>
          <w:sz w:val="17"/>
        </w:rPr>
        <w:t> </w:t>
      </w:r>
      <w:r>
        <w:rPr>
          <w:color w:val="231F20"/>
          <w:sz w:val="17"/>
        </w:rPr>
        <w:t>the</w:t>
      </w:r>
      <w:r>
        <w:rPr>
          <w:color w:val="231F20"/>
          <w:spacing w:val="30"/>
          <w:sz w:val="17"/>
        </w:rPr>
        <w:t> </w:t>
      </w:r>
      <w:r>
        <w:rPr>
          <w:color w:val="231F20"/>
          <w:sz w:val="17"/>
        </w:rPr>
        <w:t>criteria</w:t>
      </w:r>
      <w:r>
        <w:rPr>
          <w:color w:val="231F20"/>
          <w:spacing w:val="30"/>
          <w:sz w:val="17"/>
        </w:rPr>
        <w:t> </w:t>
      </w:r>
      <w:r>
        <w:rPr>
          <w:color w:val="231F20"/>
          <w:sz w:val="17"/>
        </w:rPr>
        <w:t>of</w:t>
      </w:r>
      <w:r>
        <w:rPr>
          <w:color w:val="231F20"/>
          <w:spacing w:val="30"/>
          <w:sz w:val="17"/>
        </w:rPr>
        <w:t> </w:t>
      </w:r>
      <w:r>
        <w:rPr>
          <w:color w:val="231F20"/>
          <w:sz w:val="17"/>
        </w:rPr>
        <w:t>any</w:t>
      </w:r>
      <w:r>
        <w:rPr>
          <w:color w:val="231F20"/>
          <w:spacing w:val="30"/>
          <w:sz w:val="17"/>
        </w:rPr>
        <w:t> </w:t>
      </w:r>
      <w:r>
        <w:rPr>
          <w:color w:val="231F20"/>
          <w:sz w:val="17"/>
        </w:rPr>
        <w:t>of</w:t>
      </w:r>
      <w:r>
        <w:rPr>
          <w:color w:val="231F20"/>
          <w:spacing w:val="30"/>
          <w:sz w:val="17"/>
        </w:rPr>
        <w:t> </w:t>
      </w:r>
      <w:r>
        <w:rPr>
          <w:color w:val="231F20"/>
          <w:sz w:val="17"/>
        </w:rPr>
        <w:t>these</w:t>
      </w:r>
      <w:r>
        <w:rPr>
          <w:color w:val="231F20"/>
          <w:spacing w:val="30"/>
          <w:sz w:val="17"/>
        </w:rPr>
        <w:t> </w:t>
      </w:r>
      <w:r>
        <w:rPr>
          <w:color w:val="231F20"/>
          <w:sz w:val="17"/>
        </w:rPr>
        <w:t>classes, they shall be transported under the entry: ENVIRONMENTALLY HAZARDOUS SUBSTANCE, SOLID, N.O.S.,</w:t>
      </w:r>
      <w:r>
        <w:rPr>
          <w:color w:val="231F20"/>
          <w:spacing w:val="40"/>
          <w:sz w:val="17"/>
        </w:rPr>
        <w:t> </w:t>
      </w:r>
      <w:r>
        <w:rPr>
          <w:color w:val="231F20"/>
          <w:sz w:val="17"/>
        </w:rPr>
        <w:t>UN</w:t>
      </w:r>
      <w:r>
        <w:rPr>
          <w:color w:val="231F20"/>
          <w:spacing w:val="40"/>
          <w:sz w:val="17"/>
        </w:rPr>
        <w:t> </w:t>
      </w:r>
      <w:r>
        <w:rPr>
          <w:color w:val="231F20"/>
          <w:sz w:val="17"/>
        </w:rPr>
        <w:t>3077</w:t>
      </w:r>
      <w:r>
        <w:rPr>
          <w:color w:val="231F20"/>
          <w:spacing w:val="40"/>
          <w:sz w:val="17"/>
        </w:rPr>
        <w:t> </w:t>
      </w:r>
      <w:r>
        <w:rPr>
          <w:color w:val="231F20"/>
          <w:sz w:val="17"/>
        </w:rPr>
        <w:t>or</w:t>
      </w:r>
      <w:r>
        <w:rPr>
          <w:color w:val="231F20"/>
          <w:spacing w:val="40"/>
          <w:sz w:val="17"/>
        </w:rPr>
        <w:t> </w:t>
      </w:r>
      <w:r>
        <w:rPr>
          <w:color w:val="231F20"/>
          <w:sz w:val="17"/>
        </w:rPr>
        <w:t>ENVIRONMENTALLY</w:t>
      </w:r>
      <w:r>
        <w:rPr>
          <w:color w:val="231F20"/>
          <w:spacing w:val="40"/>
          <w:sz w:val="17"/>
        </w:rPr>
        <w:t> </w:t>
      </w:r>
      <w:r>
        <w:rPr>
          <w:color w:val="231F20"/>
          <w:sz w:val="17"/>
        </w:rPr>
        <w:t>HAZARDOUS</w:t>
      </w:r>
      <w:r>
        <w:rPr>
          <w:color w:val="231F20"/>
          <w:spacing w:val="40"/>
          <w:sz w:val="17"/>
        </w:rPr>
        <w:t> </w:t>
      </w:r>
      <w:r>
        <w:rPr>
          <w:color w:val="231F20"/>
          <w:sz w:val="17"/>
        </w:rPr>
        <w:t>SUBSTANCE,</w:t>
      </w:r>
      <w:r>
        <w:rPr>
          <w:color w:val="231F20"/>
          <w:spacing w:val="40"/>
          <w:sz w:val="17"/>
        </w:rPr>
        <w:t> </w:t>
      </w:r>
      <w:r>
        <w:rPr>
          <w:color w:val="231F20"/>
          <w:sz w:val="17"/>
        </w:rPr>
        <w:t>LIQUID,</w:t>
      </w:r>
      <w:r>
        <w:rPr>
          <w:color w:val="231F20"/>
          <w:spacing w:val="40"/>
          <w:sz w:val="17"/>
        </w:rPr>
        <w:t> </w:t>
      </w:r>
      <w:r>
        <w:rPr>
          <w:color w:val="231F20"/>
          <w:sz w:val="17"/>
        </w:rPr>
        <w:t>N.O.S.,</w:t>
      </w:r>
      <w:r>
        <w:rPr>
          <w:color w:val="231F20"/>
          <w:spacing w:val="40"/>
          <w:sz w:val="17"/>
        </w:rPr>
        <w:t> </w:t>
      </w:r>
      <w:r>
        <w:rPr>
          <w:color w:val="231F20"/>
          <w:sz w:val="17"/>
        </w:rPr>
        <w:t>UN</w:t>
      </w:r>
      <w:r>
        <w:rPr>
          <w:color w:val="231F20"/>
          <w:spacing w:val="40"/>
          <w:sz w:val="17"/>
        </w:rPr>
        <w:t> </w:t>
      </w:r>
      <w:r>
        <w:rPr>
          <w:color w:val="231F20"/>
          <w:sz w:val="17"/>
        </w:rPr>
        <w:t>3082,</w:t>
      </w:r>
      <w:r>
        <w:rPr>
          <w:color w:val="231F20"/>
          <w:spacing w:val="40"/>
          <w:sz w:val="17"/>
        </w:rPr>
        <w:t> </w:t>
      </w:r>
      <w:r>
        <w:rPr>
          <w:color w:val="231F20"/>
          <w:sz w:val="17"/>
        </w:rPr>
        <w:t>as</w:t>
      </w:r>
      <w:r>
        <w:rPr>
          <w:color w:val="231F20"/>
          <w:spacing w:val="40"/>
          <w:sz w:val="17"/>
        </w:rPr>
        <w:t> </w:t>
      </w:r>
      <w:r>
        <w:rPr>
          <w:color w:val="231F20"/>
          <w:sz w:val="17"/>
        </w:rPr>
        <w:t>appropriate,</w:t>
      </w:r>
    </w:p>
    <w:p>
      <w:pPr>
        <w:pStyle w:val="BodyText"/>
        <w:spacing w:before="3"/>
        <w:ind w:firstLine="0"/>
      </w:pPr>
      <w:r>
        <w:rPr>
          <w:color w:val="231F20"/>
          <w:w w:val="105"/>
        </w:rPr>
        <w:t>unless</w:t>
      </w:r>
      <w:r>
        <w:rPr>
          <w:color w:val="231F20"/>
          <w:spacing w:val="-3"/>
          <w:w w:val="105"/>
        </w:rPr>
        <w:t> </w:t>
      </w:r>
      <w:r>
        <w:rPr>
          <w:color w:val="231F20"/>
          <w:w w:val="105"/>
        </w:rPr>
        <w:t>there</w:t>
      </w:r>
      <w:r>
        <w:rPr>
          <w:color w:val="231F20"/>
          <w:spacing w:val="-3"/>
          <w:w w:val="105"/>
        </w:rPr>
        <w:t> </w:t>
      </w:r>
      <w:r>
        <w:rPr>
          <w:color w:val="231F20"/>
          <w:w w:val="105"/>
        </w:rPr>
        <w:t>is</w:t>
      </w:r>
      <w:r>
        <w:rPr>
          <w:color w:val="231F20"/>
          <w:spacing w:val="-3"/>
          <w:w w:val="105"/>
        </w:rPr>
        <w:t> </w:t>
      </w:r>
      <w:r>
        <w:rPr>
          <w:color w:val="231F20"/>
          <w:w w:val="105"/>
        </w:rPr>
        <w:t>a</w:t>
      </w:r>
      <w:r>
        <w:rPr>
          <w:color w:val="231F20"/>
          <w:spacing w:val="-2"/>
          <w:w w:val="105"/>
        </w:rPr>
        <w:t> </w:t>
      </w:r>
      <w:r>
        <w:rPr>
          <w:color w:val="231F20"/>
          <w:w w:val="105"/>
        </w:rPr>
        <w:t>specific</w:t>
      </w:r>
      <w:r>
        <w:rPr>
          <w:color w:val="231F20"/>
          <w:spacing w:val="-3"/>
          <w:w w:val="105"/>
        </w:rPr>
        <w:t> </w:t>
      </w:r>
      <w:r>
        <w:rPr>
          <w:color w:val="231F20"/>
          <w:w w:val="105"/>
        </w:rPr>
        <w:t>entry</w:t>
      </w:r>
      <w:r>
        <w:rPr>
          <w:color w:val="231F20"/>
          <w:spacing w:val="-3"/>
          <w:w w:val="105"/>
        </w:rPr>
        <w:t> </w:t>
      </w:r>
      <w:r>
        <w:rPr>
          <w:color w:val="231F20"/>
          <w:w w:val="105"/>
        </w:rPr>
        <w:t>in</w:t>
      </w:r>
      <w:r>
        <w:rPr>
          <w:color w:val="231F20"/>
          <w:spacing w:val="-3"/>
          <w:w w:val="105"/>
        </w:rPr>
        <w:t> </w:t>
      </w:r>
      <w:r>
        <w:rPr>
          <w:color w:val="231F20"/>
          <w:w w:val="105"/>
        </w:rPr>
        <w:t>class</w:t>
      </w:r>
      <w:r>
        <w:rPr>
          <w:color w:val="231F20"/>
          <w:spacing w:val="-2"/>
          <w:w w:val="105"/>
        </w:rPr>
        <w:t> </w:t>
      </w:r>
      <w:r>
        <w:rPr>
          <w:color w:val="231F20"/>
          <w:spacing w:val="-5"/>
          <w:w w:val="105"/>
        </w:rPr>
        <w:t>9.</w:t>
      </w:r>
    </w:p>
    <w:p>
      <w:pPr>
        <w:pStyle w:val="ListParagraph"/>
        <w:numPr>
          <w:ilvl w:val="3"/>
          <w:numId w:val="1"/>
        </w:numPr>
        <w:tabs>
          <w:tab w:pos="1359" w:val="left" w:leader="none"/>
          <w:tab w:pos="1364" w:val="left" w:leader="none"/>
        </w:tabs>
        <w:spacing w:line="256" w:lineRule="auto" w:before="135" w:after="0"/>
        <w:ind w:left="1364" w:right="139" w:hanging="1080"/>
        <w:jc w:val="both"/>
        <w:rPr>
          <w:sz w:val="17"/>
        </w:rPr>
      </w:pPr>
      <w:r>
        <w:rPr>
          <w:color w:val="231F20"/>
          <w:w w:val="105"/>
          <w:sz w:val="17"/>
        </w:rPr>
        <w:t>Column 4 of the Dangerous Goods List also provides information on marine pollutants using the symbol </w:t>
      </w:r>
      <w:r>
        <w:rPr>
          <w:rFonts w:ascii="Times New Roman" w:hAnsi="Times New Roman"/>
          <w:b/>
          <w:color w:val="231F20"/>
          <w:w w:val="105"/>
          <w:sz w:val="13"/>
        </w:rPr>
        <w:t>P</w:t>
      </w:r>
      <w:r>
        <w:rPr>
          <w:rFonts w:ascii="Times New Roman" w:hAnsi="Times New Roman"/>
          <w:b/>
          <w:color w:val="231F20"/>
          <w:spacing w:val="80"/>
          <w:w w:val="105"/>
          <w:sz w:val="13"/>
        </w:rPr>
        <w:t> </w:t>
      </w:r>
      <w:r>
        <w:rPr>
          <w:color w:val="231F20"/>
          <w:w w:val="105"/>
          <w:sz w:val="17"/>
        </w:rPr>
        <w:t>for single entries. The absence of the symbol </w:t>
      </w:r>
      <w:r>
        <w:rPr>
          <w:rFonts w:ascii="Times New Roman" w:hAnsi="Times New Roman"/>
          <w:b/>
          <w:color w:val="231F20"/>
          <w:w w:val="105"/>
          <w:sz w:val="13"/>
        </w:rPr>
        <w:t>P</w:t>
      </w:r>
      <w:r>
        <w:rPr>
          <w:rFonts w:ascii="Times New Roman" w:hAnsi="Times New Roman"/>
          <w:b/>
          <w:color w:val="231F20"/>
          <w:spacing w:val="16"/>
          <w:w w:val="105"/>
          <w:sz w:val="13"/>
        </w:rPr>
        <w:t> </w:t>
      </w:r>
      <w:r>
        <w:rPr>
          <w:color w:val="231F20"/>
          <w:w w:val="105"/>
          <w:sz w:val="17"/>
        </w:rPr>
        <w:t>or the presence of a “–” in that column does not preclude the application of 2.10.3.</w:t>
      </w:r>
    </w:p>
    <w:p>
      <w:pPr>
        <w:pStyle w:val="ListParagraph"/>
        <w:numPr>
          <w:ilvl w:val="3"/>
          <w:numId w:val="1"/>
        </w:numPr>
        <w:tabs>
          <w:tab w:pos="1359" w:val="left" w:leader="none"/>
          <w:tab w:pos="1364" w:val="left" w:leader="none"/>
        </w:tabs>
        <w:spacing w:line="256" w:lineRule="auto" w:before="122" w:after="0"/>
        <w:ind w:left="1364" w:right="139" w:hanging="1080"/>
        <w:jc w:val="both"/>
        <w:rPr>
          <w:sz w:val="17"/>
        </w:rPr>
      </w:pPr>
      <w:r>
        <w:rPr>
          <w:color w:val="231F20"/>
          <w:w w:val="105"/>
          <w:sz w:val="17"/>
        </w:rPr>
        <w:t>When a substance, material or article possesses properties that meet the criteria of a marine pollutant but is not identified in this Code, such substance, material or article shall be transported as a marine pollutant in accordance with the Code.</w:t>
      </w:r>
    </w:p>
    <w:p>
      <w:pPr>
        <w:pStyle w:val="ListParagraph"/>
        <w:numPr>
          <w:ilvl w:val="3"/>
          <w:numId w:val="1"/>
        </w:numPr>
        <w:tabs>
          <w:tab w:pos="1359" w:val="left" w:leader="none"/>
          <w:tab w:pos="1364" w:val="left" w:leader="none"/>
        </w:tabs>
        <w:spacing w:line="256" w:lineRule="auto" w:before="123" w:after="0"/>
        <w:ind w:left="1364" w:right="140" w:hanging="1080"/>
        <w:jc w:val="both"/>
        <w:rPr>
          <w:sz w:val="17"/>
        </w:rPr>
      </w:pPr>
      <w:r>
        <w:rPr>
          <w:color w:val="231F20"/>
          <w:w w:val="105"/>
          <w:sz w:val="17"/>
        </w:rPr>
        <w:t>With the approval of the competent authority (see 7.9.2), substances, materials or articles that are identified as marine pollutants in this Code but which no longer meet the criteria as a marine pollutant need not be transported in accordance with the provisions of this Code applicable to marine pollutants.</w:t>
      </w:r>
    </w:p>
    <w:p>
      <w:pPr>
        <w:pStyle w:val="BodyText"/>
        <w:spacing w:line="256" w:lineRule="auto" w:before="120"/>
        <w:ind w:right="139" w:hanging="1320"/>
        <w:jc w:val="both"/>
      </w:pPr>
      <w:r>
        <w:rPr>
          <w:rFonts w:ascii="Cambria" w:hAnsi="Cambria"/>
          <w:color w:val="231F20"/>
          <w:w w:val="105"/>
        </w:rPr>
        <w:t>△</w:t>
      </w:r>
      <w:r>
        <w:rPr>
          <w:rFonts w:ascii="Cambria" w:hAnsi="Cambria"/>
          <w:color w:val="231F20"/>
          <w:spacing w:val="40"/>
          <w:w w:val="105"/>
        </w:rPr>
        <w:t> </w:t>
      </w:r>
      <w:r>
        <w:rPr>
          <w:color w:val="231F20"/>
          <w:w w:val="105"/>
        </w:rPr>
        <w:t>2.10.2.7</w:t>
      </w:r>
      <w:r>
        <w:rPr>
          <w:color w:val="231F20"/>
          <w:spacing w:val="80"/>
          <w:w w:val="105"/>
        </w:rPr>
        <w:t>  </w:t>
      </w:r>
      <w:r>
        <w:rPr>
          <w:color w:val="231F20"/>
          <w:w w:val="105"/>
        </w:rPr>
        <w:t>Marine pollutants also meeting the criteria for inclusion in a hazard class from 1 to 9 (except class 7), and packaged in single or combination packagings containing a net quantity per single or inner packaging of 5 L or</w:t>
      </w:r>
      <w:r>
        <w:rPr>
          <w:color w:val="231F20"/>
          <w:spacing w:val="-3"/>
          <w:w w:val="105"/>
        </w:rPr>
        <w:t> </w:t>
      </w:r>
      <w:r>
        <w:rPr>
          <w:color w:val="231F20"/>
          <w:w w:val="105"/>
        </w:rPr>
        <w:t>less</w:t>
      </w:r>
      <w:r>
        <w:rPr>
          <w:color w:val="231F20"/>
          <w:spacing w:val="-3"/>
          <w:w w:val="105"/>
        </w:rPr>
        <w:t> </w:t>
      </w:r>
      <w:r>
        <w:rPr>
          <w:color w:val="231F20"/>
          <w:w w:val="105"/>
        </w:rPr>
        <w:t>for</w:t>
      </w:r>
      <w:r>
        <w:rPr>
          <w:color w:val="231F20"/>
          <w:spacing w:val="-3"/>
          <w:w w:val="105"/>
        </w:rPr>
        <w:t> </w:t>
      </w:r>
      <w:r>
        <w:rPr>
          <w:color w:val="231F20"/>
          <w:w w:val="105"/>
        </w:rPr>
        <w:t>liquids</w:t>
      </w:r>
      <w:r>
        <w:rPr>
          <w:color w:val="231F20"/>
          <w:spacing w:val="-3"/>
          <w:w w:val="105"/>
        </w:rPr>
        <w:t> </w:t>
      </w:r>
      <w:r>
        <w:rPr>
          <w:color w:val="231F20"/>
          <w:w w:val="105"/>
        </w:rPr>
        <w:t>or</w:t>
      </w:r>
      <w:r>
        <w:rPr>
          <w:color w:val="231F20"/>
          <w:spacing w:val="-3"/>
          <w:w w:val="105"/>
        </w:rPr>
        <w:t> </w:t>
      </w:r>
      <w:r>
        <w:rPr>
          <w:color w:val="231F20"/>
          <w:w w:val="105"/>
        </w:rPr>
        <w:t>having</w:t>
      </w:r>
      <w:r>
        <w:rPr>
          <w:color w:val="231F20"/>
          <w:spacing w:val="-3"/>
          <w:w w:val="105"/>
        </w:rPr>
        <w:t> </w:t>
      </w:r>
      <w:r>
        <w:rPr>
          <w:color w:val="231F20"/>
          <w:w w:val="105"/>
        </w:rPr>
        <w:t>a</w:t>
      </w:r>
      <w:r>
        <w:rPr>
          <w:color w:val="231F20"/>
          <w:spacing w:val="-3"/>
          <w:w w:val="105"/>
        </w:rPr>
        <w:t> </w:t>
      </w:r>
      <w:r>
        <w:rPr>
          <w:color w:val="231F20"/>
          <w:w w:val="105"/>
        </w:rPr>
        <w:t>net</w:t>
      </w:r>
      <w:r>
        <w:rPr>
          <w:color w:val="231F20"/>
          <w:spacing w:val="-3"/>
          <w:w w:val="105"/>
        </w:rPr>
        <w:t> </w:t>
      </w:r>
      <w:r>
        <w:rPr>
          <w:color w:val="231F20"/>
          <w:w w:val="105"/>
        </w:rPr>
        <w:t>mass</w:t>
      </w:r>
      <w:r>
        <w:rPr>
          <w:color w:val="231F20"/>
          <w:spacing w:val="-3"/>
          <w:w w:val="105"/>
        </w:rPr>
        <w:t> </w:t>
      </w:r>
      <w:r>
        <w:rPr>
          <w:color w:val="231F20"/>
          <w:w w:val="105"/>
        </w:rPr>
        <w:t>per</w:t>
      </w:r>
      <w:r>
        <w:rPr>
          <w:color w:val="231F20"/>
          <w:spacing w:val="-3"/>
          <w:w w:val="105"/>
        </w:rPr>
        <w:t> </w:t>
      </w:r>
      <w:r>
        <w:rPr>
          <w:color w:val="231F20"/>
          <w:w w:val="105"/>
        </w:rPr>
        <w:t>single</w:t>
      </w:r>
      <w:r>
        <w:rPr>
          <w:color w:val="231F20"/>
          <w:spacing w:val="-3"/>
          <w:w w:val="105"/>
        </w:rPr>
        <w:t> </w:t>
      </w:r>
      <w:r>
        <w:rPr>
          <w:color w:val="231F20"/>
          <w:w w:val="105"/>
        </w:rPr>
        <w:t>or</w:t>
      </w:r>
      <w:r>
        <w:rPr>
          <w:color w:val="231F20"/>
          <w:spacing w:val="-3"/>
          <w:w w:val="105"/>
        </w:rPr>
        <w:t> </w:t>
      </w:r>
      <w:r>
        <w:rPr>
          <w:color w:val="231F20"/>
          <w:w w:val="105"/>
        </w:rPr>
        <w:t>inner</w:t>
      </w:r>
      <w:r>
        <w:rPr>
          <w:color w:val="231F20"/>
          <w:spacing w:val="-3"/>
          <w:w w:val="105"/>
        </w:rPr>
        <w:t> </w:t>
      </w:r>
      <w:r>
        <w:rPr>
          <w:color w:val="231F20"/>
          <w:w w:val="105"/>
        </w:rPr>
        <w:t>packaging</w:t>
      </w:r>
      <w:r>
        <w:rPr>
          <w:color w:val="231F20"/>
          <w:spacing w:val="-3"/>
          <w:w w:val="105"/>
        </w:rPr>
        <w:t> </w:t>
      </w:r>
      <w:r>
        <w:rPr>
          <w:color w:val="231F20"/>
          <w:w w:val="105"/>
        </w:rPr>
        <w:t>of</w:t>
      </w:r>
      <w:r>
        <w:rPr>
          <w:color w:val="231F20"/>
          <w:spacing w:val="-3"/>
          <w:w w:val="105"/>
        </w:rPr>
        <w:t> </w:t>
      </w:r>
      <w:r>
        <w:rPr>
          <w:color w:val="231F20"/>
          <w:w w:val="105"/>
        </w:rPr>
        <w:t>5</w:t>
      </w:r>
      <w:r>
        <w:rPr>
          <w:color w:val="231F20"/>
          <w:spacing w:val="-3"/>
          <w:w w:val="105"/>
        </w:rPr>
        <w:t> </w:t>
      </w:r>
      <w:r>
        <w:rPr>
          <w:color w:val="231F20"/>
          <w:w w:val="105"/>
        </w:rPr>
        <w:t>kg</w:t>
      </w:r>
      <w:r>
        <w:rPr>
          <w:color w:val="231F20"/>
          <w:spacing w:val="-3"/>
          <w:w w:val="105"/>
        </w:rPr>
        <w:t> </w:t>
      </w:r>
      <w:r>
        <w:rPr>
          <w:color w:val="231F20"/>
          <w:w w:val="105"/>
        </w:rPr>
        <w:t>or</w:t>
      </w:r>
      <w:r>
        <w:rPr>
          <w:color w:val="231F20"/>
          <w:spacing w:val="-3"/>
          <w:w w:val="105"/>
        </w:rPr>
        <w:t> </w:t>
      </w:r>
      <w:r>
        <w:rPr>
          <w:color w:val="231F20"/>
          <w:w w:val="105"/>
        </w:rPr>
        <w:t>less</w:t>
      </w:r>
      <w:r>
        <w:rPr>
          <w:color w:val="231F20"/>
          <w:spacing w:val="-3"/>
          <w:w w:val="105"/>
        </w:rPr>
        <w:t> </w:t>
      </w:r>
      <w:r>
        <w:rPr>
          <w:color w:val="231F20"/>
          <w:w w:val="105"/>
        </w:rPr>
        <w:t>for</w:t>
      </w:r>
      <w:r>
        <w:rPr>
          <w:color w:val="231F20"/>
          <w:spacing w:val="-3"/>
          <w:w w:val="105"/>
        </w:rPr>
        <w:t> </w:t>
      </w:r>
      <w:r>
        <w:rPr>
          <w:color w:val="231F20"/>
          <w:w w:val="105"/>
        </w:rPr>
        <w:t>solids,</w:t>
      </w:r>
      <w:r>
        <w:rPr>
          <w:color w:val="231F20"/>
          <w:spacing w:val="-3"/>
          <w:w w:val="105"/>
        </w:rPr>
        <w:t> </w:t>
      </w:r>
      <w:r>
        <w:rPr>
          <w:color w:val="231F20"/>
          <w:w w:val="105"/>
        </w:rPr>
        <w:t>are</w:t>
      </w:r>
      <w:r>
        <w:rPr>
          <w:color w:val="231F20"/>
          <w:spacing w:val="-3"/>
          <w:w w:val="105"/>
        </w:rPr>
        <w:t> </w:t>
      </w:r>
      <w:r>
        <w:rPr>
          <w:color w:val="231F20"/>
          <w:w w:val="105"/>
        </w:rPr>
        <w:t>not</w:t>
      </w:r>
      <w:r>
        <w:rPr>
          <w:color w:val="231F20"/>
          <w:spacing w:val="-3"/>
          <w:w w:val="105"/>
        </w:rPr>
        <w:t> </w:t>
      </w:r>
      <w:r>
        <w:rPr>
          <w:color w:val="231F20"/>
          <w:w w:val="105"/>
        </w:rPr>
        <w:t>subject to the provisions of 5.2.1.6, 5.3.2.3, 5.4.1.4.3.6 and 7.1.4.2 of this Code. These provisions do not apply to substances transported under UN 3077 or UN 3082 (see special provision 375).</w:t>
      </w:r>
    </w:p>
    <w:p>
      <w:pPr>
        <w:pStyle w:val="BodyText"/>
        <w:spacing w:before="149"/>
        <w:ind w:left="0" w:firstLine="0"/>
      </w:pPr>
    </w:p>
    <w:p>
      <w:pPr>
        <w:pStyle w:val="Heading1"/>
        <w:numPr>
          <w:ilvl w:val="2"/>
          <w:numId w:val="1"/>
        </w:numPr>
        <w:tabs>
          <w:tab w:pos="1364" w:val="left" w:leader="none"/>
        </w:tabs>
        <w:spacing w:line="240" w:lineRule="auto" w:before="1" w:after="0"/>
        <w:ind w:left="1364" w:right="0" w:hanging="1080"/>
        <w:jc w:val="left"/>
      </w:pPr>
      <w:r>
        <w:rPr>
          <w:color w:val="231F20"/>
          <w:spacing w:val="-2"/>
          <w:w w:val="105"/>
        </w:rPr>
        <w:t>Classification</w:t>
      </w:r>
    </w:p>
    <w:p>
      <w:pPr>
        <w:pStyle w:val="ListParagraph"/>
        <w:numPr>
          <w:ilvl w:val="3"/>
          <w:numId w:val="1"/>
        </w:numPr>
        <w:tabs>
          <w:tab w:pos="1364" w:val="left" w:leader="none"/>
        </w:tabs>
        <w:spacing w:line="240" w:lineRule="auto" w:before="124" w:after="0"/>
        <w:ind w:left="1364" w:right="0" w:hanging="1080"/>
        <w:jc w:val="left"/>
        <w:rPr>
          <w:sz w:val="17"/>
        </w:rPr>
      </w:pPr>
      <w:r>
        <w:rPr>
          <w:color w:val="231F20"/>
          <w:w w:val="105"/>
          <w:sz w:val="17"/>
        </w:rPr>
        <w:t>Marine pollutants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classified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accordance with</w:t>
      </w:r>
      <w:r>
        <w:rPr>
          <w:color w:val="231F20"/>
          <w:spacing w:val="1"/>
          <w:w w:val="105"/>
          <w:sz w:val="17"/>
        </w:rPr>
        <w:t> </w:t>
      </w:r>
      <w:r>
        <w:rPr>
          <w:color w:val="231F20"/>
          <w:w w:val="105"/>
          <w:sz w:val="17"/>
        </w:rPr>
        <w:t>chapter</w:t>
      </w:r>
      <w:r>
        <w:rPr>
          <w:color w:val="231F20"/>
          <w:spacing w:val="1"/>
          <w:w w:val="105"/>
          <w:sz w:val="17"/>
        </w:rPr>
        <w:t> </w:t>
      </w:r>
      <w:r>
        <w:rPr>
          <w:color w:val="231F20"/>
          <w:spacing w:val="-2"/>
          <w:w w:val="105"/>
          <w:sz w:val="17"/>
        </w:rPr>
        <w:t>2.9.3.</w:t>
      </w:r>
    </w:p>
    <w:p>
      <w:pPr>
        <w:pStyle w:val="ListParagraph"/>
        <w:numPr>
          <w:ilvl w:val="3"/>
          <w:numId w:val="1"/>
        </w:numPr>
        <w:tabs>
          <w:tab w:pos="1364" w:val="left" w:leader="none"/>
        </w:tabs>
        <w:spacing w:line="240" w:lineRule="auto" w:before="134" w:after="0"/>
        <w:ind w:left="1364" w:right="0" w:hanging="1080"/>
        <w:jc w:val="left"/>
        <w:rPr>
          <w:sz w:val="17"/>
        </w:rPr>
      </w:pPr>
      <w:r>
        <w:rPr>
          <w:color w:val="231F20"/>
          <w:w w:val="105"/>
          <w:sz w:val="17"/>
        </w:rPr>
        <w:t>The</w:t>
      </w:r>
      <w:r>
        <w:rPr>
          <w:color w:val="231F20"/>
          <w:spacing w:val="-5"/>
          <w:w w:val="105"/>
          <w:sz w:val="17"/>
        </w:rPr>
        <w:t> </w:t>
      </w:r>
      <w:r>
        <w:rPr>
          <w:color w:val="231F20"/>
          <w:w w:val="105"/>
          <w:sz w:val="17"/>
        </w:rPr>
        <w:t>classification</w:t>
      </w:r>
      <w:r>
        <w:rPr>
          <w:color w:val="231F20"/>
          <w:spacing w:val="-2"/>
          <w:w w:val="105"/>
          <w:sz w:val="17"/>
        </w:rPr>
        <w:t> </w:t>
      </w:r>
      <w:r>
        <w:rPr>
          <w:color w:val="231F20"/>
          <w:w w:val="105"/>
          <w:sz w:val="17"/>
        </w:rPr>
        <w:t>criteria</w:t>
      </w:r>
      <w:r>
        <w:rPr>
          <w:color w:val="231F20"/>
          <w:spacing w:val="-3"/>
          <w:w w:val="105"/>
          <w:sz w:val="17"/>
        </w:rPr>
        <w:t> </w:t>
      </w:r>
      <w:r>
        <w:rPr>
          <w:color w:val="231F20"/>
          <w:w w:val="105"/>
          <w:sz w:val="17"/>
        </w:rPr>
        <w:t>of</w:t>
      </w:r>
      <w:r>
        <w:rPr>
          <w:color w:val="231F20"/>
          <w:spacing w:val="-2"/>
          <w:w w:val="105"/>
          <w:sz w:val="17"/>
        </w:rPr>
        <w:t> </w:t>
      </w:r>
      <w:r>
        <w:rPr>
          <w:color w:val="231F20"/>
          <w:w w:val="105"/>
          <w:sz w:val="17"/>
        </w:rPr>
        <w:t>2.9.3</w:t>
      </w:r>
      <w:r>
        <w:rPr>
          <w:color w:val="231F20"/>
          <w:spacing w:val="-3"/>
          <w:w w:val="105"/>
          <w:sz w:val="17"/>
        </w:rPr>
        <w:t> </w:t>
      </w:r>
      <w:r>
        <w:rPr>
          <w:color w:val="231F20"/>
          <w:w w:val="105"/>
          <w:sz w:val="17"/>
        </w:rPr>
        <w:t>are</w:t>
      </w:r>
      <w:r>
        <w:rPr>
          <w:color w:val="231F20"/>
          <w:spacing w:val="-2"/>
          <w:w w:val="105"/>
          <w:sz w:val="17"/>
        </w:rPr>
        <w:t> </w:t>
      </w:r>
      <w:r>
        <w:rPr>
          <w:color w:val="231F20"/>
          <w:w w:val="105"/>
          <w:sz w:val="17"/>
        </w:rPr>
        <w:t>not</w:t>
      </w:r>
      <w:r>
        <w:rPr>
          <w:color w:val="231F20"/>
          <w:spacing w:val="-3"/>
          <w:w w:val="105"/>
          <w:sz w:val="17"/>
        </w:rPr>
        <w:t> </w:t>
      </w:r>
      <w:r>
        <w:rPr>
          <w:color w:val="231F20"/>
          <w:w w:val="105"/>
          <w:sz w:val="17"/>
        </w:rPr>
        <w:t>applicable</w:t>
      </w:r>
      <w:r>
        <w:rPr>
          <w:color w:val="231F20"/>
          <w:spacing w:val="-2"/>
          <w:w w:val="105"/>
          <w:sz w:val="17"/>
        </w:rPr>
        <w:t> </w:t>
      </w:r>
      <w:r>
        <w:rPr>
          <w:color w:val="231F20"/>
          <w:w w:val="105"/>
          <w:sz w:val="17"/>
        </w:rPr>
        <w:t>to</w:t>
      </w:r>
      <w:r>
        <w:rPr>
          <w:color w:val="231F20"/>
          <w:spacing w:val="-3"/>
          <w:w w:val="105"/>
          <w:sz w:val="17"/>
        </w:rPr>
        <w:t> </w:t>
      </w:r>
      <w:r>
        <w:rPr>
          <w:color w:val="231F20"/>
          <w:w w:val="105"/>
          <w:sz w:val="17"/>
        </w:rPr>
        <w:t>substances</w:t>
      </w:r>
      <w:r>
        <w:rPr>
          <w:color w:val="231F20"/>
          <w:spacing w:val="-2"/>
          <w:w w:val="105"/>
          <w:sz w:val="17"/>
        </w:rPr>
        <w:t> </w:t>
      </w:r>
      <w:r>
        <w:rPr>
          <w:color w:val="231F20"/>
          <w:w w:val="105"/>
          <w:sz w:val="17"/>
        </w:rPr>
        <w:t>or</w:t>
      </w:r>
      <w:r>
        <w:rPr>
          <w:color w:val="231F20"/>
          <w:spacing w:val="-3"/>
          <w:w w:val="105"/>
          <w:sz w:val="17"/>
        </w:rPr>
        <w:t> </w:t>
      </w:r>
      <w:r>
        <w:rPr>
          <w:color w:val="231F20"/>
          <w:w w:val="105"/>
          <w:sz w:val="17"/>
        </w:rPr>
        <w:t>materials</w:t>
      </w:r>
      <w:r>
        <w:rPr>
          <w:color w:val="231F20"/>
          <w:spacing w:val="-2"/>
          <w:w w:val="105"/>
          <w:sz w:val="17"/>
        </w:rPr>
        <w:t> </w:t>
      </w:r>
      <w:r>
        <w:rPr>
          <w:color w:val="231F20"/>
          <w:w w:val="105"/>
          <w:sz w:val="17"/>
        </w:rPr>
        <w:t>of</w:t>
      </w:r>
      <w:r>
        <w:rPr>
          <w:color w:val="231F20"/>
          <w:spacing w:val="-3"/>
          <w:w w:val="105"/>
          <w:sz w:val="17"/>
        </w:rPr>
        <w:t> </w:t>
      </w:r>
      <w:r>
        <w:rPr>
          <w:color w:val="231F20"/>
          <w:w w:val="105"/>
          <w:sz w:val="17"/>
        </w:rPr>
        <w:t>class</w:t>
      </w:r>
      <w:r>
        <w:rPr>
          <w:color w:val="231F20"/>
          <w:spacing w:val="-2"/>
          <w:w w:val="105"/>
          <w:sz w:val="17"/>
        </w:rPr>
        <w:t> </w:t>
      </w:r>
      <w:r>
        <w:rPr>
          <w:color w:val="231F20"/>
          <w:spacing w:val="-5"/>
          <w:w w:val="105"/>
          <w:sz w:val="17"/>
        </w:rPr>
        <w:t>7.</w:t>
      </w:r>
    </w:p>
    <w:sectPr>
      <w:headerReference w:type="default" r:id="rId5"/>
      <w:footerReference w:type="default" r:id="rId6"/>
      <w:type w:val="continuous"/>
      <w:pgSz w:w="11910" w:h="16840"/>
      <w:pgMar w:header="303" w:footer="570" w:top="1500" w:bottom="760" w:left="566" w:right="1275"/>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552512">
              <wp:simplePos x="0" y="0"/>
              <wp:positionH relativeFrom="page">
                <wp:posOffset>540000</wp:posOffset>
              </wp:positionH>
              <wp:positionV relativeFrom="page">
                <wp:posOffset>10152002</wp:posOffset>
              </wp:positionV>
              <wp:extent cx="6120130" cy="635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120130" cy="6350"/>
                        <a:chExt cx="6120130" cy="6350"/>
                      </a:xfrm>
                    </wpg:grpSpPr>
                    <wps:wsp>
                      <wps:cNvPr id="3" name="Graphic 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 name="Graphic 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763968" id="docshapegroup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553024">
              <wp:simplePos x="0" y="0"/>
              <wp:positionH relativeFrom="page">
                <wp:posOffset>527300</wp:posOffset>
              </wp:positionH>
              <wp:positionV relativeFrom="page">
                <wp:posOffset>10168114</wp:posOffset>
              </wp:positionV>
              <wp:extent cx="229870" cy="1752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9870" cy="175260"/>
                      </a:xfrm>
                      <a:prstGeom prst="rect">
                        <a:avLst/>
                      </a:prstGeom>
                    </wps:spPr>
                    <wps:txbx>
                      <w:txbxContent>
                        <w:p>
                          <w:pPr>
                            <w:spacing w:before="24"/>
                            <w:ind w:left="20" w:right="0" w:firstLine="0"/>
                            <w:jc w:val="left"/>
                            <w:rPr>
                              <w:sz w:val="20"/>
                            </w:rPr>
                          </w:pPr>
                          <w:r>
                            <w:rPr>
                              <w:color w:val="231F20"/>
                              <w:spacing w:val="-5"/>
                              <w:sz w:val="20"/>
                            </w:rPr>
                            <w:t>146</w:t>
                          </w:r>
                        </w:p>
                      </w:txbxContent>
                    </wps:txbx>
                    <wps:bodyPr wrap="square" lIns="0" tIns="0" rIns="0" bIns="0" rtlCol="0">
                      <a:noAutofit/>
                    </wps:bodyPr>
                  </wps:wsp>
                </a:graphicData>
              </a:graphic>
            </wp:anchor>
          </w:drawing>
        </mc:Choice>
        <mc:Fallback>
          <w:pict>
            <v:shape style="position:absolute;margin-left:41.519699pt;margin-top:800.638916pt;width:18.1pt;height:13.8pt;mso-position-horizontal-relative:page;mso-position-vertical-relative:page;z-index:-15763456" type="#_x0000_t202" id="docshape3" filled="false" stroked="false">
              <v:textbox inset="0,0,0,0">
                <w:txbxContent>
                  <w:p>
                    <w:pPr>
                      <w:spacing w:before="24"/>
                      <w:ind w:left="20" w:right="0" w:firstLine="0"/>
                      <w:jc w:val="left"/>
                      <w:rPr>
                        <w:sz w:val="20"/>
                      </w:rPr>
                    </w:pPr>
                    <w:r>
                      <w:rPr>
                        <w:color w:val="231F20"/>
                        <w:spacing w:val="-5"/>
                        <w:sz w:val="20"/>
                      </w:rPr>
                      <w:t>146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53536">
              <wp:simplePos x="0" y="0"/>
              <wp:positionH relativeFrom="page">
                <wp:posOffset>3894905</wp:posOffset>
              </wp:positionH>
              <wp:positionV relativeFrom="page">
                <wp:posOffset>10166082</wp:posOffset>
              </wp:positionV>
              <wp:extent cx="2778760"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762944" type="#_x0000_t202" id="docshape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552000">
              <wp:simplePos x="0" y="0"/>
              <wp:positionH relativeFrom="page">
                <wp:posOffset>6041519</wp:posOffset>
              </wp:positionH>
              <wp:positionV relativeFrom="page">
                <wp:posOffset>179815</wp:posOffset>
              </wp:positionV>
              <wp:extent cx="9912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912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157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78.05pt;height:22.9pt;mso-position-horizontal-relative:page;mso-position-vertical-relative:page;z-index:-15764480"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157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
      <w:numFmt w:val="decimal"/>
      <w:lvlText w:val="%1"/>
      <w:lvlJc w:val="left"/>
      <w:pPr>
        <w:ind w:left="1364" w:hanging="1080"/>
        <w:jc w:val="left"/>
      </w:pPr>
      <w:rPr>
        <w:rFonts w:hint="default"/>
        <w:lang w:val="en-US" w:eastAsia="en-US" w:bidi="ar-SA"/>
      </w:rPr>
    </w:lvl>
    <w:lvl w:ilvl="1">
      <w:start w:val="10"/>
      <w:numFmt w:val="decimal"/>
      <w:lvlText w:val="%1.%2"/>
      <w:lvlJc w:val="left"/>
      <w:pPr>
        <w:ind w:left="1364" w:hanging="1080"/>
        <w:jc w:val="left"/>
      </w:pPr>
      <w:rPr>
        <w:rFonts w:hint="default"/>
        <w:lang w:val="en-US" w:eastAsia="en-US" w:bidi="ar-SA"/>
      </w:rPr>
    </w:lvl>
    <w:lvl w:ilvl="2">
      <w:start w:val="1"/>
      <w:numFmt w:val="decimal"/>
      <w:lvlText w:val="%1.%2.%3"/>
      <w:lvlJc w:val="left"/>
      <w:pPr>
        <w:ind w:left="1364" w:hanging="1080"/>
        <w:jc w:val="lef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1364"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4">
      <w:start w:val="0"/>
      <w:numFmt w:val="bullet"/>
      <w:lvlText w:val="•"/>
      <w:lvlJc w:val="left"/>
      <w:pPr>
        <w:ind w:left="4841" w:hanging="1080"/>
      </w:pPr>
      <w:rPr>
        <w:rFonts w:hint="default"/>
        <w:lang w:val="en-US" w:eastAsia="en-US" w:bidi="ar-SA"/>
      </w:rPr>
    </w:lvl>
    <w:lvl w:ilvl="5">
      <w:start w:val="0"/>
      <w:numFmt w:val="bullet"/>
      <w:lvlText w:val="•"/>
      <w:lvlJc w:val="left"/>
      <w:pPr>
        <w:ind w:left="5712" w:hanging="1080"/>
      </w:pPr>
      <w:rPr>
        <w:rFonts w:hint="default"/>
        <w:lang w:val="en-US" w:eastAsia="en-US" w:bidi="ar-SA"/>
      </w:rPr>
    </w:lvl>
    <w:lvl w:ilvl="6">
      <w:start w:val="0"/>
      <w:numFmt w:val="bullet"/>
      <w:lvlText w:val="•"/>
      <w:lvlJc w:val="left"/>
      <w:pPr>
        <w:ind w:left="6582" w:hanging="1080"/>
      </w:pPr>
      <w:rPr>
        <w:rFonts w:hint="default"/>
        <w:lang w:val="en-US" w:eastAsia="en-US" w:bidi="ar-SA"/>
      </w:rPr>
    </w:lvl>
    <w:lvl w:ilvl="7">
      <w:start w:val="0"/>
      <w:numFmt w:val="bullet"/>
      <w:lvlText w:val="•"/>
      <w:lvlJc w:val="left"/>
      <w:pPr>
        <w:ind w:left="7453" w:hanging="1080"/>
      </w:pPr>
      <w:rPr>
        <w:rFonts w:hint="default"/>
        <w:lang w:val="en-US" w:eastAsia="en-US" w:bidi="ar-SA"/>
      </w:rPr>
    </w:lvl>
    <w:lvl w:ilvl="8">
      <w:start w:val="0"/>
      <w:numFmt w:val="bullet"/>
      <w:lvlText w:val="•"/>
      <w:lvlJc w:val="left"/>
      <w:pPr>
        <w:ind w:left="8323" w:hanging="108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24"/>
      <w:ind w:left="1364" w:hanging="1080"/>
    </w:pPr>
    <w:rPr>
      <w:rFonts w:ascii="Arial MT" w:hAnsi="Arial MT" w:eastAsia="Arial MT" w:cs="Arial MT"/>
      <w:sz w:val="17"/>
      <w:szCs w:val="17"/>
      <w:lang w:val="en-US" w:eastAsia="en-US" w:bidi="ar-SA"/>
    </w:rPr>
  </w:style>
  <w:style w:styleId="Heading1" w:type="paragraph">
    <w:name w:val="Heading 1"/>
    <w:basedOn w:val="Normal"/>
    <w:uiPriority w:val="1"/>
    <w:qFormat/>
    <w:pPr>
      <w:ind w:left="1364" w:hanging="1080"/>
      <w:outlineLvl w:val="1"/>
    </w:pPr>
    <w:rPr>
      <w:rFonts w:ascii="Arial MT" w:hAnsi="Arial MT" w:eastAsia="Arial MT" w:cs="Arial MT"/>
      <w:sz w:val="22"/>
      <w:szCs w:val="22"/>
      <w:lang w:val="en-US" w:eastAsia="en-US" w:bidi="ar-SA"/>
    </w:rPr>
  </w:style>
  <w:style w:styleId="ListParagraph" w:type="paragraph">
    <w:name w:val="List Paragraph"/>
    <w:basedOn w:val="Normal"/>
    <w:uiPriority w:val="1"/>
    <w:qFormat/>
    <w:pPr>
      <w:ind w:left="1364" w:hanging="108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2026-06-20T03:02:13Z</dcterms:created>
  <dcterms:modified xsi:type="dcterms:W3CDTF">2026-06-20T03:02:13Z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