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ge">
                  <wp:posOffset>0</wp:posOffset>
                </wp:positionV>
                <wp:extent cx="360045" cy="21386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60045" cy="2138680"/>
                          <a:chExt cx="360045" cy="2138680"/>
                        </a:xfrm>
                      </wpg:grpSpPr>
                      <wps:wsp>
                        <wps:cNvPr id="5" name="Graphic 5"/>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6" name="Textbox 6"/>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29664" id="docshapegroup4" coordorigin="11339,0" coordsize="567,3368">
                <v:rect style="position:absolute;left:11338;top:0;width:567;height:3368" id="docshape5" filled="true" fillcolor="#58595b" stroked="false">
                  <v:fill type="solid"/>
                </v:rect>
                <v:shape style="position:absolute;left:11338;top:0;width:567;height:3368" type="#_x0000_t202" id="docshape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p>
      <w:pPr>
        <w:pStyle w:val="BodyText"/>
        <w:rPr>
          <w:rFonts w:ascii="Times New Roman"/>
          <w:sz w:val="40"/>
        </w:rPr>
      </w:pPr>
    </w:p>
    <w:p>
      <w:pPr>
        <w:pStyle w:val="BodyText"/>
        <w:spacing w:before="361"/>
        <w:rPr>
          <w:rFonts w:ascii="Times New Roman"/>
          <w:sz w:val="40"/>
        </w:rPr>
      </w:pPr>
    </w:p>
    <w:p>
      <w:pPr>
        <w:pStyle w:val="Title"/>
      </w:pPr>
      <w:r>
        <w:rPr>
          <w:color w:val="231F20"/>
        </w:rPr>
        <w:t>Chapter</w:t>
      </w:r>
      <w:r>
        <w:rPr>
          <w:color w:val="231F20"/>
          <w:spacing w:val="35"/>
        </w:rPr>
        <w:t> </w:t>
      </w:r>
      <w:r>
        <w:rPr>
          <w:color w:val="231F20"/>
          <w:spacing w:val="-5"/>
        </w:rPr>
        <w:t>3.2</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60751</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3566pt;width:481.9pt;height:.1pt;mso-position-horizontal-relative:page;mso-position-vertical-relative:paragraph;z-index:-15728640;mso-wrap-distance-left:0;mso-wrap-distance-right:0" id="docshape7"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Dangerous</w:t>
      </w:r>
      <w:r>
        <w:rPr>
          <w:rFonts w:ascii="Arial"/>
          <w:i/>
          <w:color w:val="231F20"/>
          <w:spacing w:val="-14"/>
          <w:sz w:val="36"/>
        </w:rPr>
        <w:t> </w:t>
      </w:r>
      <w:r>
        <w:rPr>
          <w:rFonts w:ascii="Arial"/>
          <w:i/>
          <w:color w:val="231F20"/>
          <w:sz w:val="36"/>
        </w:rPr>
        <w:t>Goods</w:t>
      </w:r>
      <w:r>
        <w:rPr>
          <w:rFonts w:ascii="Arial"/>
          <w:i/>
          <w:color w:val="231F20"/>
          <w:spacing w:val="-13"/>
          <w:sz w:val="36"/>
        </w:rPr>
        <w:t> </w:t>
      </w:r>
      <w:r>
        <w:rPr>
          <w:rFonts w:ascii="Arial"/>
          <w:i/>
          <w:color w:val="231F20"/>
          <w:spacing w:val="-4"/>
          <w:sz w:val="36"/>
        </w:rPr>
        <w:t>List</w:t>
      </w:r>
    </w:p>
    <w:p>
      <w:pPr>
        <w:pStyle w:val="BodyText"/>
        <w:rPr>
          <w:rFonts w:ascii="Arial"/>
          <w:i/>
          <w:sz w:val="36"/>
        </w:rPr>
      </w:pPr>
    </w:p>
    <w:p>
      <w:pPr>
        <w:pStyle w:val="BodyText"/>
        <w:spacing w:before="162"/>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Structure</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Dangerous</w:t>
      </w:r>
      <w:r>
        <w:rPr>
          <w:color w:val="231F20"/>
          <w:spacing w:val="-7"/>
          <w:w w:val="105"/>
        </w:rPr>
        <w:t> </w:t>
      </w:r>
      <w:r>
        <w:rPr>
          <w:color w:val="231F20"/>
          <w:w w:val="105"/>
        </w:rPr>
        <w:t>Goods</w:t>
      </w:r>
      <w:r>
        <w:rPr>
          <w:color w:val="231F20"/>
          <w:spacing w:val="-7"/>
          <w:w w:val="105"/>
        </w:rPr>
        <w:t> </w:t>
      </w:r>
      <w:r>
        <w:rPr>
          <w:color w:val="231F20"/>
          <w:spacing w:val="-4"/>
          <w:w w:val="105"/>
        </w:rPr>
        <w:t>List</w:t>
      </w:r>
    </w:p>
    <w:p>
      <w:pPr>
        <w:pStyle w:val="BodyText"/>
        <w:spacing w:before="157"/>
        <w:ind w:left="2497"/>
      </w:pPr>
      <w:r>
        <w:rPr>
          <w:color w:val="231F20"/>
          <w:w w:val="105"/>
        </w:rPr>
        <w:t>The</w:t>
      </w:r>
      <w:r>
        <w:rPr>
          <w:color w:val="231F20"/>
          <w:spacing w:val="-5"/>
          <w:w w:val="105"/>
        </w:rPr>
        <w:t> </w:t>
      </w:r>
      <w:r>
        <w:rPr>
          <w:color w:val="231F20"/>
          <w:w w:val="105"/>
        </w:rPr>
        <w:t>Dangerous</w:t>
      </w:r>
      <w:r>
        <w:rPr>
          <w:color w:val="231F20"/>
          <w:spacing w:val="-4"/>
          <w:w w:val="105"/>
        </w:rPr>
        <w:t> </w:t>
      </w:r>
      <w:r>
        <w:rPr>
          <w:color w:val="231F20"/>
          <w:w w:val="105"/>
        </w:rPr>
        <w:t>Goods</w:t>
      </w:r>
      <w:r>
        <w:rPr>
          <w:color w:val="231F20"/>
          <w:spacing w:val="-4"/>
          <w:w w:val="105"/>
        </w:rPr>
        <w:t> </w:t>
      </w:r>
      <w:r>
        <w:rPr>
          <w:color w:val="231F20"/>
          <w:w w:val="105"/>
        </w:rPr>
        <w:t>List</w:t>
      </w:r>
      <w:r>
        <w:rPr>
          <w:color w:val="231F20"/>
          <w:spacing w:val="-4"/>
          <w:w w:val="105"/>
        </w:rPr>
        <w:t> </w:t>
      </w:r>
      <w:r>
        <w:rPr>
          <w:color w:val="231F20"/>
          <w:w w:val="105"/>
        </w:rPr>
        <w:t>is</w:t>
      </w:r>
      <w:r>
        <w:rPr>
          <w:color w:val="231F20"/>
          <w:spacing w:val="-5"/>
          <w:w w:val="105"/>
        </w:rPr>
        <w:t> </w:t>
      </w:r>
      <w:r>
        <w:rPr>
          <w:color w:val="231F20"/>
          <w:w w:val="105"/>
        </w:rPr>
        <w:t>divided</w:t>
      </w:r>
      <w:r>
        <w:rPr>
          <w:color w:val="231F20"/>
          <w:spacing w:val="-4"/>
          <w:w w:val="105"/>
        </w:rPr>
        <w:t> </w:t>
      </w:r>
      <w:r>
        <w:rPr>
          <w:color w:val="231F20"/>
          <w:w w:val="105"/>
        </w:rPr>
        <w:t>into</w:t>
      </w:r>
      <w:r>
        <w:rPr>
          <w:color w:val="231F20"/>
          <w:spacing w:val="-4"/>
          <w:w w:val="105"/>
        </w:rPr>
        <w:t> </w:t>
      </w:r>
      <w:r>
        <w:rPr>
          <w:color w:val="231F20"/>
          <w:w w:val="105"/>
        </w:rPr>
        <w:t>18</w:t>
      </w:r>
      <w:r>
        <w:rPr>
          <w:color w:val="231F20"/>
          <w:spacing w:val="-4"/>
          <w:w w:val="105"/>
        </w:rPr>
        <w:t> </w:t>
      </w:r>
      <w:r>
        <w:rPr>
          <w:color w:val="231F20"/>
          <w:w w:val="105"/>
        </w:rPr>
        <w:t>columns</w:t>
      </w:r>
      <w:r>
        <w:rPr>
          <w:color w:val="231F20"/>
          <w:spacing w:val="-5"/>
          <w:w w:val="105"/>
        </w:rPr>
        <w:t> </w:t>
      </w:r>
      <w:r>
        <w:rPr>
          <w:color w:val="231F20"/>
          <w:w w:val="105"/>
        </w:rPr>
        <w:t>as</w:t>
      </w:r>
      <w:r>
        <w:rPr>
          <w:color w:val="231F20"/>
          <w:spacing w:val="-4"/>
          <w:w w:val="105"/>
        </w:rPr>
        <w:t> </w:t>
      </w:r>
      <w:r>
        <w:rPr>
          <w:color w:val="231F20"/>
          <w:spacing w:val="-2"/>
          <w:w w:val="105"/>
        </w:rPr>
        <w:t>follows:</w:t>
      </w:r>
    </w:p>
    <w:p>
      <w:pPr>
        <w:pStyle w:val="BodyText"/>
        <w:spacing w:line="256" w:lineRule="auto" w:before="168"/>
        <w:ind w:left="3577" w:right="848" w:hanging="1080"/>
        <w:jc w:val="both"/>
      </w:pPr>
      <w:r>
        <w:rPr>
          <w:color w:val="231F20"/>
          <w:w w:val="105"/>
        </w:rPr>
        <w:t>Column 1</w:t>
      </w:r>
      <w:r>
        <w:rPr>
          <w:color w:val="231F20"/>
          <w:spacing w:val="80"/>
          <w:w w:val="105"/>
        </w:rPr>
        <w:t>  </w:t>
      </w:r>
      <w:r>
        <w:rPr>
          <w:color w:val="231F20"/>
          <w:w w:val="105"/>
        </w:rPr>
        <w:t>UN</w:t>
      </w:r>
      <w:r>
        <w:rPr>
          <w:color w:val="231F20"/>
          <w:spacing w:val="-8"/>
          <w:w w:val="105"/>
        </w:rPr>
        <w:t> </w:t>
      </w:r>
      <w:r>
        <w:rPr>
          <w:color w:val="231F20"/>
          <w:w w:val="105"/>
        </w:rPr>
        <w:t>No.</w:t>
      </w:r>
      <w:r>
        <w:rPr>
          <w:color w:val="231F20"/>
          <w:spacing w:val="-8"/>
          <w:w w:val="105"/>
        </w:rPr>
        <w:t> </w:t>
      </w:r>
      <w:r>
        <w:rPr>
          <w:color w:val="231F20"/>
          <w:w w:val="105"/>
        </w:rPr>
        <w:t>–</w:t>
      </w:r>
      <w:r>
        <w:rPr>
          <w:color w:val="231F20"/>
          <w:spacing w:val="-8"/>
          <w:w w:val="105"/>
        </w:rPr>
        <w:t> </w:t>
      </w:r>
      <w:r>
        <w:rPr>
          <w:color w:val="231F20"/>
          <w:w w:val="105"/>
        </w:rPr>
        <w:t>this</w:t>
      </w:r>
      <w:r>
        <w:rPr>
          <w:color w:val="231F20"/>
          <w:spacing w:val="-8"/>
          <w:w w:val="105"/>
        </w:rPr>
        <w:t> </w:t>
      </w:r>
      <w:r>
        <w:rPr>
          <w:color w:val="231F20"/>
          <w:w w:val="105"/>
        </w:rPr>
        <w:t>column</w:t>
      </w:r>
      <w:r>
        <w:rPr>
          <w:color w:val="231F20"/>
          <w:spacing w:val="-8"/>
          <w:w w:val="105"/>
        </w:rPr>
        <w:t> </w:t>
      </w:r>
      <w:r>
        <w:rPr>
          <w:color w:val="231F20"/>
          <w:w w:val="105"/>
        </w:rPr>
        <w:t>contains</w:t>
      </w:r>
      <w:r>
        <w:rPr>
          <w:color w:val="231F20"/>
          <w:spacing w:val="-8"/>
          <w:w w:val="105"/>
        </w:rPr>
        <w:t> </w:t>
      </w:r>
      <w:r>
        <w:rPr>
          <w:color w:val="231F20"/>
          <w:w w:val="105"/>
        </w:rPr>
        <w:t>the</w:t>
      </w:r>
      <w:r>
        <w:rPr>
          <w:color w:val="231F20"/>
          <w:spacing w:val="-8"/>
          <w:w w:val="105"/>
        </w:rPr>
        <w:t> </w:t>
      </w:r>
      <w:r>
        <w:rPr>
          <w:color w:val="231F20"/>
          <w:w w:val="105"/>
        </w:rPr>
        <w:t>United</w:t>
      </w:r>
      <w:r>
        <w:rPr>
          <w:color w:val="231F20"/>
          <w:spacing w:val="-8"/>
          <w:w w:val="105"/>
        </w:rPr>
        <w:t> </w:t>
      </w:r>
      <w:r>
        <w:rPr>
          <w:color w:val="231F20"/>
          <w:w w:val="105"/>
        </w:rPr>
        <w:t>Nations</w:t>
      </w:r>
      <w:r>
        <w:rPr>
          <w:color w:val="231F20"/>
          <w:spacing w:val="-8"/>
          <w:w w:val="105"/>
        </w:rPr>
        <w:t> </w:t>
      </w:r>
      <w:r>
        <w:rPr>
          <w:color w:val="231F20"/>
          <w:w w:val="105"/>
        </w:rPr>
        <w:t>number</w:t>
      </w:r>
      <w:r>
        <w:rPr>
          <w:color w:val="231F20"/>
          <w:spacing w:val="-8"/>
          <w:w w:val="105"/>
        </w:rPr>
        <w:t> </w:t>
      </w:r>
      <w:r>
        <w:rPr>
          <w:color w:val="231F20"/>
          <w:w w:val="105"/>
        </w:rPr>
        <w:t>assigned</w:t>
      </w:r>
      <w:r>
        <w:rPr>
          <w:color w:val="231F20"/>
          <w:spacing w:val="-8"/>
          <w:w w:val="105"/>
        </w:rPr>
        <w:t> </w:t>
      </w:r>
      <w:r>
        <w:rPr>
          <w:color w:val="231F20"/>
          <w:w w:val="105"/>
        </w:rPr>
        <w:t>to</w:t>
      </w:r>
      <w:r>
        <w:rPr>
          <w:color w:val="231F20"/>
          <w:spacing w:val="-8"/>
          <w:w w:val="105"/>
        </w:rPr>
        <w:t> </w:t>
      </w:r>
      <w:r>
        <w:rPr>
          <w:color w:val="231F20"/>
          <w:w w:val="105"/>
        </w:rPr>
        <w:t>a</w:t>
      </w:r>
      <w:r>
        <w:rPr>
          <w:color w:val="231F20"/>
          <w:spacing w:val="-8"/>
          <w:w w:val="105"/>
        </w:rPr>
        <w:t> </w:t>
      </w:r>
      <w:r>
        <w:rPr>
          <w:color w:val="231F20"/>
          <w:w w:val="105"/>
        </w:rPr>
        <w:t>dangerous</w:t>
      </w:r>
      <w:r>
        <w:rPr>
          <w:color w:val="231F20"/>
          <w:spacing w:val="-8"/>
          <w:w w:val="105"/>
        </w:rPr>
        <w:t> </w:t>
      </w:r>
      <w:r>
        <w:rPr>
          <w:color w:val="231F20"/>
          <w:w w:val="105"/>
        </w:rPr>
        <w:t>good</w:t>
      </w:r>
      <w:r>
        <w:rPr>
          <w:color w:val="231F20"/>
          <w:spacing w:val="-8"/>
          <w:w w:val="105"/>
        </w:rPr>
        <w:t> </w:t>
      </w:r>
      <w:r>
        <w:rPr>
          <w:color w:val="231F20"/>
          <w:w w:val="105"/>
        </w:rPr>
        <w:t>by</w:t>
      </w:r>
      <w:r>
        <w:rPr>
          <w:color w:val="231F20"/>
          <w:spacing w:val="-8"/>
          <w:w w:val="105"/>
        </w:rPr>
        <w:t> </w:t>
      </w:r>
      <w:r>
        <w:rPr>
          <w:color w:val="231F20"/>
          <w:w w:val="105"/>
        </w:rPr>
        <w:t>the United Nations Sub-Committee of Experts on the Transport of Dangerous Goods (UN List).</w:t>
      </w:r>
    </w:p>
    <w:p>
      <w:pPr>
        <w:pStyle w:val="BodyText"/>
        <w:spacing w:line="256" w:lineRule="auto" w:before="154"/>
        <w:ind w:left="3577" w:right="847" w:hanging="1080"/>
        <w:jc w:val="both"/>
      </w:pPr>
      <w:r>
        <w:rPr>
          <w:color w:val="231F20"/>
          <w:w w:val="105"/>
        </w:rPr>
        <w:t>Column 2</w:t>
      </w:r>
      <w:r>
        <w:rPr>
          <w:color w:val="231F20"/>
          <w:spacing w:val="80"/>
          <w:w w:val="150"/>
        </w:rPr>
        <w:t>  </w:t>
      </w:r>
      <w:r>
        <w:rPr>
          <w:color w:val="231F20"/>
          <w:w w:val="105"/>
        </w:rPr>
        <w:t>Proper</w:t>
      </w:r>
      <w:r>
        <w:rPr>
          <w:color w:val="231F20"/>
          <w:spacing w:val="31"/>
          <w:w w:val="105"/>
        </w:rPr>
        <w:t> </w:t>
      </w:r>
      <w:r>
        <w:rPr>
          <w:color w:val="231F20"/>
          <w:w w:val="105"/>
        </w:rPr>
        <w:t>shipping</w:t>
      </w:r>
      <w:r>
        <w:rPr>
          <w:color w:val="231F20"/>
          <w:spacing w:val="31"/>
          <w:w w:val="105"/>
        </w:rPr>
        <w:t> </w:t>
      </w:r>
      <w:r>
        <w:rPr>
          <w:color w:val="231F20"/>
          <w:w w:val="105"/>
        </w:rPr>
        <w:t>name</w:t>
      </w:r>
      <w:r>
        <w:rPr>
          <w:color w:val="231F20"/>
          <w:spacing w:val="31"/>
          <w:w w:val="105"/>
        </w:rPr>
        <w:t> </w:t>
      </w:r>
      <w:r>
        <w:rPr>
          <w:color w:val="231F20"/>
          <w:w w:val="105"/>
        </w:rPr>
        <w:t>(PSN)</w:t>
      </w:r>
      <w:r>
        <w:rPr>
          <w:color w:val="231F20"/>
          <w:spacing w:val="31"/>
          <w:w w:val="105"/>
        </w:rPr>
        <w:t> </w:t>
      </w:r>
      <w:r>
        <w:rPr>
          <w:color w:val="231F20"/>
          <w:w w:val="105"/>
        </w:rPr>
        <w:t>–</w:t>
      </w:r>
      <w:r>
        <w:rPr>
          <w:color w:val="231F20"/>
          <w:spacing w:val="31"/>
          <w:w w:val="105"/>
        </w:rPr>
        <w:t> </w:t>
      </w:r>
      <w:r>
        <w:rPr>
          <w:color w:val="231F20"/>
          <w:w w:val="105"/>
        </w:rPr>
        <w:t>this</w:t>
      </w:r>
      <w:r>
        <w:rPr>
          <w:color w:val="231F20"/>
          <w:spacing w:val="31"/>
          <w:w w:val="105"/>
        </w:rPr>
        <w:t> </w:t>
      </w:r>
      <w:r>
        <w:rPr>
          <w:color w:val="231F20"/>
          <w:w w:val="105"/>
        </w:rPr>
        <w:t>column</w:t>
      </w:r>
      <w:r>
        <w:rPr>
          <w:color w:val="231F20"/>
          <w:spacing w:val="31"/>
          <w:w w:val="105"/>
        </w:rPr>
        <w:t> </w:t>
      </w:r>
      <w:r>
        <w:rPr>
          <w:color w:val="231F20"/>
          <w:w w:val="105"/>
        </w:rPr>
        <w:t>contains</w:t>
      </w:r>
      <w:r>
        <w:rPr>
          <w:color w:val="231F20"/>
          <w:spacing w:val="31"/>
          <w:w w:val="105"/>
        </w:rPr>
        <w:t> </w:t>
      </w:r>
      <w:r>
        <w:rPr>
          <w:color w:val="231F20"/>
          <w:w w:val="105"/>
        </w:rPr>
        <w:t>the</w:t>
      </w:r>
      <w:r>
        <w:rPr>
          <w:color w:val="231F20"/>
          <w:spacing w:val="31"/>
          <w:w w:val="105"/>
        </w:rPr>
        <w:t> </w:t>
      </w:r>
      <w:r>
        <w:rPr>
          <w:color w:val="231F20"/>
          <w:w w:val="105"/>
        </w:rPr>
        <w:t>proper</w:t>
      </w:r>
      <w:r>
        <w:rPr>
          <w:color w:val="231F20"/>
          <w:spacing w:val="31"/>
          <w:w w:val="105"/>
        </w:rPr>
        <w:t> </w:t>
      </w:r>
      <w:r>
        <w:rPr>
          <w:color w:val="231F20"/>
          <w:w w:val="105"/>
        </w:rPr>
        <w:t>shipping</w:t>
      </w:r>
      <w:r>
        <w:rPr>
          <w:color w:val="231F20"/>
          <w:spacing w:val="31"/>
          <w:w w:val="105"/>
        </w:rPr>
        <w:t> </w:t>
      </w:r>
      <w:r>
        <w:rPr>
          <w:color w:val="231F20"/>
          <w:w w:val="105"/>
        </w:rPr>
        <w:t>names</w:t>
      </w:r>
      <w:r>
        <w:rPr>
          <w:color w:val="231F20"/>
          <w:spacing w:val="31"/>
          <w:w w:val="105"/>
        </w:rPr>
        <w:t> </w:t>
      </w:r>
      <w:r>
        <w:rPr>
          <w:color w:val="231F20"/>
          <w:w w:val="105"/>
        </w:rPr>
        <w:t>in</w:t>
      </w:r>
      <w:r>
        <w:rPr>
          <w:color w:val="231F20"/>
          <w:spacing w:val="31"/>
          <w:w w:val="105"/>
        </w:rPr>
        <w:t> </w:t>
      </w:r>
      <w:r>
        <w:rPr>
          <w:color w:val="231F20"/>
          <w:w w:val="105"/>
        </w:rPr>
        <w:t>upper-case characters, which may have to be followed by additional descriptive text in lower-case characters</w:t>
      </w:r>
      <w:r>
        <w:rPr>
          <w:color w:val="231F20"/>
          <w:w w:val="105"/>
        </w:rPr>
        <w:t> (see</w:t>
      </w:r>
      <w:r>
        <w:rPr>
          <w:color w:val="231F20"/>
          <w:w w:val="105"/>
        </w:rPr>
        <w:t> 3.1.2).</w:t>
      </w:r>
      <w:r>
        <w:rPr>
          <w:color w:val="231F20"/>
          <w:w w:val="105"/>
        </w:rPr>
        <w:t> Proper</w:t>
      </w:r>
      <w:r>
        <w:rPr>
          <w:color w:val="231F20"/>
          <w:w w:val="105"/>
        </w:rPr>
        <w:t> shipping</w:t>
      </w:r>
      <w:r>
        <w:rPr>
          <w:color w:val="231F20"/>
          <w:w w:val="105"/>
        </w:rPr>
        <w:t> names</w:t>
      </w:r>
      <w:r>
        <w:rPr>
          <w:color w:val="231F20"/>
          <w:w w:val="105"/>
        </w:rPr>
        <w:t> may</w:t>
      </w:r>
      <w:r>
        <w:rPr>
          <w:color w:val="231F20"/>
          <w:w w:val="105"/>
        </w:rPr>
        <w:t> be</w:t>
      </w:r>
      <w:r>
        <w:rPr>
          <w:color w:val="231F20"/>
          <w:w w:val="105"/>
        </w:rPr>
        <w:t> shown</w:t>
      </w:r>
      <w:r>
        <w:rPr>
          <w:color w:val="231F20"/>
          <w:w w:val="105"/>
        </w:rPr>
        <w:t> in</w:t>
      </w:r>
      <w:r>
        <w:rPr>
          <w:color w:val="231F20"/>
          <w:w w:val="105"/>
        </w:rPr>
        <w:t> plural</w:t>
      </w:r>
      <w:r>
        <w:rPr>
          <w:color w:val="231F20"/>
          <w:w w:val="105"/>
        </w:rPr>
        <w:t> where</w:t>
      </w:r>
      <w:r>
        <w:rPr>
          <w:color w:val="231F20"/>
          <w:w w:val="105"/>
        </w:rPr>
        <w:t> isomers</w:t>
      </w:r>
      <w:r>
        <w:rPr>
          <w:color w:val="231F20"/>
          <w:w w:val="105"/>
        </w:rPr>
        <w:t> of</w:t>
      </w:r>
      <w:r>
        <w:rPr>
          <w:color w:val="231F20"/>
          <w:spacing w:val="40"/>
          <w:w w:val="105"/>
        </w:rPr>
        <w:t> </w:t>
      </w:r>
      <w:r>
        <w:rPr>
          <w:color w:val="231F20"/>
          <w:w w:val="105"/>
        </w:rPr>
        <w:t>similar classification exist. Hydrates may be included under the proper shipping name for the anhydrous substances. Unless otherwise indicated for an entry in the Dangerous Goods List, the</w:t>
      </w:r>
      <w:r>
        <w:rPr>
          <w:color w:val="231F20"/>
          <w:spacing w:val="-4"/>
          <w:w w:val="105"/>
        </w:rPr>
        <w:t> </w:t>
      </w:r>
      <w:r>
        <w:rPr>
          <w:color w:val="231F20"/>
          <w:w w:val="105"/>
        </w:rPr>
        <w:t>word</w:t>
      </w:r>
      <w:r>
        <w:rPr>
          <w:color w:val="231F20"/>
          <w:spacing w:val="-4"/>
          <w:w w:val="105"/>
        </w:rPr>
        <w:t> </w:t>
      </w:r>
      <w:r>
        <w:rPr>
          <w:color w:val="231F20"/>
          <w:w w:val="105"/>
        </w:rPr>
        <w:t>“SOLUTION”</w:t>
      </w:r>
      <w:r>
        <w:rPr>
          <w:color w:val="231F20"/>
          <w:spacing w:val="-4"/>
          <w:w w:val="105"/>
        </w:rPr>
        <w:t> </w:t>
      </w:r>
      <w:r>
        <w:rPr>
          <w:color w:val="231F20"/>
          <w:w w:val="105"/>
        </w:rPr>
        <w:t>in</w:t>
      </w:r>
      <w:r>
        <w:rPr>
          <w:color w:val="231F20"/>
          <w:spacing w:val="-4"/>
          <w:w w:val="105"/>
        </w:rPr>
        <w:t> </w:t>
      </w:r>
      <w:r>
        <w:rPr>
          <w:color w:val="231F20"/>
          <w:w w:val="105"/>
        </w:rPr>
        <w:t>a</w:t>
      </w:r>
      <w:r>
        <w:rPr>
          <w:color w:val="231F20"/>
          <w:spacing w:val="-4"/>
          <w:w w:val="105"/>
        </w:rPr>
        <w:t> </w:t>
      </w:r>
      <w:r>
        <w:rPr>
          <w:color w:val="231F20"/>
          <w:w w:val="105"/>
        </w:rPr>
        <w:t>proper</w:t>
      </w:r>
      <w:r>
        <w:rPr>
          <w:color w:val="231F20"/>
          <w:spacing w:val="-4"/>
          <w:w w:val="105"/>
        </w:rPr>
        <w:t> </w:t>
      </w:r>
      <w:r>
        <w:rPr>
          <w:color w:val="231F20"/>
          <w:w w:val="105"/>
        </w:rPr>
        <w:t>shipping</w:t>
      </w:r>
      <w:r>
        <w:rPr>
          <w:color w:val="231F20"/>
          <w:spacing w:val="-4"/>
          <w:w w:val="105"/>
        </w:rPr>
        <w:t> </w:t>
      </w:r>
      <w:r>
        <w:rPr>
          <w:color w:val="231F20"/>
          <w:w w:val="105"/>
        </w:rPr>
        <w:t>name</w:t>
      </w:r>
      <w:r>
        <w:rPr>
          <w:color w:val="231F20"/>
          <w:spacing w:val="-4"/>
          <w:w w:val="105"/>
        </w:rPr>
        <w:t> </w:t>
      </w:r>
      <w:r>
        <w:rPr>
          <w:color w:val="231F20"/>
          <w:w w:val="105"/>
        </w:rPr>
        <w:t>means</w:t>
      </w:r>
      <w:r>
        <w:rPr>
          <w:color w:val="231F20"/>
          <w:spacing w:val="-4"/>
          <w:w w:val="105"/>
        </w:rPr>
        <w:t> </w:t>
      </w:r>
      <w:r>
        <w:rPr>
          <w:color w:val="231F20"/>
          <w:w w:val="105"/>
        </w:rPr>
        <w:t>one</w:t>
      </w:r>
      <w:r>
        <w:rPr>
          <w:color w:val="231F20"/>
          <w:spacing w:val="-4"/>
          <w:w w:val="105"/>
        </w:rPr>
        <w:t> </w:t>
      </w:r>
      <w:r>
        <w:rPr>
          <w:color w:val="231F20"/>
          <w:w w:val="105"/>
        </w:rPr>
        <w:t>or</w:t>
      </w:r>
      <w:r>
        <w:rPr>
          <w:color w:val="231F20"/>
          <w:spacing w:val="-4"/>
          <w:w w:val="105"/>
        </w:rPr>
        <w:t> </w:t>
      </w:r>
      <w:r>
        <w:rPr>
          <w:color w:val="231F20"/>
          <w:w w:val="105"/>
        </w:rPr>
        <w:t>more</w:t>
      </w:r>
      <w:r>
        <w:rPr>
          <w:color w:val="231F20"/>
          <w:spacing w:val="-4"/>
          <w:w w:val="105"/>
        </w:rPr>
        <w:t> </w:t>
      </w:r>
      <w:r>
        <w:rPr>
          <w:color w:val="231F20"/>
          <w:w w:val="105"/>
        </w:rPr>
        <w:t>named</w:t>
      </w:r>
      <w:r>
        <w:rPr>
          <w:color w:val="231F20"/>
          <w:spacing w:val="-4"/>
          <w:w w:val="105"/>
        </w:rPr>
        <w:t> </w:t>
      </w:r>
      <w:r>
        <w:rPr>
          <w:color w:val="231F20"/>
          <w:w w:val="105"/>
        </w:rPr>
        <w:t>dangerous</w:t>
      </w:r>
      <w:r>
        <w:rPr>
          <w:color w:val="231F20"/>
          <w:spacing w:val="-4"/>
          <w:w w:val="105"/>
        </w:rPr>
        <w:t> </w:t>
      </w:r>
      <w:r>
        <w:rPr>
          <w:color w:val="231F20"/>
          <w:w w:val="105"/>
        </w:rPr>
        <w:t>goods dissolved in a liquid that is not otherwise subject to this Code. When a flashpoint is mentioned in this column, the data is based on closed-cup (c.c.) methods.</w:t>
      </w:r>
    </w:p>
    <w:p>
      <w:pPr>
        <w:pStyle w:val="BodyText"/>
        <w:spacing w:line="256" w:lineRule="auto" w:before="160"/>
        <w:ind w:left="3577" w:right="848" w:hanging="1080"/>
        <w:jc w:val="both"/>
      </w:pPr>
      <w:r>
        <w:rPr>
          <w:color w:val="231F20"/>
          <w:w w:val="105"/>
        </w:rPr>
        <w:t>Column 3</w:t>
      </w:r>
      <w:r>
        <w:rPr>
          <w:color w:val="231F20"/>
          <w:spacing w:val="80"/>
          <w:w w:val="150"/>
        </w:rPr>
        <w:t>  </w:t>
      </w:r>
      <w:r>
        <w:rPr>
          <w:color w:val="231F20"/>
          <w:w w:val="105"/>
        </w:rPr>
        <w:t>Class or division – this column contains the class and, in the case of class 1, the division and the</w:t>
      </w:r>
      <w:r>
        <w:rPr>
          <w:color w:val="231F20"/>
          <w:w w:val="105"/>
        </w:rPr>
        <w:t> compatibility</w:t>
      </w:r>
      <w:r>
        <w:rPr>
          <w:color w:val="231F20"/>
          <w:w w:val="105"/>
        </w:rPr>
        <w:t> group</w:t>
      </w:r>
      <w:r>
        <w:rPr>
          <w:color w:val="231F20"/>
          <w:w w:val="105"/>
        </w:rPr>
        <w:t> assigned</w:t>
      </w:r>
      <w:r>
        <w:rPr>
          <w:color w:val="231F20"/>
          <w:w w:val="105"/>
        </w:rPr>
        <w:t> to</w:t>
      </w:r>
      <w:r>
        <w:rPr>
          <w:color w:val="231F20"/>
          <w:w w:val="105"/>
        </w:rPr>
        <w:t> the</w:t>
      </w:r>
      <w:r>
        <w:rPr>
          <w:color w:val="231F20"/>
          <w:w w:val="105"/>
        </w:rPr>
        <w:t> substance</w:t>
      </w:r>
      <w:r>
        <w:rPr>
          <w:color w:val="231F20"/>
          <w:w w:val="105"/>
        </w:rPr>
        <w:t> or</w:t>
      </w:r>
      <w:r>
        <w:rPr>
          <w:color w:val="231F20"/>
          <w:w w:val="105"/>
        </w:rPr>
        <w:t> article</w:t>
      </w:r>
      <w:r>
        <w:rPr>
          <w:color w:val="231F20"/>
          <w:w w:val="105"/>
        </w:rPr>
        <w:t> according</w:t>
      </w:r>
      <w:r>
        <w:rPr>
          <w:color w:val="231F20"/>
          <w:w w:val="105"/>
        </w:rPr>
        <w:t> to</w:t>
      </w:r>
      <w:r>
        <w:rPr>
          <w:color w:val="231F20"/>
          <w:w w:val="105"/>
        </w:rPr>
        <w:t> the</w:t>
      </w:r>
      <w:r>
        <w:rPr>
          <w:color w:val="231F20"/>
          <w:w w:val="105"/>
        </w:rPr>
        <w:t> classification system described in part 2, chapter 2.1.</w:t>
      </w:r>
    </w:p>
    <w:p>
      <w:pPr>
        <w:pStyle w:val="BodyText"/>
        <w:spacing w:line="256" w:lineRule="auto" w:before="155"/>
        <w:ind w:left="3577" w:right="847" w:hanging="1080"/>
        <w:jc w:val="both"/>
      </w:pPr>
      <w:r>
        <w:rPr>
          <w:color w:val="231F20"/>
          <w:w w:val="105"/>
        </w:rPr>
        <w:t>Column</w:t>
      </w:r>
      <w:r>
        <w:rPr>
          <w:color w:val="231F20"/>
          <w:spacing w:val="-2"/>
          <w:w w:val="105"/>
        </w:rPr>
        <w:t> </w:t>
      </w:r>
      <w:r>
        <w:rPr>
          <w:color w:val="231F20"/>
          <w:w w:val="105"/>
        </w:rPr>
        <w:t>4</w:t>
      </w:r>
      <w:r>
        <w:rPr>
          <w:color w:val="231F20"/>
          <w:spacing w:val="40"/>
          <w:w w:val="105"/>
        </w:rPr>
        <w:t>  </w:t>
      </w:r>
      <w:r>
        <w:rPr>
          <w:color w:val="231F20"/>
          <w:w w:val="105"/>
        </w:rPr>
        <w:t>Subsidiary hazard(s) – this column contains the class number(s) of any subsidiary hazard(s) which</w:t>
      </w:r>
      <w:r>
        <w:rPr>
          <w:color w:val="231F20"/>
          <w:w w:val="105"/>
        </w:rPr>
        <w:t> have</w:t>
      </w:r>
      <w:r>
        <w:rPr>
          <w:color w:val="231F20"/>
          <w:w w:val="105"/>
        </w:rPr>
        <w:t> been</w:t>
      </w:r>
      <w:r>
        <w:rPr>
          <w:color w:val="231F20"/>
          <w:w w:val="105"/>
        </w:rPr>
        <w:t> identified</w:t>
      </w:r>
      <w:r>
        <w:rPr>
          <w:color w:val="231F20"/>
          <w:w w:val="105"/>
        </w:rPr>
        <w:t> by</w:t>
      </w:r>
      <w:r>
        <w:rPr>
          <w:color w:val="231F20"/>
          <w:w w:val="105"/>
        </w:rPr>
        <w:t> applying</w:t>
      </w:r>
      <w:r>
        <w:rPr>
          <w:color w:val="231F20"/>
          <w:w w:val="105"/>
        </w:rPr>
        <w:t> the</w:t>
      </w:r>
      <w:r>
        <w:rPr>
          <w:color w:val="231F20"/>
          <w:w w:val="105"/>
        </w:rPr>
        <w:t> classification</w:t>
      </w:r>
      <w:r>
        <w:rPr>
          <w:color w:val="231F20"/>
          <w:w w:val="105"/>
        </w:rPr>
        <w:t> system</w:t>
      </w:r>
      <w:r>
        <w:rPr>
          <w:color w:val="231F20"/>
          <w:w w:val="105"/>
        </w:rPr>
        <w:t> described</w:t>
      </w:r>
      <w:r>
        <w:rPr>
          <w:color w:val="231F20"/>
          <w:w w:val="105"/>
        </w:rPr>
        <w:t> in</w:t>
      </w:r>
      <w:r>
        <w:rPr>
          <w:color w:val="231F20"/>
          <w:w w:val="105"/>
        </w:rPr>
        <w:t> part</w:t>
      </w:r>
      <w:r>
        <w:rPr>
          <w:color w:val="231F20"/>
          <w:w w:val="105"/>
        </w:rPr>
        <w:t> 2.</w:t>
      </w:r>
      <w:r>
        <w:rPr>
          <w:color w:val="231F20"/>
          <w:w w:val="105"/>
        </w:rPr>
        <w:t> This column also identifies a dangerous good as a marine pollutant as follows:</w:t>
      </w:r>
    </w:p>
    <w:p>
      <w:pPr>
        <w:pStyle w:val="BodyText"/>
        <w:spacing w:line="256" w:lineRule="auto" w:before="155"/>
        <w:ind w:left="4057" w:right="848" w:hanging="480"/>
        <w:jc w:val="both"/>
      </w:pPr>
      <w:r>
        <w:rPr>
          <w:rFonts w:ascii="Times New Roman" w:hAnsi="Times New Roman"/>
          <w:b/>
          <w:color w:val="231F20"/>
          <w:w w:val="105"/>
          <w:sz w:val="13"/>
        </w:rPr>
        <w:t>P</w:t>
      </w:r>
      <w:r>
        <w:rPr>
          <w:rFonts w:ascii="Times New Roman" w:hAnsi="Times New Roman"/>
          <w:b/>
          <w:color w:val="231F20"/>
          <w:spacing w:val="80"/>
          <w:w w:val="105"/>
          <w:sz w:val="13"/>
        </w:rPr>
        <w:t> </w:t>
      </w:r>
      <w:r>
        <w:rPr>
          <w:color w:val="231F20"/>
          <w:w w:val="105"/>
        </w:rPr>
        <w:t>–</w:t>
      </w:r>
      <w:r>
        <w:rPr>
          <w:color w:val="231F20"/>
          <w:spacing w:val="40"/>
          <w:w w:val="105"/>
        </w:rPr>
        <w:t> </w:t>
      </w:r>
      <w:r>
        <w:rPr>
          <w:color w:val="231F20"/>
          <w:w w:val="105"/>
        </w:rPr>
        <w:t>Marine pollutant: a non-exhaustive list of known marine pollutants, based on previous criteria and assignment. The absence of the symbol </w:t>
      </w:r>
      <w:r>
        <w:rPr>
          <w:rFonts w:ascii="Times New Roman" w:hAnsi="Times New Roman"/>
          <w:b/>
          <w:color w:val="231F20"/>
          <w:w w:val="105"/>
          <w:sz w:val="13"/>
        </w:rPr>
        <w:t>P</w:t>
      </w:r>
      <w:r>
        <w:rPr>
          <w:rFonts w:ascii="Times New Roman" w:hAnsi="Times New Roman"/>
          <w:b/>
          <w:color w:val="231F20"/>
          <w:spacing w:val="33"/>
          <w:w w:val="105"/>
          <w:sz w:val="13"/>
        </w:rPr>
        <w:t> </w:t>
      </w:r>
      <w:r>
        <w:rPr>
          <w:color w:val="231F20"/>
          <w:w w:val="105"/>
        </w:rPr>
        <w:t>or the presence of a “–” in that column does not preclude the application of 2.10.3.</w:t>
      </w:r>
    </w:p>
    <w:p>
      <w:pPr>
        <w:pStyle w:val="BodyText"/>
        <w:spacing w:line="256" w:lineRule="auto" w:before="154"/>
        <w:ind w:left="3577" w:right="847" w:hanging="1321"/>
        <w:jc w:val="both"/>
      </w:pPr>
      <w:r>
        <w:rPr>
          <w:rFonts w:ascii="Cambria" w:hAnsi="Cambria"/>
          <w:color w:val="231F20"/>
          <w:w w:val="105"/>
        </w:rPr>
        <w:t>△</w:t>
      </w:r>
      <w:r>
        <w:rPr>
          <w:rFonts w:ascii="Cambria" w:hAnsi="Cambria"/>
          <w:color w:val="231F20"/>
          <w:spacing w:val="40"/>
          <w:w w:val="105"/>
        </w:rPr>
        <w:t> </w:t>
      </w:r>
      <w:r>
        <w:rPr>
          <w:color w:val="231F20"/>
          <w:w w:val="105"/>
        </w:rPr>
        <w:t>Column 5</w:t>
      </w:r>
      <w:r>
        <w:rPr>
          <w:color w:val="231F20"/>
          <w:spacing w:val="80"/>
          <w:w w:val="150"/>
        </w:rPr>
        <w:t>  </w:t>
      </w:r>
      <w:r>
        <w:rPr>
          <w:color w:val="231F20"/>
          <w:w w:val="105"/>
        </w:rPr>
        <w:t>Packing</w:t>
      </w:r>
      <w:r>
        <w:rPr>
          <w:color w:val="231F20"/>
          <w:spacing w:val="-3"/>
          <w:w w:val="105"/>
        </w:rPr>
        <w:t> </w:t>
      </w:r>
      <w:r>
        <w:rPr>
          <w:color w:val="231F20"/>
          <w:w w:val="105"/>
        </w:rPr>
        <w:t>group</w:t>
      </w:r>
      <w:r>
        <w:rPr>
          <w:color w:val="231F20"/>
          <w:spacing w:val="-3"/>
          <w:w w:val="105"/>
        </w:rPr>
        <w:t> </w:t>
      </w:r>
      <w:r>
        <w:rPr>
          <w:color w:val="231F20"/>
          <w:w w:val="105"/>
        </w:rPr>
        <w:t>–</w:t>
      </w:r>
      <w:r>
        <w:rPr>
          <w:color w:val="231F20"/>
          <w:spacing w:val="-4"/>
          <w:w w:val="105"/>
        </w:rPr>
        <w:t> </w:t>
      </w:r>
      <w:r>
        <w:rPr>
          <w:color w:val="231F20"/>
          <w:w w:val="105"/>
        </w:rPr>
        <w:t>this</w:t>
      </w:r>
      <w:r>
        <w:rPr>
          <w:color w:val="231F20"/>
          <w:spacing w:val="-3"/>
          <w:w w:val="105"/>
        </w:rPr>
        <w:t> </w:t>
      </w:r>
      <w:r>
        <w:rPr>
          <w:color w:val="231F20"/>
          <w:w w:val="105"/>
        </w:rPr>
        <w:t>column</w:t>
      </w:r>
      <w:r>
        <w:rPr>
          <w:color w:val="231F20"/>
          <w:spacing w:val="-3"/>
          <w:w w:val="105"/>
        </w:rPr>
        <w:t> </w:t>
      </w:r>
      <w:r>
        <w:rPr>
          <w:color w:val="231F20"/>
          <w:w w:val="105"/>
        </w:rPr>
        <w:t>contains</w:t>
      </w:r>
      <w:r>
        <w:rPr>
          <w:color w:val="231F20"/>
          <w:spacing w:val="-4"/>
          <w:w w:val="105"/>
        </w:rPr>
        <w:t> </w:t>
      </w:r>
      <w:r>
        <w:rPr>
          <w:color w:val="231F20"/>
          <w:w w:val="105"/>
        </w:rPr>
        <w:t>the</w:t>
      </w:r>
      <w:r>
        <w:rPr>
          <w:color w:val="231F20"/>
          <w:spacing w:val="-3"/>
          <w:w w:val="105"/>
        </w:rPr>
        <w:t> </w:t>
      </w:r>
      <w:r>
        <w:rPr>
          <w:color w:val="231F20"/>
          <w:w w:val="105"/>
        </w:rPr>
        <w:t>packing</w:t>
      </w:r>
      <w:r>
        <w:rPr>
          <w:color w:val="231F20"/>
          <w:spacing w:val="-3"/>
          <w:w w:val="105"/>
        </w:rPr>
        <w:t> </w:t>
      </w:r>
      <w:r>
        <w:rPr>
          <w:color w:val="231F20"/>
          <w:w w:val="105"/>
        </w:rPr>
        <w:t>group</w:t>
      </w:r>
      <w:r>
        <w:rPr>
          <w:color w:val="231F20"/>
          <w:spacing w:val="-4"/>
          <w:w w:val="105"/>
        </w:rPr>
        <w:t> </w:t>
      </w:r>
      <w:r>
        <w:rPr>
          <w:color w:val="231F20"/>
          <w:w w:val="105"/>
        </w:rPr>
        <w:t>number</w:t>
      </w:r>
      <w:r>
        <w:rPr>
          <w:color w:val="231F20"/>
          <w:spacing w:val="-3"/>
          <w:w w:val="105"/>
        </w:rPr>
        <w:t> </w:t>
      </w:r>
      <w:r>
        <w:rPr>
          <w:color w:val="231F20"/>
          <w:w w:val="105"/>
        </w:rPr>
        <w:t>(i.e.</w:t>
      </w:r>
      <w:r>
        <w:rPr>
          <w:color w:val="231F20"/>
          <w:spacing w:val="-3"/>
          <w:w w:val="105"/>
        </w:rPr>
        <w:t> </w:t>
      </w:r>
      <w:r>
        <w:rPr>
          <w:color w:val="231F20"/>
          <w:w w:val="105"/>
        </w:rPr>
        <w:t>I,</w:t>
      </w:r>
      <w:r>
        <w:rPr>
          <w:color w:val="231F20"/>
          <w:spacing w:val="-4"/>
          <w:w w:val="105"/>
        </w:rPr>
        <w:t> </w:t>
      </w:r>
      <w:r>
        <w:rPr>
          <w:color w:val="231F20"/>
          <w:w w:val="105"/>
        </w:rPr>
        <w:t>II</w:t>
      </w:r>
      <w:r>
        <w:rPr>
          <w:color w:val="231F20"/>
          <w:spacing w:val="-3"/>
          <w:w w:val="105"/>
        </w:rPr>
        <w:t> </w:t>
      </w:r>
      <w:r>
        <w:rPr>
          <w:color w:val="231F20"/>
          <w:w w:val="105"/>
        </w:rPr>
        <w:t>or</w:t>
      </w:r>
      <w:r>
        <w:rPr>
          <w:color w:val="231F20"/>
          <w:spacing w:val="-3"/>
          <w:w w:val="105"/>
        </w:rPr>
        <w:t> </w:t>
      </w:r>
      <w:r>
        <w:rPr>
          <w:color w:val="231F20"/>
          <w:w w:val="105"/>
        </w:rPr>
        <w:t>III)</w:t>
      </w:r>
      <w:r>
        <w:rPr>
          <w:color w:val="231F20"/>
          <w:spacing w:val="-4"/>
          <w:w w:val="105"/>
        </w:rPr>
        <w:t> </w:t>
      </w:r>
      <w:r>
        <w:rPr>
          <w:color w:val="231F20"/>
          <w:w w:val="105"/>
        </w:rPr>
        <w:t>where</w:t>
      </w:r>
      <w:r>
        <w:rPr>
          <w:color w:val="231F20"/>
          <w:spacing w:val="-3"/>
          <w:w w:val="105"/>
        </w:rPr>
        <w:t> </w:t>
      </w:r>
      <w:r>
        <w:rPr>
          <w:color w:val="231F20"/>
          <w:w w:val="105"/>
        </w:rPr>
        <w:t>assigned to the substance. If more than one packing group is indicated for the entry, the packing group of the substance or formulation to be transported shall be determined, based on its properties, through application of the hazard grouping criteria as provided in part 2.</w:t>
      </w:r>
    </w:p>
    <w:p>
      <w:pPr>
        <w:pStyle w:val="BodyText"/>
        <w:spacing w:line="256" w:lineRule="auto" w:before="154"/>
        <w:ind w:left="3577" w:right="847" w:hanging="1080"/>
        <w:jc w:val="both"/>
      </w:pPr>
      <w:r>
        <w:rPr>
          <w:color w:val="231F20"/>
          <w:w w:val="105"/>
        </w:rPr>
        <w:t>Column 6</w:t>
      </w:r>
      <w:r>
        <w:rPr>
          <w:color w:val="231F20"/>
          <w:spacing w:val="40"/>
          <w:w w:val="105"/>
        </w:rPr>
        <w:t>  </w:t>
      </w:r>
      <w:r>
        <w:rPr>
          <w:color w:val="231F20"/>
          <w:w w:val="105"/>
        </w:rPr>
        <w:t>Special</w:t>
      </w:r>
      <w:r>
        <w:rPr>
          <w:color w:val="231F20"/>
          <w:w w:val="105"/>
        </w:rPr>
        <w:t> provisions</w:t>
      </w:r>
      <w:r>
        <w:rPr>
          <w:color w:val="231F20"/>
          <w:w w:val="105"/>
        </w:rPr>
        <w:t> –</w:t>
      </w:r>
      <w:r>
        <w:rPr>
          <w:color w:val="231F20"/>
          <w:w w:val="105"/>
        </w:rPr>
        <w:t> this</w:t>
      </w:r>
      <w:r>
        <w:rPr>
          <w:color w:val="231F20"/>
          <w:w w:val="105"/>
        </w:rPr>
        <w:t> column</w:t>
      </w:r>
      <w:r>
        <w:rPr>
          <w:color w:val="231F20"/>
          <w:w w:val="105"/>
        </w:rPr>
        <w:t> contains</w:t>
      </w:r>
      <w:r>
        <w:rPr>
          <w:color w:val="231F20"/>
          <w:w w:val="105"/>
        </w:rPr>
        <w:t> a</w:t>
      </w:r>
      <w:r>
        <w:rPr>
          <w:color w:val="231F20"/>
          <w:w w:val="105"/>
        </w:rPr>
        <w:t> number</w:t>
      </w:r>
      <w:r>
        <w:rPr>
          <w:color w:val="231F20"/>
          <w:w w:val="105"/>
        </w:rPr>
        <w:t> referring</w:t>
      </w:r>
      <w:r>
        <w:rPr>
          <w:color w:val="231F20"/>
          <w:w w:val="105"/>
        </w:rPr>
        <w:t> to</w:t>
      </w:r>
      <w:r>
        <w:rPr>
          <w:color w:val="231F20"/>
          <w:w w:val="105"/>
        </w:rPr>
        <w:t> any</w:t>
      </w:r>
      <w:r>
        <w:rPr>
          <w:color w:val="231F20"/>
          <w:w w:val="105"/>
        </w:rPr>
        <w:t> special</w:t>
      </w:r>
      <w:r>
        <w:rPr>
          <w:color w:val="231F20"/>
          <w:w w:val="105"/>
        </w:rPr>
        <w:t> provision(s)</w:t>
      </w:r>
      <w:r>
        <w:rPr>
          <w:color w:val="231F20"/>
          <w:spacing w:val="40"/>
          <w:w w:val="105"/>
        </w:rPr>
        <w:t> </w:t>
      </w:r>
      <w:r>
        <w:rPr>
          <w:color w:val="231F20"/>
          <w:w w:val="105"/>
        </w:rPr>
        <w:t>indicated in chapter 3.3 that is relevant to the substance or article. Special provisions apply to all packing groups permitted for a particular substance or article unless the wording makes it otherwise apparent. The special provision numbers specific to the sea mode start from 900.</w:t>
      </w:r>
    </w:p>
    <w:p>
      <w:pPr>
        <w:pStyle w:val="BodyText"/>
        <w:spacing w:line="256" w:lineRule="auto" w:before="156"/>
        <w:ind w:left="3577" w:right="847"/>
        <w:jc w:val="both"/>
      </w:pPr>
      <w:r>
        <w:rPr>
          <w:rFonts w:ascii="Arial"/>
          <w:b/>
          <w:color w:val="231F20"/>
          <w:w w:val="105"/>
        </w:rPr>
        <w:t>Note: </w:t>
      </w:r>
      <w:r>
        <w:rPr>
          <w:color w:val="231F20"/>
          <w:w w:val="105"/>
        </w:rPr>
        <w:t>When a special provision is no longer needed, this special provision is deleted but the special provision number is not allocated again, in order not to confuse the users of this Code. For this reason, some of the numbers are missing.</w:t>
      </w:r>
    </w:p>
    <w:p>
      <w:pPr>
        <w:pStyle w:val="BodyText"/>
        <w:spacing w:line="256" w:lineRule="auto" w:before="156"/>
        <w:ind w:left="3577" w:right="848" w:hanging="1080"/>
        <w:jc w:val="both"/>
      </w:pPr>
      <w:r>
        <w:rPr>
          <w:color w:val="231F20"/>
          <w:w w:val="105"/>
        </w:rPr>
        <w:t>Column 7a</w:t>
      </w:r>
      <w:r>
        <w:rPr>
          <w:color w:val="231F20"/>
          <w:spacing w:val="80"/>
          <w:w w:val="105"/>
        </w:rPr>
        <w:t>  </w:t>
      </w:r>
      <w:r>
        <w:rPr>
          <w:color w:val="231F20"/>
          <w:w w:val="105"/>
        </w:rPr>
        <w:t>Limited quantities – this column provides the maximum quantity per inner packaging or article for transporting dangerous goods as limited quantities in accordance with chapter 3.4.</w:t>
      </w:r>
    </w:p>
    <w:p>
      <w:pPr>
        <w:pStyle w:val="BodyText"/>
        <w:tabs>
          <w:tab w:pos="3577" w:val="left" w:leader="none"/>
        </w:tabs>
        <w:spacing w:before="154"/>
        <w:ind w:left="2497"/>
      </w:pPr>
      <w:r>
        <w:rPr>
          <w:color w:val="231F20"/>
          <w:w w:val="105"/>
        </w:rPr>
        <w:t>Column</w:t>
      </w:r>
      <w:r>
        <w:rPr>
          <w:color w:val="231F20"/>
          <w:spacing w:val="-5"/>
          <w:w w:val="105"/>
        </w:rPr>
        <w:t> 7b</w:t>
      </w:r>
      <w:r>
        <w:rPr>
          <w:color w:val="231F20"/>
        </w:rPr>
        <w:tab/>
      </w:r>
      <w:r>
        <w:rPr>
          <w:color w:val="231F20"/>
          <w:w w:val="105"/>
        </w:rPr>
        <w:t>Excepted</w:t>
      </w:r>
      <w:r>
        <w:rPr>
          <w:color w:val="231F20"/>
          <w:spacing w:val="20"/>
          <w:w w:val="105"/>
        </w:rPr>
        <w:t> </w:t>
      </w:r>
      <w:r>
        <w:rPr>
          <w:color w:val="231F20"/>
          <w:w w:val="105"/>
        </w:rPr>
        <w:t>quantities</w:t>
      </w:r>
      <w:r>
        <w:rPr>
          <w:color w:val="231F20"/>
          <w:spacing w:val="20"/>
          <w:w w:val="105"/>
        </w:rPr>
        <w:t> </w:t>
      </w:r>
      <w:r>
        <w:rPr>
          <w:color w:val="231F20"/>
          <w:w w:val="105"/>
        </w:rPr>
        <w:t>–</w:t>
      </w:r>
      <w:r>
        <w:rPr>
          <w:color w:val="231F20"/>
          <w:spacing w:val="21"/>
          <w:w w:val="105"/>
        </w:rPr>
        <w:t> </w:t>
      </w:r>
      <w:r>
        <w:rPr>
          <w:color w:val="231F20"/>
          <w:w w:val="105"/>
        </w:rPr>
        <w:t>this</w:t>
      </w:r>
      <w:r>
        <w:rPr>
          <w:color w:val="231F20"/>
          <w:spacing w:val="20"/>
          <w:w w:val="105"/>
        </w:rPr>
        <w:t> </w:t>
      </w:r>
      <w:r>
        <w:rPr>
          <w:color w:val="231F20"/>
          <w:w w:val="105"/>
        </w:rPr>
        <w:t>column</w:t>
      </w:r>
      <w:r>
        <w:rPr>
          <w:color w:val="231F20"/>
          <w:spacing w:val="20"/>
          <w:w w:val="105"/>
        </w:rPr>
        <w:t> </w:t>
      </w:r>
      <w:r>
        <w:rPr>
          <w:color w:val="231F20"/>
          <w:w w:val="105"/>
        </w:rPr>
        <w:t>provides</w:t>
      </w:r>
      <w:r>
        <w:rPr>
          <w:color w:val="231F20"/>
          <w:spacing w:val="21"/>
          <w:w w:val="105"/>
        </w:rPr>
        <w:t> </w:t>
      </w:r>
      <w:r>
        <w:rPr>
          <w:color w:val="231F20"/>
          <w:w w:val="105"/>
        </w:rPr>
        <w:t>an</w:t>
      </w:r>
      <w:r>
        <w:rPr>
          <w:color w:val="231F20"/>
          <w:spacing w:val="20"/>
          <w:w w:val="105"/>
        </w:rPr>
        <w:t> </w:t>
      </w:r>
      <w:r>
        <w:rPr>
          <w:color w:val="231F20"/>
          <w:w w:val="105"/>
        </w:rPr>
        <w:t>alpha-numeric</w:t>
      </w:r>
      <w:r>
        <w:rPr>
          <w:color w:val="231F20"/>
          <w:spacing w:val="20"/>
          <w:w w:val="105"/>
        </w:rPr>
        <w:t> </w:t>
      </w:r>
      <w:r>
        <w:rPr>
          <w:color w:val="231F20"/>
          <w:w w:val="105"/>
        </w:rPr>
        <w:t>code</w:t>
      </w:r>
      <w:r>
        <w:rPr>
          <w:color w:val="231F20"/>
          <w:spacing w:val="21"/>
          <w:w w:val="105"/>
        </w:rPr>
        <w:t> </w:t>
      </w:r>
      <w:r>
        <w:rPr>
          <w:color w:val="231F20"/>
          <w:w w:val="105"/>
        </w:rPr>
        <w:t>described</w:t>
      </w:r>
      <w:r>
        <w:rPr>
          <w:color w:val="231F20"/>
          <w:spacing w:val="20"/>
          <w:w w:val="105"/>
        </w:rPr>
        <w:t> </w:t>
      </w:r>
      <w:r>
        <w:rPr>
          <w:color w:val="231F20"/>
          <w:w w:val="105"/>
        </w:rPr>
        <w:t>in</w:t>
      </w:r>
      <w:r>
        <w:rPr>
          <w:color w:val="231F20"/>
          <w:spacing w:val="20"/>
          <w:w w:val="105"/>
        </w:rPr>
        <w:t> </w:t>
      </w:r>
      <w:r>
        <w:rPr>
          <w:color w:val="231F20"/>
          <w:spacing w:val="-2"/>
          <w:w w:val="105"/>
        </w:rPr>
        <w:t>subsection</w:t>
      </w:r>
    </w:p>
    <w:p>
      <w:pPr>
        <w:pStyle w:val="BodyText"/>
        <w:spacing w:line="256" w:lineRule="auto" w:before="15"/>
        <w:ind w:left="3577" w:right="358"/>
      </w:pPr>
      <w:r>
        <w:rPr>
          <w:color w:val="231F20"/>
          <w:w w:val="105"/>
        </w:rPr>
        <w:t>3.5.1.2 which indicates the maximum quantity per inner and outer packaging for transporting dangerous goods as excepted quantities in accordance with chapter 3.5.</w:t>
      </w:r>
    </w:p>
    <w:p>
      <w:pPr>
        <w:pStyle w:val="BodyText"/>
        <w:spacing w:line="256" w:lineRule="auto" w:before="154"/>
        <w:ind w:left="3577" w:right="847" w:hanging="1080"/>
        <w:jc w:val="both"/>
      </w:pPr>
      <w:r>
        <w:rPr>
          <w:color w:val="231F20"/>
        </w:rPr>
        <w:t>Column 8</w:t>
      </w:r>
      <w:r>
        <w:rPr>
          <w:color w:val="231F20"/>
          <w:spacing w:val="80"/>
          <w:w w:val="150"/>
        </w:rPr>
        <w:t>  </w:t>
      </w:r>
      <w:r>
        <w:rPr>
          <w:color w:val="231F20"/>
        </w:rPr>
        <w:t>Packing</w:t>
      </w:r>
      <w:r>
        <w:rPr>
          <w:color w:val="231F20"/>
          <w:spacing w:val="37"/>
        </w:rPr>
        <w:t> </w:t>
      </w:r>
      <w:r>
        <w:rPr>
          <w:color w:val="231F20"/>
        </w:rPr>
        <w:t>instructions</w:t>
      </w:r>
      <w:r>
        <w:rPr>
          <w:color w:val="231F20"/>
          <w:spacing w:val="37"/>
        </w:rPr>
        <w:t> </w:t>
      </w:r>
      <w:r>
        <w:rPr>
          <w:color w:val="231F20"/>
        </w:rPr>
        <w:t>–</w:t>
      </w:r>
      <w:r>
        <w:rPr>
          <w:color w:val="231F20"/>
          <w:spacing w:val="37"/>
        </w:rPr>
        <w:t> </w:t>
      </w:r>
      <w:r>
        <w:rPr>
          <w:color w:val="231F20"/>
        </w:rPr>
        <w:t>this</w:t>
      </w:r>
      <w:r>
        <w:rPr>
          <w:color w:val="231F20"/>
          <w:spacing w:val="37"/>
        </w:rPr>
        <w:t> </w:t>
      </w:r>
      <w:r>
        <w:rPr>
          <w:color w:val="231F20"/>
        </w:rPr>
        <w:t>column</w:t>
      </w:r>
      <w:r>
        <w:rPr>
          <w:color w:val="231F20"/>
          <w:spacing w:val="37"/>
        </w:rPr>
        <w:t> </w:t>
      </w:r>
      <w:r>
        <w:rPr>
          <w:color w:val="231F20"/>
        </w:rPr>
        <w:t>contains</w:t>
      </w:r>
      <w:r>
        <w:rPr>
          <w:color w:val="231F20"/>
          <w:spacing w:val="37"/>
        </w:rPr>
        <w:t> </w:t>
      </w:r>
      <w:r>
        <w:rPr>
          <w:color w:val="231F20"/>
        </w:rPr>
        <w:t>alpha-numeric</w:t>
      </w:r>
      <w:r>
        <w:rPr>
          <w:color w:val="231F20"/>
          <w:spacing w:val="37"/>
        </w:rPr>
        <w:t> </w:t>
      </w:r>
      <w:r>
        <w:rPr>
          <w:color w:val="231F20"/>
        </w:rPr>
        <w:t>codes</w:t>
      </w:r>
      <w:r>
        <w:rPr>
          <w:color w:val="231F20"/>
          <w:spacing w:val="37"/>
        </w:rPr>
        <w:t> </w:t>
      </w:r>
      <w:r>
        <w:rPr>
          <w:color w:val="231F20"/>
        </w:rPr>
        <w:t>which</w:t>
      </w:r>
      <w:r>
        <w:rPr>
          <w:color w:val="231F20"/>
          <w:spacing w:val="37"/>
        </w:rPr>
        <w:t> </w:t>
      </w:r>
      <w:r>
        <w:rPr>
          <w:color w:val="231F20"/>
        </w:rPr>
        <w:t>refer</w:t>
      </w:r>
      <w:r>
        <w:rPr>
          <w:color w:val="231F20"/>
          <w:spacing w:val="37"/>
        </w:rPr>
        <w:t> </w:t>
      </w:r>
      <w:r>
        <w:rPr>
          <w:color w:val="231F20"/>
        </w:rPr>
        <w:t>to</w:t>
      </w:r>
      <w:r>
        <w:rPr>
          <w:color w:val="231F20"/>
          <w:spacing w:val="37"/>
        </w:rPr>
        <w:t> </w:t>
      </w:r>
      <w:r>
        <w:rPr>
          <w:color w:val="231F20"/>
        </w:rPr>
        <w:t>the</w:t>
      </w:r>
      <w:r>
        <w:rPr>
          <w:color w:val="231F20"/>
          <w:spacing w:val="37"/>
        </w:rPr>
        <w:t> </w:t>
      </w:r>
      <w:r>
        <w:rPr>
          <w:color w:val="231F20"/>
        </w:rPr>
        <w:t>relevant packing instruction(s) in 4.1.4. The packing instructions indicate the packagings (including large packagings)</w:t>
      </w:r>
      <w:r>
        <w:rPr>
          <w:color w:val="231F20"/>
          <w:spacing w:val="40"/>
        </w:rPr>
        <w:t> </w:t>
      </w:r>
      <w:r>
        <w:rPr>
          <w:color w:val="231F20"/>
        </w:rPr>
        <w:t>which</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used</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transport</w:t>
      </w:r>
      <w:r>
        <w:rPr>
          <w:color w:val="231F20"/>
          <w:spacing w:val="40"/>
        </w:rPr>
        <w:t> </w:t>
      </w:r>
      <w:r>
        <w:rPr>
          <w:color w:val="231F20"/>
        </w:rPr>
        <w:t>of</w:t>
      </w:r>
      <w:r>
        <w:rPr>
          <w:color w:val="231F20"/>
          <w:spacing w:val="40"/>
        </w:rPr>
        <w:t> </w:t>
      </w:r>
      <w:r>
        <w:rPr>
          <w:color w:val="231F20"/>
        </w:rPr>
        <w:t>substances</w:t>
      </w:r>
      <w:r>
        <w:rPr>
          <w:color w:val="231F20"/>
          <w:spacing w:val="40"/>
        </w:rPr>
        <w:t> </w:t>
      </w:r>
      <w:r>
        <w:rPr>
          <w:color w:val="231F20"/>
        </w:rPr>
        <w:t>and</w:t>
      </w:r>
      <w:r>
        <w:rPr>
          <w:color w:val="231F20"/>
          <w:spacing w:val="40"/>
        </w:rPr>
        <w:t> </w:t>
      </w:r>
      <w:r>
        <w:rPr>
          <w:color w:val="231F20"/>
        </w:rPr>
        <w:t>articles.</w:t>
      </w:r>
    </w:p>
    <w:p>
      <w:pPr>
        <w:pStyle w:val="BodyText"/>
        <w:spacing w:line="256" w:lineRule="auto" w:before="156"/>
        <w:ind w:left="3577" w:right="847"/>
        <w:jc w:val="both"/>
      </w:pPr>
      <w:r>
        <w:rPr>
          <w:color w:val="231F20"/>
          <w:w w:val="105"/>
        </w:rPr>
        <w:t>A</w:t>
      </w:r>
      <w:r>
        <w:rPr>
          <w:color w:val="231F20"/>
          <w:spacing w:val="-6"/>
          <w:w w:val="105"/>
        </w:rPr>
        <w:t> </w:t>
      </w:r>
      <w:r>
        <w:rPr>
          <w:color w:val="231F20"/>
          <w:w w:val="105"/>
        </w:rPr>
        <w:t>code</w:t>
      </w:r>
      <w:r>
        <w:rPr>
          <w:color w:val="231F20"/>
          <w:spacing w:val="-6"/>
          <w:w w:val="105"/>
        </w:rPr>
        <w:t> </w:t>
      </w:r>
      <w:r>
        <w:rPr>
          <w:color w:val="231F20"/>
          <w:w w:val="105"/>
        </w:rPr>
        <w:t>including</w:t>
      </w:r>
      <w:r>
        <w:rPr>
          <w:color w:val="231F20"/>
          <w:spacing w:val="-6"/>
          <w:w w:val="105"/>
        </w:rPr>
        <w:t> </w:t>
      </w:r>
      <w:r>
        <w:rPr>
          <w:color w:val="231F20"/>
          <w:w w:val="105"/>
        </w:rPr>
        <w:t>the</w:t>
      </w:r>
      <w:r>
        <w:rPr>
          <w:color w:val="231F20"/>
          <w:spacing w:val="-6"/>
          <w:w w:val="105"/>
        </w:rPr>
        <w:t> </w:t>
      </w:r>
      <w:r>
        <w:rPr>
          <w:color w:val="231F20"/>
          <w:w w:val="105"/>
        </w:rPr>
        <w:t>letter</w:t>
      </w:r>
      <w:r>
        <w:rPr>
          <w:color w:val="231F20"/>
          <w:spacing w:val="-6"/>
          <w:w w:val="105"/>
        </w:rPr>
        <w:t> </w:t>
      </w:r>
      <w:r>
        <w:rPr>
          <w:color w:val="231F20"/>
          <w:w w:val="105"/>
        </w:rPr>
        <w:t>“P”</w:t>
      </w:r>
      <w:r>
        <w:rPr>
          <w:color w:val="231F20"/>
          <w:spacing w:val="-6"/>
          <w:w w:val="105"/>
        </w:rPr>
        <w:t> </w:t>
      </w:r>
      <w:r>
        <w:rPr>
          <w:color w:val="231F20"/>
          <w:w w:val="105"/>
        </w:rPr>
        <w:t>refers</w:t>
      </w:r>
      <w:r>
        <w:rPr>
          <w:color w:val="231F20"/>
          <w:spacing w:val="-6"/>
          <w:w w:val="105"/>
        </w:rPr>
        <w:t> </w:t>
      </w:r>
      <w:r>
        <w:rPr>
          <w:color w:val="231F20"/>
          <w:w w:val="105"/>
        </w:rPr>
        <w:t>to</w:t>
      </w:r>
      <w:r>
        <w:rPr>
          <w:color w:val="231F20"/>
          <w:spacing w:val="-6"/>
          <w:w w:val="105"/>
        </w:rPr>
        <w:t> </w:t>
      </w:r>
      <w:r>
        <w:rPr>
          <w:color w:val="231F20"/>
          <w:w w:val="105"/>
        </w:rPr>
        <w:t>packing</w:t>
      </w:r>
      <w:r>
        <w:rPr>
          <w:color w:val="231F20"/>
          <w:spacing w:val="-6"/>
          <w:w w:val="105"/>
        </w:rPr>
        <w:t> </w:t>
      </w:r>
      <w:r>
        <w:rPr>
          <w:color w:val="231F20"/>
          <w:w w:val="105"/>
        </w:rPr>
        <w:t>instructions</w:t>
      </w:r>
      <w:r>
        <w:rPr>
          <w:color w:val="231F20"/>
          <w:spacing w:val="-6"/>
          <w:w w:val="105"/>
        </w:rPr>
        <w:t> </w:t>
      </w:r>
      <w:r>
        <w:rPr>
          <w:color w:val="231F20"/>
          <w:w w:val="105"/>
        </w:rPr>
        <w:t>for</w:t>
      </w:r>
      <w:r>
        <w:rPr>
          <w:color w:val="231F20"/>
          <w:spacing w:val="-6"/>
          <w:w w:val="105"/>
        </w:rPr>
        <w:t> </w:t>
      </w:r>
      <w:r>
        <w:rPr>
          <w:color w:val="231F20"/>
          <w:w w:val="105"/>
        </w:rPr>
        <w:t>the</w:t>
      </w:r>
      <w:r>
        <w:rPr>
          <w:color w:val="231F20"/>
          <w:spacing w:val="-6"/>
          <w:w w:val="105"/>
        </w:rPr>
        <w:t> </w:t>
      </w:r>
      <w:r>
        <w:rPr>
          <w:color w:val="231F20"/>
          <w:w w:val="105"/>
        </w:rPr>
        <w:t>use</w:t>
      </w:r>
      <w:r>
        <w:rPr>
          <w:color w:val="231F20"/>
          <w:spacing w:val="-6"/>
          <w:w w:val="105"/>
        </w:rPr>
        <w:t> </w:t>
      </w:r>
      <w:r>
        <w:rPr>
          <w:color w:val="231F20"/>
          <w:w w:val="105"/>
        </w:rPr>
        <w:t>of</w:t>
      </w:r>
      <w:r>
        <w:rPr>
          <w:color w:val="231F20"/>
          <w:spacing w:val="-6"/>
          <w:w w:val="105"/>
        </w:rPr>
        <w:t> </w:t>
      </w:r>
      <w:r>
        <w:rPr>
          <w:color w:val="231F20"/>
          <w:w w:val="105"/>
        </w:rPr>
        <w:t>packagings</w:t>
      </w:r>
      <w:r>
        <w:rPr>
          <w:color w:val="231F20"/>
          <w:spacing w:val="-6"/>
          <w:w w:val="105"/>
        </w:rPr>
        <w:t> </w:t>
      </w:r>
      <w:r>
        <w:rPr>
          <w:color w:val="231F20"/>
          <w:w w:val="105"/>
        </w:rPr>
        <w:t>described in chapter 6.1, 6.2 or 6.3.</w:t>
      </w: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588352">
                <wp:simplePos x="0" y="0"/>
                <wp:positionH relativeFrom="page">
                  <wp:posOffset>899999</wp:posOffset>
                </wp:positionH>
                <wp:positionV relativeFrom="paragraph">
                  <wp:posOffset>254622</wp:posOffset>
                </wp:positionV>
                <wp:extent cx="6120130" cy="63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20130" cy="6350"/>
                          <a:chExt cx="6120130" cy="6350"/>
                        </a:xfrm>
                      </wpg:grpSpPr>
                      <wps:wsp>
                        <wps:cNvPr id="9" name="Graphic 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049023pt;width:481.9pt;height:.5pt;mso-position-horizontal-relative:page;mso-position-vertical-relative:paragraph;z-index:-15728128;mso-wrap-distance-left:0;mso-wrap-distance-right:0" id="docshapegroup8" coordorigin="1417,401" coordsize="9638,10">
                <v:line style="position:absolute" from="5953,406" to="11055,406" stroked="true" strokeweight=".5pt" strokecolor="#231f20">
                  <v:stroke dashstyle="solid"/>
                </v:line>
                <v:line style="position:absolute" from="1417,406" to="5953,406"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608" w:top="720" w:bottom="800" w:left="0" w:right="0"/>
          <w:pgNumType w:start="587"/>
        </w:sectPr>
      </w:pPr>
    </w:p>
    <w:p>
      <w:pPr>
        <w:pStyle w:val="BodyText"/>
        <w:spacing w:before="70"/>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360045" cy="21386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60045" cy="2138680"/>
                          <a:chExt cx="360045" cy="2138680"/>
                        </a:xfrm>
                      </wpg:grpSpPr>
                      <wps:wsp>
                        <wps:cNvPr id="15" name="Graphic 15"/>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6" name="Textbox 16"/>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0pt;width:28.35pt;height:168.4pt;mso-position-horizontal-relative:page;mso-position-vertical-relative:page;z-index:15731712" id="docshapegroup12" coordorigin="0,0" coordsize="567,3368">
                <v:rect style="position:absolute;left:0;top:0;width:567;height:3368" id="docshape13" filled="true" fillcolor="#58595b" stroked="false">
                  <v:fill type="solid"/>
                </v:rect>
                <v:shape style="position:absolute;left:0;top:0;width:567;height:3368" type="#_x0000_t202" id="docshape1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89376">
                <wp:simplePos x="0" y="0"/>
                <wp:positionH relativeFrom="page">
                  <wp:posOffset>540000</wp:posOffset>
                </wp:positionH>
                <wp:positionV relativeFrom="paragraph">
                  <wp:posOffset>56635</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59514pt;width:481.9pt;height:.1pt;mso-position-horizontal-relative:page;mso-position-vertical-relative:paragraph;z-index:-15727104;mso-wrap-distance-left:0;mso-wrap-distance-right:0" id="docshape15" coordorigin="850,89" coordsize="9638,0" path="m850,89l10488,89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BodyText"/>
        <w:spacing w:after="4"/>
        <w:ind w:left="3010"/>
      </w:pPr>
      <w:r>
        <w:rPr>
          <w:color w:val="231F20"/>
          <w:w w:val="105"/>
        </w:rPr>
        <w:t>A</w:t>
      </w:r>
      <w:r>
        <w:rPr>
          <w:color w:val="231F20"/>
          <w:spacing w:val="3"/>
          <w:w w:val="105"/>
        </w:rPr>
        <w:t> </w:t>
      </w:r>
      <w:r>
        <w:rPr>
          <w:color w:val="231F20"/>
          <w:w w:val="105"/>
        </w:rPr>
        <w:t>code</w:t>
      </w:r>
      <w:r>
        <w:rPr>
          <w:color w:val="231F20"/>
          <w:spacing w:val="3"/>
          <w:w w:val="105"/>
        </w:rPr>
        <w:t> </w:t>
      </w:r>
      <w:r>
        <w:rPr>
          <w:color w:val="231F20"/>
          <w:w w:val="105"/>
        </w:rPr>
        <w:t>including</w:t>
      </w:r>
      <w:r>
        <w:rPr>
          <w:color w:val="231F20"/>
          <w:spacing w:val="4"/>
          <w:w w:val="105"/>
        </w:rPr>
        <w:t> </w:t>
      </w:r>
      <w:r>
        <w:rPr>
          <w:color w:val="231F20"/>
          <w:w w:val="105"/>
        </w:rPr>
        <w:t>the</w:t>
      </w:r>
      <w:r>
        <w:rPr>
          <w:color w:val="231F20"/>
          <w:spacing w:val="3"/>
          <w:w w:val="105"/>
        </w:rPr>
        <w:t> </w:t>
      </w:r>
      <w:r>
        <w:rPr>
          <w:color w:val="231F20"/>
          <w:w w:val="105"/>
        </w:rPr>
        <w:t>letters</w:t>
      </w:r>
      <w:r>
        <w:rPr>
          <w:color w:val="231F20"/>
          <w:spacing w:val="3"/>
          <w:w w:val="105"/>
        </w:rPr>
        <w:t> </w:t>
      </w:r>
      <w:r>
        <w:rPr>
          <w:color w:val="231F20"/>
          <w:w w:val="105"/>
        </w:rPr>
        <w:t>“LP”</w:t>
      </w:r>
      <w:r>
        <w:rPr>
          <w:color w:val="231F20"/>
          <w:spacing w:val="4"/>
          <w:w w:val="105"/>
        </w:rPr>
        <w:t> </w:t>
      </w:r>
      <w:r>
        <w:rPr>
          <w:color w:val="231F20"/>
          <w:w w:val="105"/>
        </w:rPr>
        <w:t>refers</w:t>
      </w:r>
      <w:r>
        <w:rPr>
          <w:color w:val="231F20"/>
          <w:spacing w:val="3"/>
          <w:w w:val="105"/>
        </w:rPr>
        <w:t> </w:t>
      </w:r>
      <w:r>
        <w:rPr>
          <w:color w:val="231F20"/>
          <w:w w:val="105"/>
        </w:rPr>
        <w:t>to</w:t>
      </w:r>
      <w:r>
        <w:rPr>
          <w:color w:val="231F20"/>
          <w:spacing w:val="4"/>
          <w:w w:val="105"/>
        </w:rPr>
        <w:t> </w:t>
      </w:r>
      <w:r>
        <w:rPr>
          <w:color w:val="231F20"/>
          <w:w w:val="105"/>
        </w:rPr>
        <w:t>packing</w:t>
      </w:r>
      <w:r>
        <w:rPr>
          <w:color w:val="231F20"/>
          <w:spacing w:val="3"/>
          <w:w w:val="105"/>
        </w:rPr>
        <w:t> </w:t>
      </w:r>
      <w:r>
        <w:rPr>
          <w:color w:val="231F20"/>
          <w:w w:val="105"/>
        </w:rPr>
        <w:t>instructions</w:t>
      </w:r>
      <w:r>
        <w:rPr>
          <w:color w:val="231F20"/>
          <w:spacing w:val="3"/>
          <w:w w:val="105"/>
        </w:rPr>
        <w:t> </w:t>
      </w:r>
      <w:r>
        <w:rPr>
          <w:color w:val="231F20"/>
          <w:w w:val="105"/>
        </w:rPr>
        <w:t>for</w:t>
      </w:r>
      <w:r>
        <w:rPr>
          <w:color w:val="231F20"/>
          <w:spacing w:val="4"/>
          <w:w w:val="105"/>
        </w:rPr>
        <w:t> </w:t>
      </w:r>
      <w:r>
        <w:rPr>
          <w:color w:val="231F20"/>
          <w:w w:val="105"/>
        </w:rPr>
        <w:t>the</w:t>
      </w:r>
      <w:r>
        <w:rPr>
          <w:color w:val="231F20"/>
          <w:spacing w:val="3"/>
          <w:w w:val="105"/>
        </w:rPr>
        <w:t> </w:t>
      </w:r>
      <w:r>
        <w:rPr>
          <w:color w:val="231F20"/>
          <w:w w:val="105"/>
        </w:rPr>
        <w:t>use</w:t>
      </w:r>
      <w:r>
        <w:rPr>
          <w:color w:val="231F20"/>
          <w:spacing w:val="4"/>
          <w:w w:val="105"/>
        </w:rPr>
        <w:t> </w:t>
      </w:r>
      <w:r>
        <w:rPr>
          <w:color w:val="231F20"/>
          <w:w w:val="105"/>
        </w:rPr>
        <w:t>of</w:t>
      </w:r>
      <w:r>
        <w:rPr>
          <w:color w:val="231F20"/>
          <w:spacing w:val="3"/>
          <w:w w:val="105"/>
        </w:rPr>
        <w:t> </w:t>
      </w:r>
      <w:r>
        <w:rPr>
          <w:color w:val="231F20"/>
          <w:w w:val="105"/>
        </w:rPr>
        <w:t>large</w:t>
      </w:r>
      <w:r>
        <w:rPr>
          <w:color w:val="231F20"/>
          <w:spacing w:val="3"/>
          <w:w w:val="105"/>
        </w:rPr>
        <w:t> </w:t>
      </w:r>
      <w:r>
        <w:rPr>
          <w:color w:val="231F20"/>
          <w:spacing w:val="-2"/>
          <w:w w:val="105"/>
        </w:rPr>
        <w:t>packagings</w:t>
      </w:r>
    </w:p>
    <w:p>
      <w:pPr>
        <w:spacing w:line="207" w:lineRule="exact"/>
        <w:ind w:left="3010" w:right="0" w:firstLine="0"/>
        <w:rPr>
          <w:position w:val="-3"/>
          <w:sz w:val="20"/>
        </w:rPr>
      </w:pPr>
      <w:r>
        <w:rPr>
          <w:position w:val="-3"/>
          <w:sz w:val="20"/>
        </w:rPr>
        <mc:AlternateContent>
          <mc:Choice Requires="wps">
            <w:drawing>
              <wp:inline distT="0" distB="0" distL="0" distR="0">
                <wp:extent cx="1255395" cy="13208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1255395" cy="132080"/>
                        </a:xfrm>
                        <a:prstGeom prst="rect">
                          <a:avLst/>
                        </a:prstGeom>
                      </wps:spPr>
                      <wps:txbx>
                        <w:txbxContent>
                          <w:p>
                            <w:pPr>
                              <w:pStyle w:val="BodyText"/>
                              <w:spacing w:before="11"/>
                            </w:pPr>
                            <w:r>
                              <w:rPr>
                                <w:color w:val="231F20"/>
                                <w:w w:val="105"/>
                              </w:rPr>
                              <w:t>described</w:t>
                            </w:r>
                            <w:r>
                              <w:rPr>
                                <w:color w:val="231F20"/>
                                <w:spacing w:val="3"/>
                                <w:w w:val="105"/>
                              </w:rPr>
                              <w:t> </w:t>
                            </w:r>
                            <w:r>
                              <w:rPr>
                                <w:color w:val="231F20"/>
                                <w:w w:val="105"/>
                              </w:rPr>
                              <w:t>in</w:t>
                            </w:r>
                            <w:r>
                              <w:rPr>
                                <w:color w:val="231F20"/>
                                <w:spacing w:val="3"/>
                                <w:w w:val="105"/>
                              </w:rPr>
                              <w:t> </w:t>
                            </w:r>
                            <w:r>
                              <w:rPr>
                                <w:color w:val="231F20"/>
                                <w:w w:val="105"/>
                              </w:rPr>
                              <w:t>chapter</w:t>
                            </w:r>
                            <w:r>
                              <w:rPr>
                                <w:color w:val="231F20"/>
                                <w:spacing w:val="3"/>
                                <w:w w:val="105"/>
                              </w:rPr>
                              <w:t> </w:t>
                            </w:r>
                            <w:r>
                              <w:rPr>
                                <w:color w:val="231F20"/>
                                <w:spacing w:val="-4"/>
                                <w:w w:val="105"/>
                              </w:rPr>
                              <w:t>6.6.</w:t>
                            </w:r>
                          </w:p>
                        </w:txbxContent>
                      </wps:txbx>
                      <wps:bodyPr wrap="square" lIns="0" tIns="0" rIns="0" bIns="0" rtlCol="0">
                        <a:noAutofit/>
                      </wps:bodyPr>
                    </wps:wsp>
                  </a:graphicData>
                </a:graphic>
              </wp:inline>
            </w:drawing>
          </mc:Choice>
          <mc:Fallback>
            <w:pict>
              <v:shape style="width:98.85pt;height:10.4pt;mso-position-horizontal-relative:char;mso-position-vertical-relative:line" type="#_x0000_t202" id="docshape16" filled="false" stroked="false">
                <w10:anchorlock/>
                <v:textbox inset="0,0,0,0">
                  <w:txbxContent>
                    <w:p>
                      <w:pPr>
                        <w:pStyle w:val="BodyText"/>
                        <w:spacing w:before="11"/>
                      </w:pPr>
                      <w:r>
                        <w:rPr>
                          <w:color w:val="231F20"/>
                          <w:w w:val="105"/>
                        </w:rPr>
                        <w:t>described</w:t>
                      </w:r>
                      <w:r>
                        <w:rPr>
                          <w:color w:val="231F20"/>
                          <w:spacing w:val="3"/>
                          <w:w w:val="105"/>
                        </w:rPr>
                        <w:t> </w:t>
                      </w:r>
                      <w:r>
                        <w:rPr>
                          <w:color w:val="231F20"/>
                          <w:w w:val="105"/>
                        </w:rPr>
                        <w:t>in</w:t>
                      </w:r>
                      <w:r>
                        <w:rPr>
                          <w:color w:val="231F20"/>
                          <w:spacing w:val="3"/>
                          <w:w w:val="105"/>
                        </w:rPr>
                        <w:t> </w:t>
                      </w:r>
                      <w:r>
                        <w:rPr>
                          <w:color w:val="231F20"/>
                          <w:w w:val="105"/>
                        </w:rPr>
                        <w:t>chapter</w:t>
                      </w:r>
                      <w:r>
                        <w:rPr>
                          <w:color w:val="231F20"/>
                          <w:spacing w:val="3"/>
                          <w:w w:val="105"/>
                        </w:rPr>
                        <w:t> </w:t>
                      </w:r>
                      <w:r>
                        <w:rPr>
                          <w:color w:val="231F20"/>
                          <w:spacing w:val="-4"/>
                          <w:w w:val="105"/>
                        </w:rPr>
                        <w:t>6.6.</w:t>
                      </w:r>
                    </w:p>
                  </w:txbxContent>
                </v:textbox>
              </v:shape>
            </w:pict>
          </mc:Fallback>
        </mc:AlternateContent>
      </w:r>
      <w:r>
        <w:rPr>
          <w:position w:val="-3"/>
          <w:sz w:val="20"/>
        </w:rPr>
      </w:r>
    </w:p>
    <w:p>
      <w:pPr>
        <w:pStyle w:val="BodyText"/>
        <w:spacing w:line="256" w:lineRule="auto" w:before="136"/>
        <w:ind w:left="3010" w:right="1416"/>
        <w:jc w:val="both"/>
      </w:pPr>
      <w:r>
        <w:rPr>
          <w:color w:val="231F20"/>
          <w:w w:val="105"/>
        </w:rPr>
        <w:t>When a code including the letter(s) “P” or “LP” is not provided, it means that the substance is not allowed in that type of packaging.</w:t>
      </w:r>
    </w:p>
    <w:p>
      <w:pPr>
        <w:pStyle w:val="BodyText"/>
        <w:spacing w:line="256" w:lineRule="auto" w:before="125"/>
        <w:ind w:left="3010" w:right="1414" w:hanging="1080"/>
        <w:jc w:val="both"/>
      </w:pPr>
      <w:r>
        <w:rPr>
          <w:color w:val="231F20"/>
        </w:rPr>
        <w:t>Column 9</w:t>
      </w:r>
      <w:r>
        <w:rPr>
          <w:color w:val="231F20"/>
          <w:spacing w:val="80"/>
          <w:w w:val="150"/>
        </w:rPr>
        <w:t>  </w:t>
      </w:r>
      <w:r>
        <w:rPr>
          <w:color w:val="231F20"/>
        </w:rPr>
        <w:t>Special</w:t>
      </w:r>
      <w:r>
        <w:rPr>
          <w:color w:val="231F20"/>
          <w:spacing w:val="40"/>
        </w:rPr>
        <w:t> </w:t>
      </w:r>
      <w:r>
        <w:rPr>
          <w:color w:val="231F20"/>
        </w:rPr>
        <w:t>packing</w:t>
      </w:r>
      <w:r>
        <w:rPr>
          <w:color w:val="231F20"/>
          <w:spacing w:val="40"/>
        </w:rPr>
        <w:t> </w:t>
      </w:r>
      <w:r>
        <w:rPr>
          <w:color w:val="231F20"/>
        </w:rPr>
        <w:t>provisions</w:t>
      </w:r>
      <w:r>
        <w:rPr>
          <w:color w:val="231F20"/>
          <w:spacing w:val="40"/>
        </w:rPr>
        <w:t> </w:t>
      </w:r>
      <w:r>
        <w:rPr>
          <w:color w:val="231F20"/>
        </w:rPr>
        <w:t>–</w:t>
      </w:r>
      <w:r>
        <w:rPr>
          <w:color w:val="231F20"/>
          <w:spacing w:val="40"/>
        </w:rPr>
        <w:t> </w:t>
      </w:r>
      <w:r>
        <w:rPr>
          <w:color w:val="231F20"/>
        </w:rPr>
        <w:t>this</w:t>
      </w:r>
      <w:r>
        <w:rPr>
          <w:color w:val="231F20"/>
          <w:spacing w:val="40"/>
        </w:rPr>
        <w:t> </w:t>
      </w:r>
      <w:r>
        <w:rPr>
          <w:color w:val="231F20"/>
        </w:rPr>
        <w:t>column</w:t>
      </w:r>
      <w:r>
        <w:rPr>
          <w:color w:val="231F20"/>
          <w:spacing w:val="40"/>
        </w:rPr>
        <w:t> </w:t>
      </w:r>
      <w:r>
        <w:rPr>
          <w:color w:val="231F20"/>
        </w:rPr>
        <w:t>contains</w:t>
      </w:r>
      <w:r>
        <w:rPr>
          <w:color w:val="231F20"/>
          <w:spacing w:val="40"/>
        </w:rPr>
        <w:t> </w:t>
      </w:r>
      <w:r>
        <w:rPr>
          <w:color w:val="231F20"/>
        </w:rPr>
        <w:t>alpha-numeric</w:t>
      </w:r>
      <w:r>
        <w:rPr>
          <w:color w:val="231F20"/>
          <w:spacing w:val="40"/>
        </w:rPr>
        <w:t> </w:t>
      </w:r>
      <w:r>
        <w:rPr>
          <w:color w:val="231F20"/>
        </w:rPr>
        <w:t>codes</w:t>
      </w:r>
      <w:r>
        <w:rPr>
          <w:color w:val="231F20"/>
          <w:spacing w:val="40"/>
        </w:rPr>
        <w:t> </w:t>
      </w:r>
      <w:r>
        <w:rPr>
          <w:color w:val="231F20"/>
        </w:rPr>
        <w:t>which</w:t>
      </w:r>
      <w:r>
        <w:rPr>
          <w:color w:val="231F20"/>
          <w:spacing w:val="40"/>
        </w:rPr>
        <w:t> </w:t>
      </w:r>
      <w:r>
        <w:rPr>
          <w:color w:val="231F20"/>
        </w:rPr>
        <w:t>refer</w:t>
      </w:r>
      <w:r>
        <w:rPr>
          <w:color w:val="231F20"/>
          <w:spacing w:val="40"/>
        </w:rPr>
        <w:t> </w:t>
      </w:r>
      <w:r>
        <w:rPr>
          <w:color w:val="231F20"/>
        </w:rPr>
        <w:t>to</w:t>
      </w:r>
      <w:r>
        <w:rPr>
          <w:color w:val="231F20"/>
          <w:spacing w:val="40"/>
        </w:rPr>
        <w:t> </w:t>
      </w:r>
      <w:r>
        <w:rPr>
          <w:color w:val="231F20"/>
        </w:rPr>
        <w:t>the relevant</w:t>
      </w:r>
      <w:r>
        <w:rPr>
          <w:color w:val="231F20"/>
          <w:spacing w:val="40"/>
        </w:rPr>
        <w:t> </w:t>
      </w:r>
      <w:r>
        <w:rPr>
          <w:color w:val="231F20"/>
        </w:rPr>
        <w:t>special</w:t>
      </w:r>
      <w:r>
        <w:rPr>
          <w:color w:val="231F20"/>
          <w:spacing w:val="40"/>
        </w:rPr>
        <w:t> </w:t>
      </w:r>
      <w:r>
        <w:rPr>
          <w:color w:val="231F20"/>
        </w:rPr>
        <w:t>packing</w:t>
      </w:r>
      <w:r>
        <w:rPr>
          <w:color w:val="231F20"/>
          <w:spacing w:val="40"/>
        </w:rPr>
        <w:t> </w:t>
      </w:r>
      <w:r>
        <w:rPr>
          <w:color w:val="231F20"/>
        </w:rPr>
        <w:t>provisions</w:t>
      </w:r>
      <w:r>
        <w:rPr>
          <w:color w:val="231F20"/>
          <w:spacing w:val="40"/>
        </w:rPr>
        <w:t> </w:t>
      </w:r>
      <w:r>
        <w:rPr>
          <w:color w:val="231F20"/>
        </w:rPr>
        <w:t>specified</w:t>
      </w:r>
      <w:r>
        <w:rPr>
          <w:color w:val="231F20"/>
          <w:spacing w:val="40"/>
        </w:rPr>
        <w:t> </w:t>
      </w:r>
      <w:r>
        <w:rPr>
          <w:color w:val="231F20"/>
        </w:rPr>
        <w:t>in</w:t>
      </w:r>
      <w:r>
        <w:rPr>
          <w:color w:val="231F20"/>
          <w:spacing w:val="40"/>
        </w:rPr>
        <w:t> </w:t>
      </w:r>
      <w:r>
        <w:rPr>
          <w:color w:val="231F20"/>
        </w:rPr>
        <w:t>4.1.4.</w:t>
      </w:r>
      <w:r>
        <w:rPr>
          <w:color w:val="231F20"/>
          <w:spacing w:val="40"/>
        </w:rPr>
        <w:t> </w:t>
      </w:r>
      <w:r>
        <w:rPr>
          <w:color w:val="231F20"/>
        </w:rPr>
        <w:t>The</w:t>
      </w:r>
      <w:r>
        <w:rPr>
          <w:color w:val="231F20"/>
          <w:spacing w:val="40"/>
        </w:rPr>
        <w:t> </w:t>
      </w:r>
      <w:r>
        <w:rPr>
          <w:color w:val="231F20"/>
        </w:rPr>
        <w:t>special</w:t>
      </w:r>
      <w:r>
        <w:rPr>
          <w:color w:val="231F20"/>
          <w:spacing w:val="40"/>
        </w:rPr>
        <w:t> </w:t>
      </w:r>
      <w:r>
        <w:rPr>
          <w:color w:val="231F20"/>
        </w:rPr>
        <w:t>packing</w:t>
      </w:r>
      <w:r>
        <w:rPr>
          <w:color w:val="231F20"/>
          <w:spacing w:val="40"/>
        </w:rPr>
        <w:t> </w:t>
      </w:r>
      <w:r>
        <w:rPr>
          <w:color w:val="231F20"/>
        </w:rPr>
        <w:t>provisions</w:t>
      </w:r>
      <w:r>
        <w:rPr>
          <w:color w:val="231F20"/>
          <w:spacing w:val="40"/>
        </w:rPr>
        <w:t> </w:t>
      </w:r>
      <w:r>
        <w:rPr>
          <w:color w:val="231F20"/>
        </w:rPr>
        <w:t>indicate the packagings (including large packagings).</w:t>
      </w:r>
    </w:p>
    <w:p>
      <w:pPr>
        <w:pStyle w:val="BodyText"/>
        <w:spacing w:line="256" w:lineRule="auto" w:before="105"/>
        <w:ind w:left="3010" w:right="1415"/>
        <w:jc w:val="both"/>
      </w:pPr>
      <w:r>
        <w:rPr>
          <w:color w:val="231F20"/>
          <w:w w:val="105"/>
        </w:rPr>
        <w:t>A</w:t>
      </w:r>
      <w:r>
        <w:rPr>
          <w:color w:val="231F20"/>
          <w:w w:val="105"/>
        </w:rPr>
        <w:t> special</w:t>
      </w:r>
      <w:r>
        <w:rPr>
          <w:color w:val="231F20"/>
          <w:w w:val="105"/>
        </w:rPr>
        <w:t> packing</w:t>
      </w:r>
      <w:r>
        <w:rPr>
          <w:color w:val="231F20"/>
          <w:w w:val="105"/>
        </w:rPr>
        <w:t> provision</w:t>
      </w:r>
      <w:r>
        <w:rPr>
          <w:color w:val="231F20"/>
          <w:w w:val="105"/>
        </w:rPr>
        <w:t> including</w:t>
      </w:r>
      <w:r>
        <w:rPr>
          <w:color w:val="231F20"/>
          <w:w w:val="105"/>
        </w:rPr>
        <w:t> the</w:t>
      </w:r>
      <w:r>
        <w:rPr>
          <w:color w:val="231F20"/>
          <w:w w:val="105"/>
        </w:rPr>
        <w:t> letters</w:t>
      </w:r>
      <w:r>
        <w:rPr>
          <w:color w:val="231F20"/>
          <w:w w:val="105"/>
        </w:rPr>
        <w:t> “PP”</w:t>
      </w:r>
      <w:r>
        <w:rPr>
          <w:color w:val="231F20"/>
          <w:w w:val="105"/>
        </w:rPr>
        <w:t> refers</w:t>
      </w:r>
      <w:r>
        <w:rPr>
          <w:color w:val="231F20"/>
          <w:w w:val="105"/>
        </w:rPr>
        <w:t> to</w:t>
      </w:r>
      <w:r>
        <w:rPr>
          <w:color w:val="231F20"/>
          <w:w w:val="105"/>
        </w:rPr>
        <w:t> a</w:t>
      </w:r>
      <w:r>
        <w:rPr>
          <w:color w:val="231F20"/>
          <w:w w:val="105"/>
        </w:rPr>
        <w:t> special</w:t>
      </w:r>
      <w:r>
        <w:rPr>
          <w:color w:val="231F20"/>
          <w:w w:val="105"/>
        </w:rPr>
        <w:t> packing</w:t>
      </w:r>
      <w:r>
        <w:rPr>
          <w:color w:val="231F20"/>
          <w:w w:val="105"/>
        </w:rPr>
        <w:t> provision applicable to the use of a packing instruction bearing the Code “P” in 4.1.4.1.</w:t>
      </w:r>
    </w:p>
    <w:p>
      <w:pPr>
        <w:pStyle w:val="BodyText"/>
        <w:spacing w:line="256" w:lineRule="auto" w:before="104"/>
        <w:ind w:left="3010" w:right="1415"/>
        <w:jc w:val="both"/>
      </w:pPr>
      <w:r>
        <w:rPr>
          <w:color w:val="231F20"/>
          <w:w w:val="105"/>
        </w:rPr>
        <w:t>A special packing provision including the letter “L” refers to a special packing provision applicable to a packing instruction bearing the code “LP” in 4.1.4.3.</w:t>
      </w:r>
    </w:p>
    <w:p>
      <w:pPr>
        <w:pStyle w:val="BodyText"/>
        <w:spacing w:line="256" w:lineRule="auto" w:before="124"/>
        <w:ind w:left="3010" w:right="1415" w:hanging="1080"/>
        <w:jc w:val="both"/>
      </w:pPr>
      <w:r>
        <w:rPr>
          <w:color w:val="231F20"/>
          <w:w w:val="105"/>
        </w:rPr>
        <w:t>Column 10</w:t>
      </w:r>
      <w:r>
        <w:rPr>
          <w:color w:val="231F20"/>
          <w:spacing w:val="40"/>
          <w:w w:val="105"/>
        </w:rPr>
        <w:t>  </w:t>
      </w:r>
      <w:r>
        <w:rPr>
          <w:color w:val="231F20"/>
          <w:w w:val="105"/>
        </w:rPr>
        <w:t>IBC packing instructions – this column contains alpha-numeric codes that refer to the relevant IBC</w:t>
      </w:r>
      <w:r>
        <w:rPr>
          <w:color w:val="231F20"/>
          <w:w w:val="105"/>
        </w:rPr>
        <w:t> instruction,</w:t>
      </w:r>
      <w:r>
        <w:rPr>
          <w:color w:val="231F20"/>
          <w:w w:val="105"/>
        </w:rPr>
        <w:t> which</w:t>
      </w:r>
      <w:r>
        <w:rPr>
          <w:color w:val="231F20"/>
          <w:w w:val="105"/>
        </w:rPr>
        <w:t> indicates</w:t>
      </w:r>
      <w:r>
        <w:rPr>
          <w:color w:val="231F20"/>
          <w:w w:val="105"/>
        </w:rPr>
        <w:t> the</w:t>
      </w:r>
      <w:r>
        <w:rPr>
          <w:color w:val="231F20"/>
          <w:w w:val="105"/>
        </w:rPr>
        <w:t> type</w:t>
      </w:r>
      <w:r>
        <w:rPr>
          <w:color w:val="231F20"/>
          <w:w w:val="105"/>
        </w:rPr>
        <w:t> of</w:t>
      </w:r>
      <w:r>
        <w:rPr>
          <w:color w:val="231F20"/>
          <w:w w:val="105"/>
        </w:rPr>
        <w:t> IBC</w:t>
      </w:r>
      <w:r>
        <w:rPr>
          <w:color w:val="231F20"/>
          <w:w w:val="105"/>
        </w:rPr>
        <w:t> that</w:t>
      </w:r>
      <w:r>
        <w:rPr>
          <w:color w:val="231F20"/>
          <w:w w:val="105"/>
        </w:rPr>
        <w:t> shall</w:t>
      </w:r>
      <w:r>
        <w:rPr>
          <w:color w:val="231F20"/>
          <w:w w:val="105"/>
        </w:rPr>
        <w:t> be</w:t>
      </w:r>
      <w:r>
        <w:rPr>
          <w:color w:val="231F20"/>
          <w:w w:val="105"/>
        </w:rPr>
        <w:t> used</w:t>
      </w:r>
      <w:r>
        <w:rPr>
          <w:color w:val="231F20"/>
          <w:w w:val="105"/>
        </w:rPr>
        <w:t> for</w:t>
      </w:r>
      <w:r>
        <w:rPr>
          <w:color w:val="231F20"/>
          <w:w w:val="105"/>
        </w:rPr>
        <w:t> the</w:t>
      </w:r>
      <w:r>
        <w:rPr>
          <w:color w:val="231F20"/>
          <w:w w:val="105"/>
        </w:rPr>
        <w:t> transport</w:t>
      </w:r>
      <w:r>
        <w:rPr>
          <w:color w:val="231F20"/>
          <w:w w:val="105"/>
        </w:rPr>
        <w:t> of</w:t>
      </w:r>
      <w:r>
        <w:rPr>
          <w:color w:val="231F20"/>
          <w:w w:val="105"/>
        </w:rPr>
        <w:t> the substance under reference. A code including the letters “IBC” refers to packing instructions for the</w:t>
      </w:r>
      <w:r>
        <w:rPr>
          <w:color w:val="231F20"/>
          <w:spacing w:val="-2"/>
          <w:w w:val="105"/>
        </w:rPr>
        <w:t> </w:t>
      </w:r>
      <w:r>
        <w:rPr>
          <w:color w:val="231F20"/>
          <w:w w:val="105"/>
        </w:rPr>
        <w:t>use</w:t>
      </w:r>
      <w:r>
        <w:rPr>
          <w:color w:val="231F20"/>
          <w:spacing w:val="-2"/>
          <w:w w:val="105"/>
        </w:rPr>
        <w:t> </w:t>
      </w:r>
      <w:r>
        <w:rPr>
          <w:color w:val="231F20"/>
          <w:w w:val="105"/>
        </w:rPr>
        <w:t>of</w:t>
      </w:r>
      <w:r>
        <w:rPr>
          <w:color w:val="231F20"/>
          <w:spacing w:val="-2"/>
          <w:w w:val="105"/>
        </w:rPr>
        <w:t> </w:t>
      </w:r>
      <w:r>
        <w:rPr>
          <w:color w:val="231F20"/>
          <w:w w:val="105"/>
        </w:rPr>
        <w:t>IBCs</w:t>
      </w:r>
      <w:r>
        <w:rPr>
          <w:color w:val="231F20"/>
          <w:spacing w:val="-2"/>
          <w:w w:val="105"/>
        </w:rPr>
        <w:t> </w:t>
      </w:r>
      <w:r>
        <w:rPr>
          <w:color w:val="231F20"/>
          <w:w w:val="105"/>
        </w:rPr>
        <w:t>described</w:t>
      </w:r>
      <w:r>
        <w:rPr>
          <w:color w:val="231F20"/>
          <w:spacing w:val="-2"/>
          <w:w w:val="105"/>
        </w:rPr>
        <w:t> </w:t>
      </w:r>
      <w:r>
        <w:rPr>
          <w:color w:val="231F20"/>
          <w:w w:val="105"/>
        </w:rPr>
        <w:t>in</w:t>
      </w:r>
      <w:r>
        <w:rPr>
          <w:color w:val="231F20"/>
          <w:spacing w:val="-2"/>
          <w:w w:val="105"/>
        </w:rPr>
        <w:t> </w:t>
      </w:r>
      <w:r>
        <w:rPr>
          <w:color w:val="231F20"/>
          <w:w w:val="105"/>
        </w:rPr>
        <w:t>chapter</w:t>
      </w:r>
      <w:r>
        <w:rPr>
          <w:color w:val="231F20"/>
          <w:spacing w:val="-2"/>
          <w:w w:val="105"/>
        </w:rPr>
        <w:t> </w:t>
      </w:r>
      <w:r>
        <w:rPr>
          <w:color w:val="231F20"/>
          <w:w w:val="105"/>
        </w:rPr>
        <w:t>6.5.</w:t>
      </w:r>
      <w:r>
        <w:rPr>
          <w:color w:val="231F20"/>
          <w:spacing w:val="-2"/>
          <w:w w:val="105"/>
        </w:rPr>
        <w:t> </w:t>
      </w:r>
      <w:r>
        <w:rPr>
          <w:color w:val="231F20"/>
          <w:w w:val="105"/>
        </w:rPr>
        <w:t>When</w:t>
      </w:r>
      <w:r>
        <w:rPr>
          <w:color w:val="231F20"/>
          <w:spacing w:val="-2"/>
          <w:w w:val="105"/>
        </w:rPr>
        <w:t> </w:t>
      </w:r>
      <w:r>
        <w:rPr>
          <w:color w:val="231F20"/>
          <w:w w:val="105"/>
        </w:rPr>
        <w:t>a</w:t>
      </w:r>
      <w:r>
        <w:rPr>
          <w:color w:val="231F20"/>
          <w:spacing w:val="-2"/>
          <w:w w:val="105"/>
        </w:rPr>
        <w:t> </w:t>
      </w:r>
      <w:r>
        <w:rPr>
          <w:color w:val="231F20"/>
          <w:w w:val="105"/>
        </w:rPr>
        <w:t>code</w:t>
      </w:r>
      <w:r>
        <w:rPr>
          <w:color w:val="231F20"/>
          <w:spacing w:val="-2"/>
          <w:w w:val="105"/>
        </w:rPr>
        <w:t> </w:t>
      </w:r>
      <w:r>
        <w:rPr>
          <w:color w:val="231F20"/>
          <w:w w:val="105"/>
        </w:rPr>
        <w:t>is</w:t>
      </w:r>
      <w:r>
        <w:rPr>
          <w:color w:val="231F20"/>
          <w:spacing w:val="-2"/>
          <w:w w:val="105"/>
        </w:rPr>
        <w:t> </w:t>
      </w:r>
      <w:r>
        <w:rPr>
          <w:color w:val="231F20"/>
          <w:w w:val="105"/>
        </w:rPr>
        <w:t>not</w:t>
      </w:r>
      <w:r>
        <w:rPr>
          <w:color w:val="231F20"/>
          <w:spacing w:val="-2"/>
          <w:w w:val="105"/>
        </w:rPr>
        <w:t> </w:t>
      </w:r>
      <w:r>
        <w:rPr>
          <w:color w:val="231F20"/>
          <w:w w:val="105"/>
        </w:rPr>
        <w:t>provided,</w:t>
      </w:r>
      <w:r>
        <w:rPr>
          <w:color w:val="231F20"/>
          <w:spacing w:val="-2"/>
          <w:w w:val="105"/>
        </w:rPr>
        <w:t> </w:t>
      </w:r>
      <w:r>
        <w:rPr>
          <w:color w:val="231F20"/>
          <w:w w:val="105"/>
        </w:rPr>
        <w:t>it</w:t>
      </w:r>
      <w:r>
        <w:rPr>
          <w:color w:val="231F20"/>
          <w:spacing w:val="-2"/>
          <w:w w:val="105"/>
        </w:rPr>
        <w:t> </w:t>
      </w:r>
      <w:r>
        <w:rPr>
          <w:color w:val="231F20"/>
          <w:w w:val="105"/>
        </w:rPr>
        <w:t>means</w:t>
      </w:r>
      <w:r>
        <w:rPr>
          <w:color w:val="231F20"/>
          <w:spacing w:val="-2"/>
          <w:w w:val="105"/>
        </w:rPr>
        <w:t> </w:t>
      </w:r>
      <w:r>
        <w:rPr>
          <w:color w:val="231F20"/>
          <w:w w:val="105"/>
        </w:rPr>
        <w:t>the</w:t>
      </w:r>
      <w:r>
        <w:rPr>
          <w:color w:val="231F20"/>
          <w:spacing w:val="-2"/>
          <w:w w:val="105"/>
        </w:rPr>
        <w:t> </w:t>
      </w:r>
      <w:r>
        <w:rPr>
          <w:color w:val="231F20"/>
          <w:w w:val="105"/>
        </w:rPr>
        <w:t>substance is not authorized in IBC.</w:t>
      </w:r>
    </w:p>
    <w:p>
      <w:pPr>
        <w:pStyle w:val="BodyText"/>
        <w:spacing w:line="256" w:lineRule="auto" w:before="127"/>
        <w:ind w:left="3010" w:right="1415" w:hanging="1080"/>
        <w:jc w:val="both"/>
      </w:pPr>
      <w:r>
        <w:rPr>
          <w:color w:val="231F20"/>
          <w:w w:val="105"/>
        </w:rPr>
        <w:t>Column 11</w:t>
      </w:r>
      <w:r>
        <w:rPr>
          <w:color w:val="231F20"/>
          <w:spacing w:val="80"/>
          <w:w w:val="150"/>
        </w:rPr>
        <w:t> </w:t>
      </w:r>
      <w:r>
        <w:rPr>
          <w:color w:val="231F20"/>
          <w:w w:val="105"/>
        </w:rPr>
        <w:t>IBC special provisions – this column contains an alpha-numeric code, including the letter “B”, which refers to special packing provisions applicable to the use of packing instructions bearing the code “IBC” in 4.1.4.2.</w:t>
      </w:r>
    </w:p>
    <w:p>
      <w:pPr>
        <w:pStyle w:val="BodyText"/>
        <w:tabs>
          <w:tab w:pos="3010" w:val="left" w:leader="none"/>
        </w:tabs>
        <w:spacing w:before="125"/>
        <w:ind w:left="1930"/>
      </w:pPr>
      <w:r>
        <w:rPr>
          <w:color w:val="231F20"/>
        </w:rPr>
        <w:t>Column</w:t>
      </w:r>
      <w:r>
        <w:rPr>
          <w:color w:val="231F20"/>
          <w:spacing w:val="25"/>
        </w:rPr>
        <w:t> </w:t>
      </w:r>
      <w:r>
        <w:rPr>
          <w:color w:val="231F20"/>
          <w:spacing w:val="-5"/>
        </w:rPr>
        <w:t>12</w:t>
      </w:r>
      <w:r>
        <w:rPr>
          <w:color w:val="231F20"/>
        </w:rPr>
        <w:tab/>
      </w:r>
      <w:r>
        <w:rPr>
          <w:color w:val="231F20"/>
          <w:spacing w:val="-2"/>
        </w:rPr>
        <w:t>[Reserved]</w:t>
      </w:r>
    </w:p>
    <w:p>
      <w:pPr>
        <w:pStyle w:val="BodyText"/>
        <w:spacing w:line="256" w:lineRule="auto" w:before="138"/>
        <w:ind w:left="3010" w:right="1414" w:hanging="1080"/>
        <w:jc w:val="both"/>
      </w:pPr>
      <w:r>
        <w:rPr>
          <w:color w:val="231F20"/>
          <w:w w:val="105"/>
        </w:rPr>
        <w:t>Column 13</w:t>
      </w:r>
      <w:r>
        <w:rPr>
          <w:color w:val="231F20"/>
          <w:spacing w:val="76"/>
          <w:w w:val="105"/>
        </w:rPr>
        <w:t>  </w:t>
      </w:r>
      <w:r>
        <w:rPr>
          <w:color w:val="231F20"/>
          <w:w w:val="105"/>
        </w:rPr>
        <w:t>Tank</w:t>
      </w:r>
      <w:r>
        <w:rPr>
          <w:color w:val="231F20"/>
          <w:spacing w:val="-1"/>
          <w:w w:val="105"/>
        </w:rPr>
        <w:t> </w:t>
      </w:r>
      <w:r>
        <w:rPr>
          <w:color w:val="231F20"/>
          <w:w w:val="105"/>
        </w:rPr>
        <w:t>and</w:t>
      </w:r>
      <w:r>
        <w:rPr>
          <w:color w:val="231F20"/>
          <w:spacing w:val="-1"/>
          <w:w w:val="105"/>
        </w:rPr>
        <w:t> </w:t>
      </w:r>
      <w:r>
        <w:rPr>
          <w:color w:val="231F20"/>
          <w:w w:val="105"/>
        </w:rPr>
        <w:t>bulk</w:t>
      </w:r>
      <w:r>
        <w:rPr>
          <w:color w:val="231F20"/>
          <w:spacing w:val="-1"/>
          <w:w w:val="105"/>
        </w:rPr>
        <w:t> </w:t>
      </w:r>
      <w:r>
        <w:rPr>
          <w:color w:val="231F20"/>
          <w:w w:val="105"/>
        </w:rPr>
        <w:t>container</w:t>
      </w:r>
      <w:r>
        <w:rPr>
          <w:color w:val="231F20"/>
          <w:spacing w:val="-1"/>
          <w:w w:val="105"/>
        </w:rPr>
        <w:t> </w:t>
      </w:r>
      <w:r>
        <w:rPr>
          <w:color w:val="231F20"/>
          <w:w w:val="105"/>
        </w:rPr>
        <w:t>instructions</w:t>
      </w:r>
      <w:r>
        <w:rPr>
          <w:color w:val="231F20"/>
          <w:spacing w:val="-1"/>
          <w:w w:val="105"/>
        </w:rPr>
        <w:t> </w:t>
      </w:r>
      <w:r>
        <w:rPr>
          <w:color w:val="231F20"/>
          <w:w w:val="105"/>
        </w:rPr>
        <w:t>–</w:t>
      </w:r>
      <w:r>
        <w:rPr>
          <w:color w:val="231F20"/>
          <w:spacing w:val="-1"/>
          <w:w w:val="105"/>
        </w:rPr>
        <w:t> </w:t>
      </w:r>
      <w:r>
        <w:rPr>
          <w:color w:val="231F20"/>
          <w:w w:val="105"/>
        </w:rPr>
        <w:t>this</w:t>
      </w:r>
      <w:r>
        <w:rPr>
          <w:color w:val="231F20"/>
          <w:spacing w:val="-1"/>
          <w:w w:val="105"/>
        </w:rPr>
        <w:t> </w:t>
      </w:r>
      <w:r>
        <w:rPr>
          <w:color w:val="231F20"/>
          <w:w w:val="105"/>
        </w:rPr>
        <w:t>column</w:t>
      </w:r>
      <w:r>
        <w:rPr>
          <w:color w:val="231F20"/>
          <w:spacing w:val="-1"/>
          <w:w w:val="105"/>
        </w:rPr>
        <w:t> </w:t>
      </w:r>
      <w:r>
        <w:rPr>
          <w:color w:val="231F20"/>
          <w:w w:val="105"/>
        </w:rPr>
        <w:t>contains</w:t>
      </w:r>
      <w:r>
        <w:rPr>
          <w:color w:val="231F20"/>
          <w:spacing w:val="-1"/>
          <w:w w:val="105"/>
        </w:rPr>
        <w:t> </w:t>
      </w:r>
      <w:r>
        <w:rPr>
          <w:color w:val="231F20"/>
          <w:w w:val="105"/>
        </w:rPr>
        <w:t>T</w:t>
      </w:r>
      <w:r>
        <w:rPr>
          <w:color w:val="231F20"/>
          <w:spacing w:val="-1"/>
          <w:w w:val="105"/>
        </w:rPr>
        <w:t> </w:t>
      </w:r>
      <w:r>
        <w:rPr>
          <w:color w:val="231F20"/>
          <w:w w:val="105"/>
        </w:rPr>
        <w:t>codes</w:t>
      </w:r>
      <w:r>
        <w:rPr>
          <w:color w:val="231F20"/>
          <w:spacing w:val="-1"/>
          <w:w w:val="105"/>
        </w:rPr>
        <w:t> </w:t>
      </w:r>
      <w:r>
        <w:rPr>
          <w:color w:val="231F20"/>
          <w:w w:val="105"/>
        </w:rPr>
        <w:t>(see</w:t>
      </w:r>
      <w:r>
        <w:rPr>
          <w:color w:val="231F20"/>
          <w:spacing w:val="-1"/>
          <w:w w:val="105"/>
        </w:rPr>
        <w:t> </w:t>
      </w:r>
      <w:r>
        <w:rPr>
          <w:color w:val="231F20"/>
          <w:w w:val="105"/>
        </w:rPr>
        <w:t>4.2.5.2.6)</w:t>
      </w:r>
      <w:r>
        <w:rPr>
          <w:color w:val="231F20"/>
          <w:spacing w:val="-1"/>
          <w:w w:val="105"/>
        </w:rPr>
        <w:t> </w:t>
      </w:r>
      <w:r>
        <w:rPr>
          <w:color w:val="231F20"/>
          <w:w w:val="105"/>
        </w:rPr>
        <w:t>applicable to the transport of dangerous goods in portable tanks and road tank vehicles.</w:t>
      </w:r>
    </w:p>
    <w:p>
      <w:pPr>
        <w:pStyle w:val="BodyText"/>
        <w:spacing w:line="256" w:lineRule="auto" w:before="104"/>
        <w:ind w:left="3010" w:right="1415"/>
        <w:jc w:val="both"/>
      </w:pPr>
      <w:r>
        <w:rPr>
          <w:color w:val="231F20"/>
          <w:w w:val="105"/>
        </w:rPr>
        <w:t>When</w:t>
      </w:r>
      <w:r>
        <w:rPr>
          <w:color w:val="231F20"/>
          <w:w w:val="105"/>
        </w:rPr>
        <w:t> a</w:t>
      </w:r>
      <w:r>
        <w:rPr>
          <w:color w:val="231F20"/>
          <w:w w:val="105"/>
        </w:rPr>
        <w:t> T</w:t>
      </w:r>
      <w:r>
        <w:rPr>
          <w:color w:val="231F20"/>
          <w:w w:val="105"/>
        </w:rPr>
        <w:t> code</w:t>
      </w:r>
      <w:r>
        <w:rPr>
          <w:color w:val="231F20"/>
          <w:w w:val="105"/>
        </w:rPr>
        <w:t> is</w:t>
      </w:r>
      <w:r>
        <w:rPr>
          <w:color w:val="231F20"/>
          <w:w w:val="105"/>
        </w:rPr>
        <w:t> not</w:t>
      </w:r>
      <w:r>
        <w:rPr>
          <w:color w:val="231F20"/>
          <w:w w:val="105"/>
        </w:rPr>
        <w:t> provided</w:t>
      </w:r>
      <w:r>
        <w:rPr>
          <w:color w:val="231F20"/>
          <w:w w:val="105"/>
        </w:rPr>
        <w:t> in</w:t>
      </w:r>
      <w:r>
        <w:rPr>
          <w:color w:val="231F20"/>
          <w:w w:val="105"/>
        </w:rPr>
        <w:t> this</w:t>
      </w:r>
      <w:r>
        <w:rPr>
          <w:color w:val="231F20"/>
          <w:w w:val="105"/>
        </w:rPr>
        <w:t> column,</w:t>
      </w:r>
      <w:r>
        <w:rPr>
          <w:color w:val="231F20"/>
          <w:w w:val="105"/>
        </w:rPr>
        <w:t> it</w:t>
      </w:r>
      <w:r>
        <w:rPr>
          <w:color w:val="231F20"/>
          <w:w w:val="105"/>
        </w:rPr>
        <w:t> means</w:t>
      </w:r>
      <w:r>
        <w:rPr>
          <w:color w:val="231F20"/>
          <w:w w:val="105"/>
        </w:rPr>
        <w:t> that</w:t>
      </w:r>
      <w:r>
        <w:rPr>
          <w:color w:val="231F20"/>
          <w:w w:val="105"/>
        </w:rPr>
        <w:t> the</w:t>
      </w:r>
      <w:r>
        <w:rPr>
          <w:color w:val="231F20"/>
          <w:w w:val="105"/>
        </w:rPr>
        <w:t> dangerous</w:t>
      </w:r>
      <w:r>
        <w:rPr>
          <w:color w:val="231F20"/>
          <w:w w:val="105"/>
        </w:rPr>
        <w:t> goods</w:t>
      </w:r>
      <w:r>
        <w:rPr>
          <w:color w:val="231F20"/>
          <w:w w:val="105"/>
        </w:rPr>
        <w:t> are</w:t>
      </w:r>
      <w:r>
        <w:rPr>
          <w:color w:val="231F20"/>
          <w:w w:val="105"/>
        </w:rPr>
        <w:t> not authorized for transport in tanks unless specifically approved by the competent authority.</w:t>
      </w:r>
    </w:p>
    <w:p>
      <w:pPr>
        <w:pStyle w:val="BodyText"/>
        <w:spacing w:line="256" w:lineRule="auto" w:before="104"/>
        <w:ind w:left="3010" w:right="1414"/>
        <w:jc w:val="both"/>
      </w:pPr>
      <w:r>
        <w:rPr>
          <w:color w:val="231F20"/>
          <w:w w:val="105"/>
        </w:rPr>
        <w:t>A code including the letters “BK” refers to the type of bulk containers used for the transport of bulk goods described in chapters 4.3 and 6.9.</w:t>
      </w:r>
    </w:p>
    <w:p>
      <w:pPr>
        <w:pStyle w:val="BodyText"/>
        <w:spacing w:line="256" w:lineRule="auto" w:before="105"/>
        <w:ind w:left="3010" w:right="1414"/>
        <w:jc w:val="both"/>
      </w:pPr>
      <w:r>
        <w:rPr>
          <w:color w:val="231F20"/>
          <w:w w:val="105"/>
        </w:rPr>
        <w:t>The gases authorized for transport in MEGCs are indicated in the column “MEGC” in tables 1 and 2 of packing instruction P200 in 4.1.4.1.</w:t>
      </w:r>
    </w:p>
    <w:p>
      <w:pPr>
        <w:pStyle w:val="BodyText"/>
        <w:spacing w:line="256" w:lineRule="auto" w:before="124"/>
        <w:ind w:left="3010" w:right="1414" w:hanging="1080"/>
        <w:jc w:val="both"/>
      </w:pPr>
      <w:r>
        <w:rPr>
          <w:color w:val="231F20"/>
          <w:w w:val="105"/>
        </w:rPr>
        <w:t>Column 14</w:t>
      </w:r>
      <w:r>
        <w:rPr>
          <w:color w:val="231F20"/>
          <w:spacing w:val="71"/>
          <w:w w:val="105"/>
        </w:rPr>
        <w:t>  </w:t>
      </w:r>
      <w:r>
        <w:rPr>
          <w:color w:val="231F20"/>
          <w:w w:val="105"/>
        </w:rPr>
        <w:t>Tank</w:t>
      </w:r>
      <w:r>
        <w:rPr>
          <w:color w:val="231F20"/>
          <w:spacing w:val="-13"/>
          <w:w w:val="105"/>
        </w:rPr>
        <w:t> </w:t>
      </w:r>
      <w:r>
        <w:rPr>
          <w:color w:val="231F20"/>
          <w:w w:val="105"/>
        </w:rPr>
        <w:t>special</w:t>
      </w:r>
      <w:r>
        <w:rPr>
          <w:color w:val="231F20"/>
          <w:spacing w:val="-12"/>
          <w:w w:val="105"/>
        </w:rPr>
        <w:t> </w:t>
      </w:r>
      <w:r>
        <w:rPr>
          <w:color w:val="231F20"/>
          <w:w w:val="105"/>
        </w:rPr>
        <w:t>provisions</w:t>
      </w:r>
      <w:r>
        <w:rPr>
          <w:color w:val="231F20"/>
          <w:spacing w:val="-13"/>
          <w:w w:val="105"/>
        </w:rPr>
        <w:t> </w:t>
      </w:r>
      <w:r>
        <w:rPr>
          <w:color w:val="231F20"/>
          <w:w w:val="105"/>
        </w:rPr>
        <w:t>–</w:t>
      </w:r>
      <w:r>
        <w:rPr>
          <w:color w:val="231F20"/>
          <w:spacing w:val="-12"/>
          <w:w w:val="105"/>
        </w:rPr>
        <w:t> </w:t>
      </w:r>
      <w:r>
        <w:rPr>
          <w:color w:val="231F20"/>
          <w:w w:val="105"/>
        </w:rPr>
        <w:t>this</w:t>
      </w:r>
      <w:r>
        <w:rPr>
          <w:color w:val="231F20"/>
          <w:spacing w:val="-12"/>
          <w:w w:val="105"/>
        </w:rPr>
        <w:t> </w:t>
      </w:r>
      <w:r>
        <w:rPr>
          <w:color w:val="231F20"/>
          <w:w w:val="105"/>
        </w:rPr>
        <w:t>column</w:t>
      </w:r>
      <w:r>
        <w:rPr>
          <w:color w:val="231F20"/>
          <w:spacing w:val="-13"/>
          <w:w w:val="105"/>
        </w:rPr>
        <w:t> </w:t>
      </w:r>
      <w:r>
        <w:rPr>
          <w:color w:val="231F20"/>
          <w:w w:val="105"/>
        </w:rPr>
        <w:t>contains</w:t>
      </w:r>
      <w:r>
        <w:rPr>
          <w:color w:val="231F20"/>
          <w:spacing w:val="-12"/>
          <w:w w:val="105"/>
        </w:rPr>
        <w:t> </w:t>
      </w:r>
      <w:r>
        <w:rPr>
          <w:color w:val="231F20"/>
          <w:w w:val="105"/>
        </w:rPr>
        <w:t>TP</w:t>
      </w:r>
      <w:r>
        <w:rPr>
          <w:color w:val="231F20"/>
          <w:spacing w:val="-13"/>
          <w:w w:val="105"/>
        </w:rPr>
        <w:t> </w:t>
      </w:r>
      <w:r>
        <w:rPr>
          <w:color w:val="231F20"/>
          <w:w w:val="105"/>
        </w:rPr>
        <w:t>notes</w:t>
      </w:r>
      <w:r>
        <w:rPr>
          <w:color w:val="231F20"/>
          <w:spacing w:val="-12"/>
          <w:w w:val="105"/>
        </w:rPr>
        <w:t> </w:t>
      </w:r>
      <w:r>
        <w:rPr>
          <w:color w:val="231F20"/>
          <w:w w:val="105"/>
        </w:rPr>
        <w:t>(see</w:t>
      </w:r>
      <w:r>
        <w:rPr>
          <w:color w:val="231F20"/>
          <w:spacing w:val="-12"/>
          <w:w w:val="105"/>
        </w:rPr>
        <w:t> </w:t>
      </w:r>
      <w:r>
        <w:rPr>
          <w:color w:val="231F20"/>
          <w:w w:val="105"/>
        </w:rPr>
        <w:t>4.2.5.3)</w:t>
      </w:r>
      <w:r>
        <w:rPr>
          <w:color w:val="231F20"/>
          <w:spacing w:val="-13"/>
          <w:w w:val="105"/>
        </w:rPr>
        <w:t> </w:t>
      </w:r>
      <w:r>
        <w:rPr>
          <w:color w:val="231F20"/>
          <w:w w:val="105"/>
        </w:rPr>
        <w:t>applicable</w:t>
      </w:r>
      <w:r>
        <w:rPr>
          <w:color w:val="231F20"/>
          <w:spacing w:val="-12"/>
          <w:w w:val="105"/>
        </w:rPr>
        <w:t> </w:t>
      </w:r>
      <w:r>
        <w:rPr>
          <w:color w:val="231F20"/>
          <w:w w:val="105"/>
        </w:rPr>
        <w:t>to</w:t>
      </w:r>
      <w:r>
        <w:rPr>
          <w:color w:val="231F20"/>
          <w:spacing w:val="-13"/>
          <w:w w:val="105"/>
        </w:rPr>
        <w:t> </w:t>
      </w:r>
      <w:r>
        <w:rPr>
          <w:color w:val="231F20"/>
          <w:w w:val="105"/>
        </w:rPr>
        <w:t>the</w:t>
      </w:r>
      <w:r>
        <w:rPr>
          <w:color w:val="231F20"/>
          <w:spacing w:val="-12"/>
          <w:w w:val="105"/>
        </w:rPr>
        <w:t> </w:t>
      </w:r>
      <w:r>
        <w:rPr>
          <w:color w:val="231F20"/>
          <w:w w:val="105"/>
        </w:rPr>
        <w:t>transport of dangerous goods in portable tanks and road tank vehicles. The TP notes specified in this column apply to the portable tanks specified in column 13.</w:t>
      </w:r>
    </w:p>
    <w:p>
      <w:pPr>
        <w:pStyle w:val="BodyText"/>
        <w:spacing w:line="256" w:lineRule="auto" w:before="125"/>
        <w:ind w:left="3010" w:right="1416" w:hanging="1080"/>
        <w:jc w:val="both"/>
      </w:pPr>
      <w:r>
        <w:rPr>
          <w:color w:val="231F20"/>
          <w:w w:val="105"/>
        </w:rPr>
        <w:t>Column</w:t>
      </w:r>
      <w:r>
        <w:rPr>
          <w:color w:val="231F20"/>
          <w:spacing w:val="-6"/>
          <w:w w:val="105"/>
        </w:rPr>
        <w:t> </w:t>
      </w:r>
      <w:r>
        <w:rPr>
          <w:color w:val="231F20"/>
          <w:w w:val="105"/>
        </w:rPr>
        <w:t>15</w:t>
      </w:r>
      <w:r>
        <w:rPr>
          <w:color w:val="231F20"/>
          <w:spacing w:val="80"/>
          <w:w w:val="150"/>
        </w:rPr>
        <w:t> </w:t>
      </w:r>
      <w:r>
        <w:rPr>
          <w:color w:val="231F20"/>
          <w:w w:val="105"/>
        </w:rPr>
        <w:t>EmS</w:t>
      </w:r>
      <w:r>
        <w:rPr>
          <w:color w:val="231F20"/>
          <w:spacing w:val="-6"/>
          <w:w w:val="105"/>
        </w:rPr>
        <w:t> </w:t>
      </w:r>
      <w:r>
        <w:rPr>
          <w:color w:val="231F20"/>
          <w:w w:val="105"/>
        </w:rPr>
        <w:t>–</w:t>
      </w:r>
      <w:r>
        <w:rPr>
          <w:color w:val="231F20"/>
          <w:spacing w:val="-6"/>
          <w:w w:val="105"/>
        </w:rPr>
        <w:t> </w:t>
      </w:r>
      <w:r>
        <w:rPr>
          <w:color w:val="231F20"/>
          <w:w w:val="105"/>
        </w:rPr>
        <w:t>this</w:t>
      </w:r>
      <w:r>
        <w:rPr>
          <w:color w:val="231F20"/>
          <w:spacing w:val="-6"/>
          <w:w w:val="105"/>
        </w:rPr>
        <w:t> </w:t>
      </w:r>
      <w:r>
        <w:rPr>
          <w:color w:val="231F20"/>
          <w:w w:val="105"/>
        </w:rPr>
        <w:t>column</w:t>
      </w:r>
      <w:r>
        <w:rPr>
          <w:color w:val="231F20"/>
          <w:spacing w:val="-6"/>
          <w:w w:val="105"/>
        </w:rPr>
        <w:t> </w:t>
      </w:r>
      <w:r>
        <w:rPr>
          <w:color w:val="231F20"/>
          <w:w w:val="105"/>
        </w:rPr>
        <w:t>refers</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relevant</w:t>
      </w:r>
      <w:r>
        <w:rPr>
          <w:color w:val="231F20"/>
          <w:spacing w:val="-6"/>
          <w:w w:val="105"/>
        </w:rPr>
        <w:t> </w:t>
      </w:r>
      <w:r>
        <w:rPr>
          <w:color w:val="231F20"/>
          <w:w w:val="105"/>
        </w:rPr>
        <w:t>emergency</w:t>
      </w:r>
      <w:r>
        <w:rPr>
          <w:color w:val="231F20"/>
          <w:spacing w:val="-6"/>
          <w:w w:val="105"/>
        </w:rPr>
        <w:t> </w:t>
      </w:r>
      <w:r>
        <w:rPr>
          <w:color w:val="231F20"/>
          <w:w w:val="105"/>
        </w:rPr>
        <w:t>schedules</w:t>
      </w:r>
      <w:r>
        <w:rPr>
          <w:color w:val="231F20"/>
          <w:spacing w:val="-6"/>
          <w:w w:val="105"/>
        </w:rPr>
        <w:t> </w:t>
      </w:r>
      <w:r>
        <w:rPr>
          <w:color w:val="231F20"/>
          <w:w w:val="105"/>
        </w:rPr>
        <w:t>for</w:t>
      </w:r>
      <w:r>
        <w:rPr>
          <w:color w:val="231F20"/>
          <w:spacing w:val="-6"/>
          <w:w w:val="105"/>
        </w:rPr>
        <w:t> </w:t>
      </w:r>
      <w:r>
        <w:rPr>
          <w:color w:val="231F20"/>
          <w:w w:val="105"/>
        </w:rPr>
        <w:t>FIRE</w:t>
      </w:r>
      <w:r>
        <w:rPr>
          <w:color w:val="231F20"/>
          <w:spacing w:val="-6"/>
          <w:w w:val="105"/>
        </w:rPr>
        <w:t> </w:t>
      </w:r>
      <w:r>
        <w:rPr>
          <w:color w:val="231F20"/>
          <w:w w:val="105"/>
        </w:rPr>
        <w:t>and</w:t>
      </w:r>
      <w:r>
        <w:rPr>
          <w:color w:val="231F20"/>
          <w:spacing w:val="-6"/>
          <w:w w:val="105"/>
        </w:rPr>
        <w:t> </w:t>
      </w:r>
      <w:r>
        <w:rPr>
          <w:color w:val="231F20"/>
          <w:w w:val="105"/>
        </w:rPr>
        <w:t>SPILLAGE</w:t>
      </w:r>
      <w:r>
        <w:rPr>
          <w:color w:val="231F20"/>
          <w:spacing w:val="-6"/>
          <w:w w:val="105"/>
        </w:rPr>
        <w:t> </w:t>
      </w:r>
      <w:r>
        <w:rPr>
          <w:color w:val="231F20"/>
          <w:w w:val="105"/>
        </w:rPr>
        <w:t>in</w:t>
      </w:r>
      <w:r>
        <w:rPr>
          <w:color w:val="231F20"/>
          <w:spacing w:val="-6"/>
          <w:w w:val="105"/>
        </w:rPr>
        <w:t> </w:t>
      </w:r>
      <w:r>
        <w:rPr>
          <w:color w:val="231F20"/>
          <w:w w:val="105"/>
        </w:rPr>
        <w:t>“The </w:t>
      </w:r>
      <w:r>
        <w:rPr>
          <w:color w:val="231F20"/>
        </w:rPr>
        <w:t>EmS</w:t>
      </w:r>
      <w:r>
        <w:rPr>
          <w:color w:val="231F20"/>
          <w:spacing w:val="11"/>
        </w:rPr>
        <w:t> </w:t>
      </w:r>
      <w:r>
        <w:rPr>
          <w:color w:val="231F20"/>
        </w:rPr>
        <w:t>Guide</w:t>
      </w:r>
      <w:r>
        <w:rPr>
          <w:color w:val="231F20"/>
          <w:spacing w:val="11"/>
        </w:rPr>
        <w:t> </w:t>
      </w:r>
      <w:r>
        <w:rPr>
          <w:color w:val="231F20"/>
        </w:rPr>
        <w:t>–</w:t>
      </w:r>
      <w:r>
        <w:rPr>
          <w:color w:val="231F20"/>
          <w:spacing w:val="11"/>
        </w:rPr>
        <w:t> </w:t>
      </w:r>
      <w:r>
        <w:rPr>
          <w:color w:val="231F20"/>
        </w:rPr>
        <w:t>Revised</w:t>
      </w:r>
      <w:r>
        <w:rPr>
          <w:color w:val="231F20"/>
          <w:spacing w:val="12"/>
        </w:rPr>
        <w:t> </w:t>
      </w:r>
      <w:r>
        <w:rPr>
          <w:color w:val="231F20"/>
        </w:rPr>
        <w:t>Emergency</w:t>
      </w:r>
      <w:r>
        <w:rPr>
          <w:color w:val="231F20"/>
          <w:spacing w:val="11"/>
        </w:rPr>
        <w:t> </w:t>
      </w:r>
      <w:r>
        <w:rPr>
          <w:color w:val="231F20"/>
        </w:rPr>
        <w:t>Response</w:t>
      </w:r>
      <w:r>
        <w:rPr>
          <w:color w:val="231F20"/>
          <w:spacing w:val="11"/>
        </w:rPr>
        <w:t> </w:t>
      </w:r>
      <w:r>
        <w:rPr>
          <w:color w:val="231F20"/>
        </w:rPr>
        <w:t>Procedures</w:t>
      </w:r>
      <w:r>
        <w:rPr>
          <w:color w:val="231F20"/>
          <w:spacing w:val="12"/>
        </w:rPr>
        <w:t> </w:t>
      </w:r>
      <w:r>
        <w:rPr>
          <w:color w:val="231F20"/>
        </w:rPr>
        <w:t>for</w:t>
      </w:r>
      <w:r>
        <w:rPr>
          <w:color w:val="231F20"/>
          <w:spacing w:val="11"/>
        </w:rPr>
        <w:t> </w:t>
      </w:r>
      <w:r>
        <w:rPr>
          <w:color w:val="231F20"/>
        </w:rPr>
        <w:t>Ships</w:t>
      </w:r>
      <w:r>
        <w:rPr>
          <w:color w:val="231F20"/>
          <w:spacing w:val="11"/>
        </w:rPr>
        <w:t> </w:t>
      </w:r>
      <w:r>
        <w:rPr>
          <w:color w:val="231F20"/>
        </w:rPr>
        <w:t>Carrying</w:t>
      </w:r>
      <w:r>
        <w:rPr>
          <w:color w:val="231F20"/>
          <w:spacing w:val="12"/>
        </w:rPr>
        <w:t> </w:t>
      </w:r>
      <w:r>
        <w:rPr>
          <w:color w:val="231F20"/>
        </w:rPr>
        <w:t>Dangerous</w:t>
      </w:r>
      <w:r>
        <w:rPr>
          <w:color w:val="231F20"/>
          <w:spacing w:val="11"/>
        </w:rPr>
        <w:t> </w:t>
      </w:r>
      <w:r>
        <w:rPr>
          <w:color w:val="231F20"/>
          <w:spacing w:val="-2"/>
        </w:rPr>
        <w:t>Goods”.</w:t>
      </w:r>
    </w:p>
    <w:p>
      <w:pPr>
        <w:pStyle w:val="BodyText"/>
        <w:spacing w:line="256" w:lineRule="auto" w:before="105"/>
        <w:ind w:left="3010" w:right="1415"/>
        <w:jc w:val="both"/>
      </w:pPr>
      <w:r>
        <w:rPr>
          <w:color w:val="231F20"/>
        </w:rPr>
        <w:t>The</w:t>
      </w:r>
      <w:r>
        <w:rPr>
          <w:color w:val="231F20"/>
          <w:spacing w:val="25"/>
        </w:rPr>
        <w:t> </w:t>
      </w:r>
      <w:r>
        <w:rPr>
          <w:color w:val="231F20"/>
        </w:rPr>
        <w:t>first</w:t>
      </w:r>
      <w:r>
        <w:rPr>
          <w:color w:val="231F20"/>
          <w:spacing w:val="25"/>
        </w:rPr>
        <w:t> </w:t>
      </w:r>
      <w:r>
        <w:rPr>
          <w:color w:val="231F20"/>
        </w:rPr>
        <w:t>EmS</w:t>
      </w:r>
      <w:r>
        <w:rPr>
          <w:color w:val="231F20"/>
          <w:spacing w:val="25"/>
        </w:rPr>
        <w:t> </w:t>
      </w:r>
      <w:r>
        <w:rPr>
          <w:color w:val="231F20"/>
        </w:rPr>
        <w:t>code</w:t>
      </w:r>
      <w:r>
        <w:rPr>
          <w:color w:val="231F20"/>
          <w:spacing w:val="25"/>
        </w:rPr>
        <w:t> </w:t>
      </w:r>
      <w:r>
        <w:rPr>
          <w:color w:val="231F20"/>
        </w:rPr>
        <w:t>refers</w:t>
      </w:r>
      <w:r>
        <w:rPr>
          <w:color w:val="231F20"/>
          <w:spacing w:val="25"/>
        </w:rPr>
        <w:t> </w:t>
      </w:r>
      <w:r>
        <w:rPr>
          <w:color w:val="231F20"/>
        </w:rPr>
        <w:t>to</w:t>
      </w:r>
      <w:r>
        <w:rPr>
          <w:color w:val="231F20"/>
          <w:spacing w:val="25"/>
        </w:rPr>
        <w:t> </w:t>
      </w:r>
      <w:r>
        <w:rPr>
          <w:color w:val="231F20"/>
        </w:rPr>
        <w:t>the</w:t>
      </w:r>
      <w:r>
        <w:rPr>
          <w:color w:val="231F20"/>
          <w:spacing w:val="25"/>
        </w:rPr>
        <w:t> </w:t>
      </w:r>
      <w:r>
        <w:rPr>
          <w:color w:val="231F20"/>
        </w:rPr>
        <w:t>relevant</w:t>
      </w:r>
      <w:r>
        <w:rPr>
          <w:color w:val="231F20"/>
          <w:spacing w:val="25"/>
        </w:rPr>
        <w:t> </w:t>
      </w:r>
      <w:r>
        <w:rPr>
          <w:color w:val="231F20"/>
        </w:rPr>
        <w:t>Fire</w:t>
      </w:r>
      <w:r>
        <w:rPr>
          <w:color w:val="231F20"/>
          <w:spacing w:val="25"/>
        </w:rPr>
        <w:t> </w:t>
      </w:r>
      <w:r>
        <w:rPr>
          <w:color w:val="231F20"/>
        </w:rPr>
        <w:t>Schedule</w:t>
      </w:r>
      <w:r>
        <w:rPr>
          <w:color w:val="231F20"/>
          <w:spacing w:val="25"/>
        </w:rPr>
        <w:t> </w:t>
      </w:r>
      <w:r>
        <w:rPr>
          <w:color w:val="231F20"/>
        </w:rPr>
        <w:t>(e.g.</w:t>
      </w:r>
      <w:r>
        <w:rPr>
          <w:color w:val="231F20"/>
          <w:spacing w:val="25"/>
        </w:rPr>
        <w:t> </w:t>
      </w:r>
      <w:r>
        <w:rPr>
          <w:color w:val="231F20"/>
        </w:rPr>
        <w:t>Fire</w:t>
      </w:r>
      <w:r>
        <w:rPr>
          <w:color w:val="231F20"/>
          <w:spacing w:val="25"/>
        </w:rPr>
        <w:t> </w:t>
      </w:r>
      <w:r>
        <w:rPr>
          <w:color w:val="231F20"/>
        </w:rPr>
        <w:t>Schedule</w:t>
      </w:r>
      <w:r>
        <w:rPr>
          <w:color w:val="231F20"/>
          <w:spacing w:val="25"/>
        </w:rPr>
        <w:t> </w:t>
      </w:r>
      <w:r>
        <w:rPr>
          <w:color w:val="231F20"/>
        </w:rPr>
        <w:t>Alfa</w:t>
      </w:r>
      <w:r>
        <w:rPr>
          <w:color w:val="231F20"/>
          <w:spacing w:val="25"/>
        </w:rPr>
        <w:t> </w:t>
      </w:r>
      <w:r>
        <w:rPr>
          <w:color w:val="231F20"/>
        </w:rPr>
        <w:t>“F-A”</w:t>
      </w:r>
      <w:r>
        <w:rPr>
          <w:color w:val="231F20"/>
          <w:spacing w:val="25"/>
        </w:rPr>
        <w:t> </w:t>
      </w:r>
      <w:r>
        <w:rPr>
          <w:color w:val="231F20"/>
        </w:rPr>
        <w:t>General Fire Schedule).</w:t>
      </w:r>
    </w:p>
    <w:p>
      <w:pPr>
        <w:pStyle w:val="BodyText"/>
        <w:spacing w:line="256" w:lineRule="auto" w:before="104"/>
        <w:ind w:left="3010" w:right="1414"/>
        <w:jc w:val="both"/>
      </w:pPr>
      <w:r>
        <w:rPr>
          <w:color w:val="231F20"/>
          <w:w w:val="105"/>
        </w:rPr>
        <w:t>The</w:t>
      </w:r>
      <w:r>
        <w:rPr>
          <w:color w:val="231F20"/>
          <w:w w:val="105"/>
        </w:rPr>
        <w:t> second</w:t>
      </w:r>
      <w:r>
        <w:rPr>
          <w:color w:val="231F20"/>
          <w:w w:val="105"/>
        </w:rPr>
        <w:t> EmS</w:t>
      </w:r>
      <w:r>
        <w:rPr>
          <w:color w:val="231F20"/>
          <w:w w:val="105"/>
        </w:rPr>
        <w:t> code</w:t>
      </w:r>
      <w:r>
        <w:rPr>
          <w:color w:val="231F20"/>
          <w:w w:val="105"/>
        </w:rPr>
        <w:t> refers</w:t>
      </w:r>
      <w:r>
        <w:rPr>
          <w:color w:val="231F20"/>
          <w:w w:val="105"/>
        </w:rPr>
        <w:t> to</w:t>
      </w:r>
      <w:r>
        <w:rPr>
          <w:color w:val="231F20"/>
          <w:w w:val="105"/>
        </w:rPr>
        <w:t> the</w:t>
      </w:r>
      <w:r>
        <w:rPr>
          <w:color w:val="231F20"/>
          <w:w w:val="105"/>
        </w:rPr>
        <w:t> relevant</w:t>
      </w:r>
      <w:r>
        <w:rPr>
          <w:color w:val="231F20"/>
          <w:w w:val="105"/>
        </w:rPr>
        <w:t> Spillage</w:t>
      </w:r>
      <w:r>
        <w:rPr>
          <w:color w:val="231F20"/>
          <w:w w:val="105"/>
        </w:rPr>
        <w:t> Schedule</w:t>
      </w:r>
      <w:r>
        <w:rPr>
          <w:color w:val="231F20"/>
          <w:w w:val="105"/>
        </w:rPr>
        <w:t> (e.g.</w:t>
      </w:r>
      <w:r>
        <w:rPr>
          <w:color w:val="231F20"/>
          <w:w w:val="105"/>
        </w:rPr>
        <w:t> Spillage</w:t>
      </w:r>
      <w:r>
        <w:rPr>
          <w:color w:val="231F20"/>
          <w:w w:val="105"/>
        </w:rPr>
        <w:t> Schedule</w:t>
      </w:r>
      <w:r>
        <w:rPr>
          <w:color w:val="231F20"/>
          <w:w w:val="105"/>
        </w:rPr>
        <w:t> Alfa</w:t>
      </w:r>
      <w:r>
        <w:rPr>
          <w:color w:val="231F20"/>
          <w:spacing w:val="40"/>
          <w:w w:val="105"/>
        </w:rPr>
        <w:t> </w:t>
      </w:r>
      <w:r>
        <w:rPr>
          <w:color w:val="231F20"/>
          <w:w w:val="105"/>
        </w:rPr>
        <w:t>“S-A” Toxic Substances).</w:t>
      </w:r>
    </w:p>
    <w:p>
      <w:pPr>
        <w:pStyle w:val="BodyText"/>
        <w:spacing w:line="256" w:lineRule="auto" w:before="105"/>
        <w:ind w:left="3010" w:right="1416"/>
        <w:jc w:val="both"/>
      </w:pPr>
      <w:r>
        <w:rPr>
          <w:color w:val="231F20"/>
          <w:w w:val="105"/>
        </w:rPr>
        <w:t>Underlined</w:t>
      </w:r>
      <w:r>
        <w:rPr>
          <w:color w:val="231F20"/>
          <w:w w:val="105"/>
        </w:rPr>
        <w:t> EmS</w:t>
      </w:r>
      <w:r>
        <w:rPr>
          <w:color w:val="231F20"/>
          <w:w w:val="105"/>
        </w:rPr>
        <w:t> codes</w:t>
      </w:r>
      <w:r>
        <w:rPr>
          <w:color w:val="231F20"/>
          <w:w w:val="105"/>
        </w:rPr>
        <w:t> (special</w:t>
      </w:r>
      <w:r>
        <w:rPr>
          <w:color w:val="231F20"/>
          <w:w w:val="105"/>
        </w:rPr>
        <w:t> cases)</w:t>
      </w:r>
      <w:r>
        <w:rPr>
          <w:color w:val="231F20"/>
          <w:w w:val="105"/>
        </w:rPr>
        <w:t> indicate</w:t>
      </w:r>
      <w:r>
        <w:rPr>
          <w:color w:val="231F20"/>
          <w:w w:val="105"/>
        </w:rPr>
        <w:t> a</w:t>
      </w:r>
      <w:r>
        <w:rPr>
          <w:color w:val="231F20"/>
          <w:w w:val="105"/>
        </w:rPr>
        <w:t> substance,</w:t>
      </w:r>
      <w:r>
        <w:rPr>
          <w:color w:val="231F20"/>
          <w:w w:val="105"/>
        </w:rPr>
        <w:t> material</w:t>
      </w:r>
      <w:r>
        <w:rPr>
          <w:color w:val="231F20"/>
          <w:w w:val="105"/>
        </w:rPr>
        <w:t> or</w:t>
      </w:r>
      <w:r>
        <w:rPr>
          <w:color w:val="231F20"/>
          <w:w w:val="105"/>
        </w:rPr>
        <w:t> article</w:t>
      </w:r>
      <w:r>
        <w:rPr>
          <w:color w:val="231F20"/>
          <w:w w:val="105"/>
        </w:rPr>
        <w:t> for</w:t>
      </w:r>
      <w:r>
        <w:rPr>
          <w:color w:val="231F20"/>
          <w:w w:val="105"/>
        </w:rPr>
        <w:t> which additional advice is given in the emergency response procedures.</w:t>
      </w:r>
    </w:p>
    <w:p>
      <w:pPr>
        <w:pStyle w:val="BodyText"/>
        <w:spacing w:line="256" w:lineRule="auto" w:before="104"/>
        <w:ind w:left="3010" w:right="1415"/>
        <w:jc w:val="both"/>
      </w:pPr>
      <w:r>
        <w:rPr>
          <w:color w:val="231F20"/>
          <w:w w:val="105"/>
        </w:rPr>
        <w:t>For dangerous goods offered for transport under N.O.S. entries or other generic entries, the most relevant emergency response procedures may vary with the properties of the hazardous constituents.</w:t>
      </w:r>
      <w:r>
        <w:rPr>
          <w:color w:val="231F20"/>
          <w:spacing w:val="-5"/>
          <w:w w:val="105"/>
        </w:rPr>
        <w:t> </w:t>
      </w:r>
      <w:r>
        <w:rPr>
          <w:color w:val="231F20"/>
          <w:w w:val="105"/>
        </w:rPr>
        <w:t>As</w:t>
      </w:r>
      <w:r>
        <w:rPr>
          <w:color w:val="231F20"/>
          <w:spacing w:val="-5"/>
          <w:w w:val="105"/>
        </w:rPr>
        <w:t> </w:t>
      </w:r>
      <w:r>
        <w:rPr>
          <w:color w:val="231F20"/>
          <w:w w:val="105"/>
        </w:rPr>
        <w:t>a</w:t>
      </w:r>
      <w:r>
        <w:rPr>
          <w:color w:val="231F20"/>
          <w:spacing w:val="-5"/>
          <w:w w:val="105"/>
        </w:rPr>
        <w:t> </w:t>
      </w:r>
      <w:r>
        <w:rPr>
          <w:color w:val="231F20"/>
          <w:w w:val="105"/>
        </w:rPr>
        <w:t>consequence,</w:t>
      </w:r>
      <w:r>
        <w:rPr>
          <w:color w:val="231F20"/>
          <w:spacing w:val="-5"/>
          <w:w w:val="105"/>
        </w:rPr>
        <w:t> </w:t>
      </w:r>
      <w:r>
        <w:rPr>
          <w:color w:val="231F20"/>
          <w:w w:val="105"/>
        </w:rPr>
        <w:t>shippers</w:t>
      </w:r>
      <w:r>
        <w:rPr>
          <w:color w:val="231F20"/>
          <w:spacing w:val="-5"/>
          <w:w w:val="105"/>
        </w:rPr>
        <w:t> </w:t>
      </w:r>
      <w:r>
        <w:rPr>
          <w:color w:val="231F20"/>
          <w:w w:val="105"/>
        </w:rPr>
        <w:t>may</w:t>
      </w:r>
      <w:r>
        <w:rPr>
          <w:color w:val="231F20"/>
          <w:spacing w:val="-5"/>
          <w:w w:val="105"/>
        </w:rPr>
        <w:t> </w:t>
      </w:r>
      <w:r>
        <w:rPr>
          <w:color w:val="231F20"/>
          <w:w w:val="105"/>
        </w:rPr>
        <w:t>have</w:t>
      </w:r>
      <w:r>
        <w:rPr>
          <w:color w:val="231F20"/>
          <w:spacing w:val="-5"/>
          <w:w w:val="105"/>
        </w:rPr>
        <w:t> </w:t>
      </w:r>
      <w:r>
        <w:rPr>
          <w:color w:val="231F20"/>
          <w:w w:val="105"/>
        </w:rPr>
        <w:t>to</w:t>
      </w:r>
      <w:r>
        <w:rPr>
          <w:color w:val="231F20"/>
          <w:spacing w:val="-5"/>
          <w:w w:val="105"/>
        </w:rPr>
        <w:t> </w:t>
      </w:r>
      <w:r>
        <w:rPr>
          <w:color w:val="231F20"/>
          <w:w w:val="105"/>
        </w:rPr>
        <w:t>declare</w:t>
      </w:r>
      <w:r>
        <w:rPr>
          <w:color w:val="231F20"/>
          <w:spacing w:val="-5"/>
          <w:w w:val="105"/>
        </w:rPr>
        <w:t> </w:t>
      </w:r>
      <w:r>
        <w:rPr>
          <w:color w:val="231F20"/>
          <w:w w:val="105"/>
        </w:rPr>
        <w:t>different</w:t>
      </w:r>
      <w:r>
        <w:rPr>
          <w:color w:val="231F20"/>
          <w:spacing w:val="-5"/>
          <w:w w:val="105"/>
        </w:rPr>
        <w:t> </w:t>
      </w:r>
      <w:r>
        <w:rPr>
          <w:color w:val="231F20"/>
          <w:w w:val="105"/>
        </w:rPr>
        <w:t>EmS</w:t>
      </w:r>
      <w:r>
        <w:rPr>
          <w:color w:val="231F20"/>
          <w:spacing w:val="-5"/>
          <w:w w:val="105"/>
        </w:rPr>
        <w:t> </w:t>
      </w:r>
      <w:r>
        <w:rPr>
          <w:color w:val="231F20"/>
          <w:w w:val="105"/>
        </w:rPr>
        <w:t>codes</w:t>
      </w:r>
      <w:r>
        <w:rPr>
          <w:color w:val="231F20"/>
          <w:spacing w:val="-5"/>
          <w:w w:val="105"/>
        </w:rPr>
        <w:t> </w:t>
      </w:r>
      <w:r>
        <w:rPr>
          <w:color w:val="231F20"/>
          <w:w w:val="105"/>
        </w:rPr>
        <w:t>from</w:t>
      </w:r>
      <w:r>
        <w:rPr>
          <w:color w:val="231F20"/>
          <w:spacing w:val="-5"/>
          <w:w w:val="105"/>
        </w:rPr>
        <w:t> </w:t>
      </w:r>
      <w:r>
        <w:rPr>
          <w:color w:val="231F20"/>
          <w:w w:val="105"/>
        </w:rPr>
        <w:t>those indicated, if, to their knowledge, such codes are more appropriate.</w:t>
      </w:r>
    </w:p>
    <w:p>
      <w:pPr>
        <w:pStyle w:val="BodyText"/>
        <w:spacing w:before="106"/>
        <w:ind w:left="3010"/>
      </w:pPr>
      <w:r>
        <w:rPr>
          <w:color w:val="231F20"/>
          <w:w w:val="105"/>
        </w:rPr>
        <w:t>The</w:t>
      </w:r>
      <w:r>
        <w:rPr>
          <w:color w:val="231F20"/>
          <w:spacing w:val="-5"/>
          <w:w w:val="105"/>
        </w:rPr>
        <w:t> </w:t>
      </w:r>
      <w:r>
        <w:rPr>
          <w:color w:val="231F20"/>
          <w:w w:val="105"/>
        </w:rPr>
        <w:t>provisions</w:t>
      </w:r>
      <w:r>
        <w:rPr>
          <w:color w:val="231F20"/>
          <w:spacing w:val="-4"/>
          <w:w w:val="105"/>
        </w:rPr>
        <w:t> </w:t>
      </w:r>
      <w:r>
        <w:rPr>
          <w:color w:val="231F20"/>
          <w:w w:val="105"/>
        </w:rPr>
        <w:t>in</w:t>
      </w:r>
      <w:r>
        <w:rPr>
          <w:color w:val="231F20"/>
          <w:spacing w:val="-4"/>
          <w:w w:val="105"/>
        </w:rPr>
        <w:t> </w:t>
      </w:r>
      <w:r>
        <w:rPr>
          <w:color w:val="231F20"/>
          <w:w w:val="105"/>
        </w:rPr>
        <w:t>this</w:t>
      </w:r>
      <w:r>
        <w:rPr>
          <w:color w:val="231F20"/>
          <w:spacing w:val="-4"/>
          <w:w w:val="105"/>
        </w:rPr>
        <w:t> </w:t>
      </w:r>
      <w:r>
        <w:rPr>
          <w:color w:val="231F20"/>
          <w:w w:val="105"/>
        </w:rPr>
        <w:t>column</w:t>
      </w:r>
      <w:r>
        <w:rPr>
          <w:color w:val="231F20"/>
          <w:spacing w:val="-4"/>
          <w:w w:val="105"/>
        </w:rPr>
        <w:t> </w:t>
      </w:r>
      <w:r>
        <w:rPr>
          <w:color w:val="231F20"/>
          <w:w w:val="105"/>
        </w:rPr>
        <w:t>are</w:t>
      </w:r>
      <w:r>
        <w:rPr>
          <w:color w:val="231F20"/>
          <w:spacing w:val="-4"/>
          <w:w w:val="105"/>
        </w:rPr>
        <w:t> </w:t>
      </w:r>
      <w:r>
        <w:rPr>
          <w:color w:val="231F20"/>
          <w:w w:val="105"/>
        </w:rPr>
        <w:t>not</w:t>
      </w:r>
      <w:r>
        <w:rPr>
          <w:color w:val="231F20"/>
          <w:spacing w:val="-4"/>
          <w:w w:val="105"/>
        </w:rPr>
        <w:t> </w:t>
      </w:r>
      <w:r>
        <w:rPr>
          <w:color w:val="231F20"/>
          <w:spacing w:val="-2"/>
          <w:w w:val="105"/>
        </w:rPr>
        <w:t>mandatory.</w:t>
      </w:r>
    </w:p>
    <w:p>
      <w:pPr>
        <w:pStyle w:val="BodyText"/>
        <w:spacing w:before="137"/>
        <w:ind w:left="1930"/>
      </w:pPr>
      <w:r>
        <w:rPr>
          <w:color w:val="231F20"/>
          <w:w w:val="105"/>
        </w:rPr>
        <w:t>Column 16a</w:t>
      </w:r>
      <w:r>
        <w:rPr>
          <w:color w:val="231F20"/>
          <w:spacing w:val="63"/>
          <w:w w:val="150"/>
        </w:rPr>
        <w:t> </w:t>
      </w:r>
      <w:r>
        <w:rPr>
          <w:color w:val="231F20"/>
          <w:w w:val="105"/>
        </w:rPr>
        <w:t>Stowage and</w:t>
      </w:r>
      <w:r>
        <w:rPr>
          <w:color w:val="231F20"/>
          <w:spacing w:val="1"/>
          <w:w w:val="105"/>
        </w:rPr>
        <w:t> </w:t>
      </w:r>
      <w:r>
        <w:rPr>
          <w:color w:val="231F20"/>
          <w:w w:val="105"/>
        </w:rPr>
        <w:t>handling –</w:t>
      </w:r>
      <w:r>
        <w:rPr>
          <w:color w:val="231F20"/>
          <w:spacing w:val="1"/>
          <w:w w:val="105"/>
        </w:rPr>
        <w:t> </w:t>
      </w:r>
      <w:r>
        <w:rPr>
          <w:color w:val="231F20"/>
          <w:w w:val="105"/>
        </w:rPr>
        <w:t>this column contains</w:t>
      </w:r>
      <w:r>
        <w:rPr>
          <w:color w:val="231F20"/>
          <w:spacing w:val="1"/>
          <w:w w:val="105"/>
        </w:rPr>
        <w:t> </w:t>
      </w:r>
      <w:r>
        <w:rPr>
          <w:color w:val="231F20"/>
          <w:w w:val="105"/>
        </w:rPr>
        <w:t>the stowage and</w:t>
      </w:r>
      <w:r>
        <w:rPr>
          <w:color w:val="231F20"/>
          <w:spacing w:val="1"/>
          <w:w w:val="105"/>
        </w:rPr>
        <w:t> </w:t>
      </w:r>
      <w:r>
        <w:rPr>
          <w:color w:val="231F20"/>
          <w:w w:val="105"/>
        </w:rPr>
        <w:t>handling codes</w:t>
      </w:r>
      <w:r>
        <w:rPr>
          <w:color w:val="231F20"/>
          <w:spacing w:val="1"/>
          <w:w w:val="105"/>
        </w:rPr>
        <w:t> </w:t>
      </w:r>
      <w:r>
        <w:rPr>
          <w:color w:val="231F20"/>
          <w:w w:val="105"/>
        </w:rPr>
        <w:t>as specified </w:t>
      </w:r>
      <w:r>
        <w:rPr>
          <w:color w:val="231F20"/>
          <w:spacing w:val="-5"/>
          <w:w w:val="105"/>
        </w:rPr>
        <w:t>in</w:t>
      </w:r>
    </w:p>
    <w:p>
      <w:pPr>
        <w:pStyle w:val="BodyText"/>
        <w:spacing w:before="15"/>
        <w:ind w:left="3010"/>
      </w:pPr>
      <w:r>
        <w:rPr>
          <w:color w:val="231F20"/>
        </w:rPr>
        <w:t>7.1.5</w:t>
      </w:r>
      <w:r>
        <w:rPr>
          <w:color w:val="231F20"/>
          <w:spacing w:val="-11"/>
        </w:rPr>
        <w:t> </w:t>
      </w:r>
      <w:r>
        <w:rPr>
          <w:color w:val="231F20"/>
        </w:rPr>
        <w:t>and</w:t>
      </w:r>
      <w:r>
        <w:rPr>
          <w:color w:val="231F20"/>
          <w:spacing w:val="-11"/>
        </w:rPr>
        <w:t> </w:t>
      </w:r>
      <w:r>
        <w:rPr>
          <w:color w:val="231F20"/>
          <w:spacing w:val="-2"/>
        </w:rPr>
        <w:t>7.1.6.</w:t>
      </w:r>
    </w:p>
    <w:p>
      <w:pPr>
        <w:pStyle w:val="BodyText"/>
        <w:spacing w:line="256" w:lineRule="auto" w:before="137"/>
        <w:ind w:left="3010" w:right="1415" w:hanging="1080"/>
        <w:jc w:val="both"/>
      </w:pPr>
      <w:r>
        <w:rPr>
          <w:color w:val="231F20"/>
          <w:w w:val="105"/>
        </w:rPr>
        <w:t>Column 16b</w:t>
      </w:r>
      <w:r>
        <w:rPr>
          <w:color w:val="231F20"/>
          <w:spacing w:val="77"/>
          <w:w w:val="105"/>
        </w:rPr>
        <w:t> </w:t>
      </w:r>
      <w:r>
        <w:rPr>
          <w:color w:val="231F20"/>
          <w:w w:val="105"/>
        </w:rPr>
        <w:t>Segregation</w:t>
      </w:r>
      <w:r>
        <w:rPr>
          <w:color w:val="231F20"/>
          <w:spacing w:val="-6"/>
          <w:w w:val="105"/>
        </w:rPr>
        <w:t> </w:t>
      </w:r>
      <w:r>
        <w:rPr>
          <w:color w:val="231F20"/>
          <w:w w:val="105"/>
        </w:rPr>
        <w:t>–</w:t>
      </w:r>
      <w:r>
        <w:rPr>
          <w:color w:val="231F20"/>
          <w:spacing w:val="-6"/>
          <w:w w:val="105"/>
        </w:rPr>
        <w:t> </w:t>
      </w:r>
      <w:r>
        <w:rPr>
          <w:color w:val="231F20"/>
          <w:w w:val="105"/>
        </w:rPr>
        <w:t>this</w:t>
      </w:r>
      <w:r>
        <w:rPr>
          <w:color w:val="231F20"/>
          <w:spacing w:val="-6"/>
          <w:w w:val="105"/>
        </w:rPr>
        <w:t> </w:t>
      </w:r>
      <w:r>
        <w:rPr>
          <w:color w:val="231F20"/>
          <w:w w:val="105"/>
        </w:rPr>
        <w:t>column</w:t>
      </w:r>
      <w:r>
        <w:rPr>
          <w:color w:val="231F20"/>
          <w:spacing w:val="-6"/>
          <w:w w:val="105"/>
        </w:rPr>
        <w:t> </w:t>
      </w:r>
      <w:r>
        <w:rPr>
          <w:color w:val="231F20"/>
          <w:w w:val="105"/>
        </w:rPr>
        <w:t>contains</w:t>
      </w:r>
      <w:r>
        <w:rPr>
          <w:color w:val="231F20"/>
          <w:spacing w:val="-6"/>
          <w:w w:val="105"/>
        </w:rPr>
        <w:t> </w:t>
      </w:r>
      <w:r>
        <w:rPr>
          <w:color w:val="231F20"/>
          <w:w w:val="105"/>
        </w:rPr>
        <w:t>the</w:t>
      </w:r>
      <w:r>
        <w:rPr>
          <w:color w:val="231F20"/>
          <w:spacing w:val="-6"/>
          <w:w w:val="105"/>
        </w:rPr>
        <w:t> </w:t>
      </w:r>
      <w:r>
        <w:rPr>
          <w:color w:val="231F20"/>
          <w:w w:val="105"/>
        </w:rPr>
        <w:t>segregation</w:t>
      </w:r>
      <w:r>
        <w:rPr>
          <w:color w:val="231F20"/>
          <w:spacing w:val="-6"/>
          <w:w w:val="105"/>
        </w:rPr>
        <w:t> </w:t>
      </w:r>
      <w:r>
        <w:rPr>
          <w:color w:val="231F20"/>
          <w:w w:val="105"/>
        </w:rPr>
        <w:t>group</w:t>
      </w:r>
      <w:r>
        <w:rPr>
          <w:color w:val="231F20"/>
          <w:spacing w:val="-6"/>
          <w:w w:val="105"/>
        </w:rPr>
        <w:t> </w:t>
      </w:r>
      <w:r>
        <w:rPr>
          <w:color w:val="231F20"/>
          <w:w w:val="105"/>
        </w:rPr>
        <w:t>codes</w:t>
      </w:r>
      <w:r>
        <w:rPr>
          <w:color w:val="231F20"/>
          <w:spacing w:val="-6"/>
          <w:w w:val="105"/>
        </w:rPr>
        <w:t> </w:t>
      </w:r>
      <w:r>
        <w:rPr>
          <w:color w:val="231F20"/>
          <w:w w:val="105"/>
        </w:rPr>
        <w:t>as</w:t>
      </w:r>
      <w:r>
        <w:rPr>
          <w:color w:val="231F20"/>
          <w:spacing w:val="-6"/>
          <w:w w:val="105"/>
        </w:rPr>
        <w:t> </w:t>
      </w:r>
      <w:r>
        <w:rPr>
          <w:color w:val="231F20"/>
          <w:w w:val="105"/>
        </w:rPr>
        <w:t>specified</w:t>
      </w:r>
      <w:r>
        <w:rPr>
          <w:color w:val="231F20"/>
          <w:spacing w:val="-6"/>
          <w:w w:val="105"/>
        </w:rPr>
        <w:t> </w:t>
      </w:r>
      <w:r>
        <w:rPr>
          <w:color w:val="231F20"/>
          <w:w w:val="105"/>
        </w:rPr>
        <w:t>in</w:t>
      </w:r>
      <w:r>
        <w:rPr>
          <w:color w:val="231F20"/>
          <w:spacing w:val="-6"/>
          <w:w w:val="105"/>
        </w:rPr>
        <w:t> </w:t>
      </w:r>
      <w:r>
        <w:rPr>
          <w:color w:val="231F20"/>
          <w:w w:val="105"/>
        </w:rPr>
        <w:t>7.2.5.2</w:t>
      </w:r>
      <w:r>
        <w:rPr>
          <w:color w:val="231F20"/>
          <w:spacing w:val="-6"/>
          <w:w w:val="105"/>
        </w:rPr>
        <w:t> </w:t>
      </w:r>
      <w:r>
        <w:rPr>
          <w:color w:val="231F20"/>
          <w:w w:val="105"/>
        </w:rPr>
        <w:t>and</w:t>
      </w:r>
      <w:r>
        <w:rPr>
          <w:color w:val="231F20"/>
          <w:spacing w:val="-6"/>
          <w:w w:val="105"/>
        </w:rPr>
        <w:t> </w:t>
      </w:r>
      <w:r>
        <w:rPr>
          <w:color w:val="231F20"/>
          <w:w w:val="105"/>
        </w:rPr>
        <w:t>the segregation codes as specified in 7.2.8.</w:t>
      </w:r>
    </w:p>
    <w:p>
      <w:pPr>
        <w:pStyle w:val="BodyText"/>
        <w:spacing w:line="256" w:lineRule="auto" w:before="124"/>
        <w:ind w:left="3010" w:right="1415" w:hanging="1080"/>
        <w:jc w:val="both"/>
      </w:pPr>
      <w:r>
        <w:rPr>
          <w:color w:val="231F20"/>
          <w:w w:val="105"/>
        </w:rPr>
        <w:t>Column 17</w:t>
      </w:r>
      <w:r>
        <w:rPr>
          <w:color w:val="231F20"/>
          <w:spacing w:val="80"/>
          <w:w w:val="105"/>
        </w:rPr>
        <w:t> </w:t>
      </w:r>
      <w:r>
        <w:rPr>
          <w:color w:val="231F20"/>
          <w:w w:val="105"/>
        </w:rPr>
        <w:t>Properties</w:t>
      </w:r>
      <w:r>
        <w:rPr>
          <w:color w:val="231F20"/>
          <w:w w:val="105"/>
        </w:rPr>
        <w:t> and</w:t>
      </w:r>
      <w:r>
        <w:rPr>
          <w:color w:val="231F20"/>
          <w:w w:val="105"/>
        </w:rPr>
        <w:t> observations</w:t>
      </w:r>
      <w:r>
        <w:rPr>
          <w:color w:val="231F20"/>
          <w:w w:val="105"/>
        </w:rPr>
        <w:t> –</w:t>
      </w:r>
      <w:r>
        <w:rPr>
          <w:color w:val="231F20"/>
          <w:w w:val="105"/>
        </w:rPr>
        <w:t> this</w:t>
      </w:r>
      <w:r>
        <w:rPr>
          <w:color w:val="231F20"/>
          <w:w w:val="105"/>
        </w:rPr>
        <w:t> column</w:t>
      </w:r>
      <w:r>
        <w:rPr>
          <w:color w:val="231F20"/>
          <w:w w:val="105"/>
        </w:rPr>
        <w:t> contains</w:t>
      </w:r>
      <w:r>
        <w:rPr>
          <w:color w:val="231F20"/>
          <w:w w:val="105"/>
        </w:rPr>
        <w:t> properties</w:t>
      </w:r>
      <w:r>
        <w:rPr>
          <w:color w:val="231F20"/>
          <w:w w:val="105"/>
        </w:rPr>
        <w:t> of</w:t>
      </w:r>
      <w:r>
        <w:rPr>
          <w:color w:val="231F20"/>
          <w:w w:val="105"/>
        </w:rPr>
        <w:t> and</w:t>
      </w:r>
      <w:r>
        <w:rPr>
          <w:color w:val="231F20"/>
          <w:w w:val="105"/>
        </w:rPr>
        <w:t> observations</w:t>
      </w:r>
      <w:r>
        <w:rPr>
          <w:color w:val="231F20"/>
          <w:w w:val="105"/>
        </w:rPr>
        <w:t> on</w:t>
      </w:r>
      <w:r>
        <w:rPr>
          <w:color w:val="231F20"/>
          <w:w w:val="105"/>
        </w:rPr>
        <w:t> the dangerous goods listed. The provisions in this column are not mandatory.</w:t>
      </w:r>
    </w:p>
    <w:p>
      <w:pPr>
        <w:pStyle w:val="BodyText"/>
        <w:spacing w:line="256" w:lineRule="auto" w:before="125"/>
        <w:ind w:left="3010" w:right="1414"/>
        <w:jc w:val="both"/>
      </w:pPr>
      <w:r>
        <w:rPr>
          <w:color w:val="231F20"/>
          <w:w w:val="105"/>
        </w:rPr>
        <w:t>Properties of most gases include an indication of its density in relation to air. The figures in brackets give the density relative to air.</w:t>
      </w:r>
    </w:p>
    <w:p>
      <w:pPr>
        <w:pStyle w:val="ListParagraph"/>
        <w:numPr>
          <w:ilvl w:val="0"/>
          <w:numId w:val="2"/>
        </w:numPr>
        <w:tabs>
          <w:tab w:pos="3490" w:val="left" w:leader="none"/>
        </w:tabs>
        <w:spacing w:line="240" w:lineRule="auto" w:before="64" w:after="0"/>
        <w:ind w:left="3490" w:right="0" w:hanging="480"/>
        <w:jc w:val="left"/>
        <w:rPr>
          <w:sz w:val="17"/>
        </w:rPr>
      </w:pPr>
      <w:r>
        <w:rPr>
          <w:color w:val="231F20"/>
          <w:w w:val="105"/>
          <w:sz w:val="17"/>
        </w:rPr>
        <w:t>“lighter than</w:t>
      </w:r>
      <w:r>
        <w:rPr>
          <w:color w:val="231F20"/>
          <w:spacing w:val="1"/>
          <w:w w:val="105"/>
          <w:sz w:val="17"/>
        </w:rPr>
        <w:t> </w:t>
      </w:r>
      <w:r>
        <w:rPr>
          <w:color w:val="231F20"/>
          <w:w w:val="105"/>
          <w:sz w:val="17"/>
        </w:rPr>
        <w:t>air”</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the vapour</w:t>
      </w:r>
      <w:r>
        <w:rPr>
          <w:color w:val="231F20"/>
          <w:spacing w:val="1"/>
          <w:w w:val="105"/>
          <w:sz w:val="17"/>
        </w:rPr>
        <w:t> </w:t>
      </w:r>
      <w:r>
        <w:rPr>
          <w:color w:val="231F20"/>
          <w:w w:val="105"/>
          <w:sz w:val="17"/>
        </w:rPr>
        <w:t>density</w:t>
      </w:r>
      <w:r>
        <w:rPr>
          <w:color w:val="231F20"/>
          <w:spacing w:val="1"/>
          <w:w w:val="105"/>
          <w:sz w:val="17"/>
        </w:rPr>
        <w:t> </w:t>
      </w:r>
      <w:r>
        <w:rPr>
          <w:color w:val="231F20"/>
          <w:w w:val="105"/>
          <w:sz w:val="17"/>
        </w:rPr>
        <w:t>is</w:t>
      </w:r>
      <w:r>
        <w:rPr>
          <w:color w:val="231F20"/>
          <w:spacing w:val="1"/>
          <w:w w:val="105"/>
          <w:sz w:val="17"/>
        </w:rPr>
        <w:t> </w:t>
      </w:r>
      <w:r>
        <w:rPr>
          <w:color w:val="231F20"/>
          <w:w w:val="105"/>
          <w:sz w:val="17"/>
        </w:rPr>
        <w:t>down to</w:t>
      </w:r>
      <w:r>
        <w:rPr>
          <w:color w:val="231F20"/>
          <w:spacing w:val="1"/>
          <w:w w:val="105"/>
          <w:sz w:val="17"/>
        </w:rPr>
        <w:t> </w:t>
      </w:r>
      <w:r>
        <w:rPr>
          <w:color w:val="231F20"/>
          <w:w w:val="105"/>
          <w:sz w:val="17"/>
        </w:rPr>
        <w:t>half</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of </w:t>
      </w:r>
      <w:r>
        <w:rPr>
          <w:color w:val="231F20"/>
          <w:spacing w:val="-4"/>
          <w:w w:val="105"/>
          <w:sz w:val="17"/>
        </w:rPr>
        <w:t>air;</w:t>
      </w:r>
    </w:p>
    <w:p>
      <w:pPr>
        <w:pStyle w:val="BodyText"/>
        <w:rPr>
          <w:sz w:val="20"/>
        </w:rPr>
      </w:pPr>
    </w:p>
    <w:p>
      <w:pPr>
        <w:pStyle w:val="BodyText"/>
        <w:spacing w:before="159"/>
        <w:rPr>
          <w:sz w:val="20"/>
        </w:rPr>
      </w:pPr>
      <w:r>
        <w:rPr>
          <w:sz w:val="20"/>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262242</wp:posOffset>
                </wp:positionV>
                <wp:extent cx="6120130" cy="63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120130" cy="6350"/>
                          <a:chExt cx="6120130" cy="6350"/>
                        </a:xfrm>
                      </wpg:grpSpPr>
                      <wps:wsp>
                        <wps:cNvPr id="20" name="Graphic 2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 name="Graphic 2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649023pt;width:481.9pt;height:.5pt;mso-position-horizontal-relative:page;mso-position-vertical-relative:paragraph;z-index:-15726080;mso-wrap-distance-left:0;mso-wrap-distance-right:0" id="docshapegroup17" coordorigin="850,413" coordsize="9638,10">
                <v:line style="position:absolute" from="850,418" to="5953,418" stroked="true" strokeweight=".5pt" strokecolor="#231f20">
                  <v:stroke dashstyle="solid"/>
                </v:line>
                <v:line style="position:absolute" from="5953,418" to="10488,418"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608" w:top="720" w:bottom="800" w:left="0" w:right="0"/>
        </w:sectPr>
      </w:pPr>
    </w:p>
    <w:p>
      <w:pPr>
        <w:pStyle w:val="BodyText"/>
        <w:spacing w:before="70"/>
      </w:pPr>
      <w:r>
        <w:rPr/>
        <mc:AlternateContent>
          <mc:Choice Requires="wps">
            <w:drawing>
              <wp:anchor distT="0" distB="0" distL="0" distR="0" allowOverlap="1" layoutInCell="1" locked="0" behindDoc="0" simplePos="0" relativeHeight="15733248">
                <wp:simplePos x="0" y="0"/>
                <wp:positionH relativeFrom="page">
                  <wp:posOffset>7199998</wp:posOffset>
                </wp:positionH>
                <wp:positionV relativeFrom="page">
                  <wp:posOffset>0</wp:posOffset>
                </wp:positionV>
                <wp:extent cx="360045" cy="213868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60045" cy="2138680"/>
                          <a:chExt cx="360045" cy="2138680"/>
                        </a:xfrm>
                      </wpg:grpSpPr>
                      <wps:wsp>
                        <wps:cNvPr id="26" name="Graphic 26"/>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7" name="Textbox 2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3248" id="docshapegroup21" coordorigin="11339,0" coordsize="567,3368">
                <v:rect style="position:absolute;left:11338;top:0;width:567;height:3368" id="docshape22" filled="true" fillcolor="#58595b" stroked="false">
                  <v:fill type="solid"/>
                </v:rect>
                <v:shape style="position:absolute;left:11338;top:0;width:567;height:3368" type="#_x0000_t202" id="docshape2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p>
      <w:pPr>
        <w:pStyle w:val="BodyText"/>
        <w:ind w:right="848"/>
        <w:jc w:val="right"/>
      </w:pPr>
      <w:r>
        <w:rPr>
          <w:color w:val="231F20"/>
          <w:w w:val="105"/>
        </w:rPr>
        <w:t>Chapter</w:t>
      </w:r>
      <w:r>
        <w:rPr>
          <w:color w:val="231F20"/>
          <w:spacing w:val="7"/>
          <w:w w:val="105"/>
        </w:rPr>
        <w:t> </w:t>
      </w:r>
      <w:r>
        <w:rPr>
          <w:color w:val="231F20"/>
          <w:w w:val="105"/>
        </w:rPr>
        <w:t>3.2</w:t>
      </w:r>
      <w:r>
        <w:rPr>
          <w:color w:val="231F20"/>
          <w:spacing w:val="8"/>
          <w:w w:val="105"/>
        </w:rPr>
        <w:t> </w:t>
      </w:r>
      <w:r>
        <w:rPr>
          <w:color w:val="231F20"/>
          <w:w w:val="105"/>
        </w:rPr>
        <w:t>–</w:t>
      </w:r>
      <w:r>
        <w:rPr>
          <w:color w:val="231F20"/>
          <w:spacing w:val="7"/>
          <w:w w:val="105"/>
        </w:rPr>
        <w:t> </w:t>
      </w:r>
      <w:r>
        <w:rPr>
          <w:color w:val="231F20"/>
          <w:w w:val="105"/>
        </w:rPr>
        <w:t>Dangerous</w:t>
      </w:r>
      <w:r>
        <w:rPr>
          <w:color w:val="231F20"/>
          <w:spacing w:val="8"/>
          <w:w w:val="105"/>
        </w:rPr>
        <w:t> </w:t>
      </w:r>
      <w:r>
        <w:rPr>
          <w:color w:val="231F20"/>
          <w:w w:val="105"/>
        </w:rPr>
        <w:t>Goods</w:t>
      </w:r>
      <w:r>
        <w:rPr>
          <w:color w:val="231F20"/>
          <w:spacing w:val="7"/>
          <w:w w:val="105"/>
        </w:rPr>
        <w:t> </w:t>
      </w:r>
      <w:r>
        <w:rPr>
          <w:color w:val="231F20"/>
          <w:spacing w:val="-4"/>
          <w:w w:val="105"/>
        </w:rPr>
        <w:t>List</w:t>
      </w:r>
    </w:p>
    <w:p>
      <w:pPr>
        <w:pStyle w:val="BodyText"/>
        <w:spacing w:before="7"/>
        <w:rPr>
          <w:sz w:val="5"/>
        </w:rPr>
      </w:pPr>
      <w:r>
        <w:rPr>
          <w:sz w:val="5"/>
        </w:rPr>
        <mc:AlternateContent>
          <mc:Choice Requires="wps">
            <w:drawing>
              <wp:anchor distT="0" distB="0" distL="0" distR="0" allowOverlap="1" layoutInCell="1" locked="0" behindDoc="1" simplePos="0" relativeHeight="487591424">
                <wp:simplePos x="0" y="0"/>
                <wp:positionH relativeFrom="page">
                  <wp:posOffset>899999</wp:posOffset>
                </wp:positionH>
                <wp:positionV relativeFrom="paragraph">
                  <wp:posOffset>56635</wp:posOffset>
                </wp:positionV>
                <wp:extent cx="61201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5056;mso-wrap-distance-left:0;mso-wrap-distance-right:0" id="docshape24"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pStyle w:val="ListParagraph"/>
        <w:numPr>
          <w:ilvl w:val="0"/>
          <w:numId w:val="2"/>
        </w:numPr>
        <w:tabs>
          <w:tab w:pos="4057" w:val="left" w:leader="none"/>
        </w:tabs>
        <w:spacing w:line="240" w:lineRule="auto" w:before="0" w:after="0"/>
        <w:ind w:left="4057" w:right="0" w:hanging="480"/>
        <w:jc w:val="left"/>
        <w:rPr>
          <w:sz w:val="17"/>
        </w:rPr>
      </w:pPr>
      <w:r>
        <w:rPr>
          <w:color w:val="231F20"/>
          <w:w w:val="105"/>
          <w:sz w:val="17"/>
        </w:rPr>
        <w:t>“much</w:t>
      </w:r>
      <w:r>
        <w:rPr>
          <w:color w:val="231F20"/>
          <w:spacing w:val="-1"/>
          <w:w w:val="105"/>
          <w:sz w:val="17"/>
        </w:rPr>
        <w:t> </w:t>
      </w:r>
      <w:r>
        <w:rPr>
          <w:color w:val="231F20"/>
          <w:w w:val="105"/>
          <w:sz w:val="17"/>
        </w:rPr>
        <w:t>lighter than</w:t>
      </w:r>
      <w:r>
        <w:rPr>
          <w:color w:val="231F20"/>
          <w:spacing w:val="-1"/>
          <w:w w:val="105"/>
          <w:sz w:val="17"/>
        </w:rPr>
        <w:t> </w:t>
      </w:r>
      <w:r>
        <w:rPr>
          <w:color w:val="231F20"/>
          <w:w w:val="105"/>
          <w:sz w:val="17"/>
        </w:rPr>
        <w:t>air” when</w:t>
      </w:r>
      <w:r>
        <w:rPr>
          <w:color w:val="231F20"/>
          <w:spacing w:val="-1"/>
          <w:w w:val="105"/>
          <w:sz w:val="17"/>
        </w:rPr>
        <w:t> </w:t>
      </w:r>
      <w:r>
        <w:rPr>
          <w:color w:val="231F20"/>
          <w:w w:val="105"/>
          <w:sz w:val="17"/>
        </w:rPr>
        <w:t>the vapour</w:t>
      </w:r>
      <w:r>
        <w:rPr>
          <w:color w:val="231F20"/>
          <w:spacing w:val="-1"/>
          <w:w w:val="105"/>
          <w:sz w:val="17"/>
        </w:rPr>
        <w:t> </w:t>
      </w:r>
      <w:r>
        <w:rPr>
          <w:color w:val="231F20"/>
          <w:w w:val="105"/>
          <w:sz w:val="17"/>
        </w:rPr>
        <w:t>density is</w:t>
      </w:r>
      <w:r>
        <w:rPr>
          <w:color w:val="231F20"/>
          <w:spacing w:val="-1"/>
          <w:w w:val="105"/>
          <w:sz w:val="17"/>
        </w:rPr>
        <w:t> </w:t>
      </w:r>
      <w:r>
        <w:rPr>
          <w:color w:val="231F20"/>
          <w:w w:val="105"/>
          <w:sz w:val="17"/>
        </w:rPr>
        <w:t>less than</w:t>
      </w:r>
      <w:r>
        <w:rPr>
          <w:color w:val="231F20"/>
          <w:spacing w:val="-1"/>
          <w:w w:val="105"/>
          <w:sz w:val="17"/>
        </w:rPr>
        <w:t> </w:t>
      </w:r>
      <w:r>
        <w:rPr>
          <w:color w:val="231F20"/>
          <w:w w:val="105"/>
          <w:sz w:val="17"/>
        </w:rPr>
        <w:t>half that</w:t>
      </w:r>
      <w:r>
        <w:rPr>
          <w:color w:val="231F20"/>
          <w:spacing w:val="-1"/>
          <w:w w:val="105"/>
          <w:sz w:val="17"/>
        </w:rPr>
        <w:t> </w:t>
      </w:r>
      <w:r>
        <w:rPr>
          <w:color w:val="231F20"/>
          <w:w w:val="105"/>
          <w:sz w:val="17"/>
        </w:rPr>
        <w:t>of </w:t>
      </w:r>
      <w:r>
        <w:rPr>
          <w:color w:val="231F20"/>
          <w:spacing w:val="-4"/>
          <w:w w:val="105"/>
          <w:sz w:val="17"/>
        </w:rPr>
        <w:t>air;</w:t>
      </w:r>
    </w:p>
    <w:p>
      <w:pPr>
        <w:pStyle w:val="ListParagraph"/>
        <w:numPr>
          <w:ilvl w:val="0"/>
          <w:numId w:val="2"/>
        </w:numPr>
        <w:tabs>
          <w:tab w:pos="4057" w:val="left" w:leader="none"/>
        </w:tabs>
        <w:spacing w:line="240" w:lineRule="auto" w:before="75" w:after="0"/>
        <w:ind w:left="4057" w:right="0" w:hanging="480"/>
        <w:jc w:val="left"/>
        <w:rPr>
          <w:sz w:val="17"/>
        </w:rPr>
      </w:pPr>
      <w:r>
        <w:rPr>
          <w:color w:val="231F20"/>
          <w:w w:val="105"/>
          <w:sz w:val="17"/>
        </w:rPr>
        <w:t>“heavier than air” when the vapour density is up</w:t>
      </w:r>
      <w:r>
        <w:rPr>
          <w:color w:val="231F20"/>
          <w:spacing w:val="1"/>
          <w:w w:val="105"/>
          <w:sz w:val="17"/>
        </w:rPr>
        <w:t> </w:t>
      </w:r>
      <w:r>
        <w:rPr>
          <w:color w:val="231F20"/>
          <w:w w:val="105"/>
          <w:sz w:val="17"/>
        </w:rPr>
        <w:t>to twice that of air; </w:t>
      </w:r>
      <w:r>
        <w:rPr>
          <w:color w:val="231F20"/>
          <w:spacing w:val="-5"/>
          <w:w w:val="105"/>
          <w:sz w:val="17"/>
        </w:rPr>
        <w:t>and</w:t>
      </w:r>
    </w:p>
    <w:p>
      <w:pPr>
        <w:pStyle w:val="ListParagraph"/>
        <w:numPr>
          <w:ilvl w:val="0"/>
          <w:numId w:val="2"/>
        </w:numPr>
        <w:tabs>
          <w:tab w:pos="4057" w:val="left" w:leader="none"/>
        </w:tabs>
        <w:spacing w:line="240" w:lineRule="auto" w:before="74" w:after="0"/>
        <w:ind w:left="4057" w:right="0" w:hanging="480"/>
        <w:jc w:val="left"/>
        <w:rPr>
          <w:sz w:val="17"/>
        </w:rPr>
      </w:pPr>
      <w:r>
        <w:rPr>
          <w:color w:val="231F20"/>
          <w:w w:val="105"/>
          <w:sz w:val="17"/>
        </w:rPr>
        <w:t>“much</w:t>
      </w:r>
      <w:r>
        <w:rPr>
          <w:color w:val="231F20"/>
          <w:spacing w:val="-1"/>
          <w:w w:val="105"/>
          <w:sz w:val="17"/>
        </w:rPr>
        <w:t> </w:t>
      </w:r>
      <w:r>
        <w:rPr>
          <w:color w:val="231F20"/>
          <w:w w:val="105"/>
          <w:sz w:val="17"/>
        </w:rPr>
        <w:t>heavier than air” when the vapour density is more than twice that of </w:t>
      </w:r>
      <w:r>
        <w:rPr>
          <w:color w:val="231F20"/>
          <w:spacing w:val="-4"/>
          <w:w w:val="105"/>
          <w:sz w:val="17"/>
        </w:rPr>
        <w:t>air.</w:t>
      </w:r>
    </w:p>
    <w:p>
      <w:pPr>
        <w:pStyle w:val="BodyText"/>
        <w:spacing w:line="256" w:lineRule="auto" w:before="135"/>
        <w:ind w:left="3577" w:right="847"/>
        <w:jc w:val="both"/>
      </w:pPr>
      <w:r>
        <w:rPr>
          <w:color w:val="231F20"/>
          <w:w w:val="105"/>
        </w:rPr>
        <w:t>When</w:t>
      </w:r>
      <w:r>
        <w:rPr>
          <w:color w:val="231F20"/>
          <w:w w:val="105"/>
        </w:rPr>
        <w:t> explosive</w:t>
      </w:r>
      <w:r>
        <w:rPr>
          <w:color w:val="231F20"/>
          <w:w w:val="105"/>
        </w:rPr>
        <w:t> limits</w:t>
      </w:r>
      <w:r>
        <w:rPr>
          <w:color w:val="231F20"/>
          <w:w w:val="105"/>
        </w:rPr>
        <w:t> are</w:t>
      </w:r>
      <w:r>
        <w:rPr>
          <w:color w:val="231F20"/>
          <w:w w:val="105"/>
        </w:rPr>
        <w:t> given,</w:t>
      </w:r>
      <w:r>
        <w:rPr>
          <w:color w:val="231F20"/>
          <w:w w:val="105"/>
        </w:rPr>
        <w:t> these</w:t>
      </w:r>
      <w:r>
        <w:rPr>
          <w:color w:val="231F20"/>
          <w:w w:val="105"/>
        </w:rPr>
        <w:t> refer</w:t>
      </w:r>
      <w:r>
        <w:rPr>
          <w:color w:val="231F20"/>
          <w:w w:val="105"/>
        </w:rPr>
        <w:t> to</w:t>
      </w:r>
      <w:r>
        <w:rPr>
          <w:color w:val="231F20"/>
          <w:w w:val="105"/>
        </w:rPr>
        <w:t> the</w:t>
      </w:r>
      <w:r>
        <w:rPr>
          <w:color w:val="231F20"/>
          <w:w w:val="105"/>
        </w:rPr>
        <w:t> volume</w:t>
      </w:r>
      <w:r>
        <w:rPr>
          <w:color w:val="231F20"/>
          <w:w w:val="105"/>
        </w:rPr>
        <w:t> percentage</w:t>
      </w:r>
      <w:r>
        <w:rPr>
          <w:color w:val="231F20"/>
          <w:w w:val="105"/>
        </w:rPr>
        <w:t> of</w:t>
      </w:r>
      <w:r>
        <w:rPr>
          <w:color w:val="231F20"/>
          <w:w w:val="105"/>
        </w:rPr>
        <w:t> the</w:t>
      </w:r>
      <w:r>
        <w:rPr>
          <w:color w:val="231F20"/>
          <w:w w:val="105"/>
        </w:rPr>
        <w:t> vapour</w:t>
      </w:r>
      <w:r>
        <w:rPr>
          <w:color w:val="231F20"/>
          <w:w w:val="105"/>
        </w:rPr>
        <w:t> of</w:t>
      </w:r>
      <w:r>
        <w:rPr>
          <w:color w:val="231F20"/>
          <w:w w:val="105"/>
        </w:rPr>
        <w:t> the substance when mixed with air.</w:t>
      </w:r>
    </w:p>
    <w:p>
      <w:pPr>
        <w:pStyle w:val="BodyText"/>
        <w:spacing w:line="256" w:lineRule="auto" w:before="121"/>
        <w:ind w:left="3577" w:right="847"/>
        <w:jc w:val="both"/>
      </w:pPr>
      <w:r>
        <w:rPr>
          <w:color w:val="231F20"/>
          <w:w w:val="105"/>
        </w:rPr>
        <w:t>The ease and extent to which different liquids mix with water varies greatly and most entries have included an indication of miscibility. In these cases “miscible with water” normally means capable of being mixed with water in all proportions to form a completely homogeneous liquid.</w:t>
      </w:r>
    </w:p>
    <w:p>
      <w:pPr>
        <w:pStyle w:val="BodyText"/>
        <w:tabs>
          <w:tab w:pos="3577" w:val="left" w:leader="none"/>
        </w:tabs>
        <w:spacing w:before="123"/>
        <w:ind w:left="2497"/>
      </w:pPr>
      <w:r>
        <w:rPr>
          <w:color w:val="231F20"/>
          <w:w w:val="105"/>
        </w:rPr>
        <w:t>Column</w:t>
      </w:r>
      <w:r>
        <w:rPr>
          <w:color w:val="231F20"/>
          <w:spacing w:val="-5"/>
          <w:w w:val="105"/>
        </w:rPr>
        <w:t> 18</w:t>
      </w:r>
      <w:r>
        <w:rPr>
          <w:color w:val="231F20"/>
        </w:rPr>
        <w:tab/>
      </w:r>
      <w:r>
        <w:rPr>
          <w:color w:val="231F20"/>
          <w:w w:val="105"/>
        </w:rPr>
        <w:t>UN</w:t>
      </w:r>
      <w:r>
        <w:rPr>
          <w:color w:val="231F20"/>
          <w:spacing w:val="-6"/>
          <w:w w:val="105"/>
        </w:rPr>
        <w:t> </w:t>
      </w:r>
      <w:r>
        <w:rPr>
          <w:color w:val="231F20"/>
          <w:w w:val="105"/>
        </w:rPr>
        <w:t>No.</w:t>
      </w:r>
      <w:r>
        <w:rPr>
          <w:color w:val="231F20"/>
          <w:spacing w:val="-6"/>
          <w:w w:val="105"/>
        </w:rPr>
        <w:t> </w:t>
      </w:r>
      <w:r>
        <w:rPr>
          <w:color w:val="231F20"/>
          <w:w w:val="105"/>
        </w:rPr>
        <w:t>–</w:t>
      </w:r>
      <w:r>
        <w:rPr>
          <w:color w:val="231F20"/>
          <w:spacing w:val="-6"/>
          <w:w w:val="105"/>
        </w:rPr>
        <w:t> </w:t>
      </w:r>
      <w:r>
        <w:rPr>
          <w:color w:val="231F20"/>
          <w:w w:val="105"/>
        </w:rPr>
        <w:t>see</w:t>
      </w:r>
      <w:r>
        <w:rPr>
          <w:color w:val="231F20"/>
          <w:spacing w:val="-6"/>
          <w:w w:val="105"/>
        </w:rPr>
        <w:t> </w:t>
      </w:r>
      <w:r>
        <w:rPr>
          <w:color w:val="231F20"/>
          <w:w w:val="105"/>
        </w:rPr>
        <w:t>column</w:t>
      </w:r>
      <w:r>
        <w:rPr>
          <w:color w:val="231F20"/>
          <w:spacing w:val="-5"/>
          <w:w w:val="105"/>
        </w:rPr>
        <w:t> 1.</w:t>
      </w:r>
    </w:p>
    <w:p>
      <w:pPr>
        <w:pStyle w:val="BodyText"/>
      </w:pPr>
    </w:p>
    <w:p>
      <w:pPr>
        <w:pStyle w:val="BodyText"/>
        <w:spacing w:before="126"/>
      </w:pPr>
    </w:p>
    <w:p>
      <w:pPr>
        <w:pStyle w:val="Heading1"/>
        <w:numPr>
          <w:ilvl w:val="2"/>
          <w:numId w:val="1"/>
        </w:numPr>
        <w:tabs>
          <w:tab w:pos="2497" w:val="left" w:leader="none"/>
        </w:tabs>
        <w:spacing w:line="240" w:lineRule="auto" w:before="0" w:after="0"/>
        <w:ind w:left="2497" w:right="0" w:hanging="1080"/>
        <w:jc w:val="left"/>
      </w:pPr>
      <w:r>
        <w:rPr>
          <w:color w:val="231F20"/>
          <w:w w:val="105"/>
        </w:rPr>
        <w:t>Abbreviations</w:t>
      </w:r>
      <w:r>
        <w:rPr>
          <w:color w:val="231F20"/>
          <w:spacing w:val="-8"/>
          <w:w w:val="105"/>
        </w:rPr>
        <w:t> </w:t>
      </w:r>
      <w:r>
        <w:rPr>
          <w:color w:val="231F20"/>
          <w:w w:val="105"/>
        </w:rPr>
        <w:t>and</w:t>
      </w:r>
      <w:r>
        <w:rPr>
          <w:color w:val="231F20"/>
          <w:spacing w:val="-7"/>
          <w:w w:val="105"/>
        </w:rPr>
        <w:t> </w:t>
      </w:r>
      <w:r>
        <w:rPr>
          <w:color w:val="231F20"/>
          <w:spacing w:val="-2"/>
          <w:w w:val="105"/>
        </w:rPr>
        <w:t>symbols</w:t>
      </w:r>
    </w:p>
    <w:p>
      <w:pPr>
        <w:pStyle w:val="BodyText"/>
        <w:spacing w:line="256" w:lineRule="auto" w:before="124"/>
        <w:ind w:left="2497" w:right="358"/>
      </w:pPr>
      <w:r>
        <w:rPr>
          <w:color w:val="231F20"/>
          <w:w w:val="105"/>
        </w:rPr>
        <w:t>The</w:t>
      </w:r>
      <w:r>
        <w:rPr>
          <w:color w:val="231F20"/>
          <w:spacing w:val="23"/>
          <w:w w:val="105"/>
        </w:rPr>
        <w:t> </w:t>
      </w:r>
      <w:r>
        <w:rPr>
          <w:color w:val="231F20"/>
          <w:w w:val="105"/>
        </w:rPr>
        <w:t>following</w:t>
      </w:r>
      <w:r>
        <w:rPr>
          <w:color w:val="231F20"/>
          <w:spacing w:val="23"/>
          <w:w w:val="105"/>
        </w:rPr>
        <w:t> </w:t>
      </w:r>
      <w:r>
        <w:rPr>
          <w:color w:val="231F20"/>
          <w:w w:val="105"/>
        </w:rPr>
        <w:t>abbreviations</w:t>
      </w:r>
      <w:r>
        <w:rPr>
          <w:color w:val="231F20"/>
          <w:spacing w:val="23"/>
          <w:w w:val="105"/>
        </w:rPr>
        <w:t> </w:t>
      </w:r>
      <w:r>
        <w:rPr>
          <w:color w:val="231F20"/>
          <w:w w:val="105"/>
        </w:rPr>
        <w:t>and</w:t>
      </w:r>
      <w:r>
        <w:rPr>
          <w:color w:val="231F20"/>
          <w:spacing w:val="23"/>
          <w:w w:val="105"/>
        </w:rPr>
        <w:t> </w:t>
      </w:r>
      <w:r>
        <w:rPr>
          <w:color w:val="231F20"/>
          <w:w w:val="105"/>
        </w:rPr>
        <w:t>symbols</w:t>
      </w:r>
      <w:r>
        <w:rPr>
          <w:color w:val="231F20"/>
          <w:spacing w:val="23"/>
          <w:w w:val="105"/>
        </w:rPr>
        <w:t> </w:t>
      </w:r>
      <w:r>
        <w:rPr>
          <w:color w:val="231F20"/>
          <w:w w:val="105"/>
        </w:rPr>
        <w:t>are</w:t>
      </w:r>
      <w:r>
        <w:rPr>
          <w:color w:val="231F20"/>
          <w:spacing w:val="23"/>
          <w:w w:val="105"/>
        </w:rPr>
        <w:t> </w:t>
      </w:r>
      <w:r>
        <w:rPr>
          <w:color w:val="231F20"/>
          <w:w w:val="105"/>
        </w:rPr>
        <w:t>used</w:t>
      </w:r>
      <w:r>
        <w:rPr>
          <w:color w:val="231F20"/>
          <w:spacing w:val="23"/>
          <w:w w:val="105"/>
        </w:rPr>
        <w:t> </w:t>
      </w:r>
      <w:r>
        <w:rPr>
          <w:color w:val="231F20"/>
          <w:w w:val="105"/>
        </w:rPr>
        <w:t>in</w:t>
      </w:r>
      <w:r>
        <w:rPr>
          <w:color w:val="231F20"/>
          <w:spacing w:val="23"/>
          <w:w w:val="105"/>
        </w:rPr>
        <w:t> </w:t>
      </w:r>
      <w:r>
        <w:rPr>
          <w:color w:val="231F20"/>
          <w:w w:val="105"/>
        </w:rPr>
        <w:t>the</w:t>
      </w:r>
      <w:r>
        <w:rPr>
          <w:color w:val="231F20"/>
          <w:spacing w:val="23"/>
          <w:w w:val="105"/>
        </w:rPr>
        <w:t> </w:t>
      </w:r>
      <w:r>
        <w:rPr>
          <w:color w:val="231F20"/>
          <w:w w:val="105"/>
        </w:rPr>
        <w:t>Dangerous</w:t>
      </w:r>
      <w:r>
        <w:rPr>
          <w:color w:val="231F20"/>
          <w:spacing w:val="23"/>
          <w:w w:val="105"/>
        </w:rPr>
        <w:t> </w:t>
      </w:r>
      <w:r>
        <w:rPr>
          <w:color w:val="231F20"/>
          <w:w w:val="105"/>
        </w:rPr>
        <w:t>Goods</w:t>
      </w:r>
      <w:r>
        <w:rPr>
          <w:color w:val="231F20"/>
          <w:spacing w:val="23"/>
          <w:w w:val="105"/>
        </w:rPr>
        <w:t> </w:t>
      </w:r>
      <w:r>
        <w:rPr>
          <w:color w:val="231F20"/>
          <w:w w:val="105"/>
        </w:rPr>
        <w:t>List</w:t>
      </w:r>
      <w:r>
        <w:rPr>
          <w:color w:val="231F20"/>
          <w:spacing w:val="23"/>
          <w:w w:val="105"/>
        </w:rPr>
        <w:t> </w:t>
      </w:r>
      <w:r>
        <w:rPr>
          <w:color w:val="231F20"/>
          <w:w w:val="105"/>
        </w:rPr>
        <w:t>and</w:t>
      </w:r>
      <w:r>
        <w:rPr>
          <w:color w:val="231F20"/>
          <w:spacing w:val="23"/>
          <w:w w:val="105"/>
        </w:rPr>
        <w:t> </w:t>
      </w:r>
      <w:r>
        <w:rPr>
          <w:color w:val="231F20"/>
          <w:w w:val="105"/>
        </w:rPr>
        <w:t>have</w:t>
      </w:r>
      <w:r>
        <w:rPr>
          <w:color w:val="231F20"/>
          <w:spacing w:val="23"/>
          <w:w w:val="105"/>
        </w:rPr>
        <w:t> </w:t>
      </w:r>
      <w:r>
        <w:rPr>
          <w:color w:val="231F20"/>
          <w:w w:val="105"/>
        </w:rPr>
        <w:t>the</w:t>
      </w:r>
      <w:r>
        <w:rPr>
          <w:color w:val="231F20"/>
          <w:spacing w:val="23"/>
          <w:w w:val="105"/>
        </w:rPr>
        <w:t> </w:t>
      </w:r>
      <w:r>
        <w:rPr>
          <w:color w:val="231F20"/>
          <w:w w:val="105"/>
        </w:rPr>
        <w:t>meanings </w:t>
      </w:r>
      <w:r>
        <w:rPr>
          <w:color w:val="231F20"/>
          <w:spacing w:val="-2"/>
          <w:w w:val="105"/>
        </w:rPr>
        <w:t>shown:</w:t>
      </w:r>
    </w:p>
    <w:p>
      <w:pPr>
        <w:pStyle w:val="BodyText"/>
        <w:spacing w:before="7"/>
        <w:rPr>
          <w:sz w:val="16"/>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701"/>
        <w:gridCol w:w="4013"/>
      </w:tblGrid>
      <w:tr>
        <w:trPr>
          <w:trHeight w:val="314" w:hRule="atLeast"/>
        </w:trPr>
        <w:tc>
          <w:tcPr>
            <w:tcW w:w="2835" w:type="dxa"/>
          </w:tcPr>
          <w:p>
            <w:pPr>
              <w:pStyle w:val="TableParagraph"/>
              <w:rPr>
                <w:sz w:val="17"/>
              </w:rPr>
            </w:pPr>
            <w:r>
              <w:rPr>
                <w:color w:val="231F20"/>
                <w:spacing w:val="-2"/>
                <w:w w:val="110"/>
                <w:sz w:val="17"/>
              </w:rPr>
              <w:t>Abbreviation/symbol</w:t>
            </w:r>
          </w:p>
        </w:tc>
        <w:tc>
          <w:tcPr>
            <w:tcW w:w="1701" w:type="dxa"/>
          </w:tcPr>
          <w:p>
            <w:pPr>
              <w:pStyle w:val="TableParagraph"/>
              <w:rPr>
                <w:sz w:val="17"/>
              </w:rPr>
            </w:pPr>
            <w:r>
              <w:rPr>
                <w:color w:val="231F20"/>
                <w:spacing w:val="-2"/>
                <w:w w:val="105"/>
                <w:sz w:val="17"/>
              </w:rPr>
              <w:t>Column</w:t>
            </w:r>
          </w:p>
        </w:tc>
        <w:tc>
          <w:tcPr>
            <w:tcW w:w="4013" w:type="dxa"/>
          </w:tcPr>
          <w:p>
            <w:pPr>
              <w:pStyle w:val="TableParagraph"/>
              <w:ind w:left="9"/>
              <w:rPr>
                <w:sz w:val="17"/>
              </w:rPr>
            </w:pPr>
            <w:r>
              <w:rPr>
                <w:color w:val="231F20"/>
                <w:spacing w:val="-2"/>
                <w:w w:val="105"/>
                <w:sz w:val="17"/>
              </w:rPr>
              <w:t>Meaning</w:t>
            </w:r>
          </w:p>
        </w:tc>
      </w:tr>
      <w:tr>
        <w:trPr>
          <w:trHeight w:val="319" w:hRule="atLeast"/>
        </w:trPr>
        <w:tc>
          <w:tcPr>
            <w:tcW w:w="2835" w:type="dxa"/>
            <w:tcBorders>
              <w:bottom w:val="nil"/>
            </w:tcBorders>
            <w:shd w:val="clear" w:color="auto" w:fill="E6E7E8"/>
          </w:tcPr>
          <w:p>
            <w:pPr>
              <w:pStyle w:val="TableParagraph"/>
              <w:ind w:right="2"/>
              <w:rPr>
                <w:sz w:val="17"/>
              </w:rPr>
            </w:pPr>
            <w:r>
              <w:rPr>
                <w:color w:val="231F20"/>
                <w:spacing w:val="-2"/>
                <w:sz w:val="17"/>
              </w:rPr>
              <w:t>N.O.S.</w:t>
            </w:r>
          </w:p>
        </w:tc>
        <w:tc>
          <w:tcPr>
            <w:tcW w:w="1701" w:type="dxa"/>
            <w:tcBorders>
              <w:bottom w:val="nil"/>
            </w:tcBorders>
            <w:shd w:val="clear" w:color="auto" w:fill="E6E7E8"/>
          </w:tcPr>
          <w:p>
            <w:pPr>
              <w:pStyle w:val="TableParagraph"/>
              <w:ind w:right="3"/>
              <w:rPr>
                <w:sz w:val="17"/>
              </w:rPr>
            </w:pPr>
            <w:r>
              <w:rPr>
                <w:color w:val="231F20"/>
                <w:spacing w:val="-10"/>
                <w:sz w:val="17"/>
              </w:rPr>
              <w:t>2</w:t>
            </w:r>
          </w:p>
        </w:tc>
        <w:tc>
          <w:tcPr>
            <w:tcW w:w="4013" w:type="dxa"/>
            <w:tcBorders>
              <w:bottom w:val="nil"/>
            </w:tcBorders>
            <w:shd w:val="clear" w:color="auto" w:fill="E6E7E8"/>
          </w:tcPr>
          <w:p>
            <w:pPr>
              <w:pStyle w:val="TableParagraph"/>
              <w:ind w:left="79"/>
              <w:jc w:val="left"/>
              <w:rPr>
                <w:sz w:val="17"/>
              </w:rPr>
            </w:pPr>
            <w:r>
              <w:rPr>
                <w:color w:val="231F20"/>
                <w:w w:val="105"/>
                <w:sz w:val="17"/>
              </w:rPr>
              <w:t>Not</w:t>
            </w:r>
            <w:r>
              <w:rPr>
                <w:color w:val="231F20"/>
                <w:spacing w:val="2"/>
                <w:w w:val="105"/>
                <w:sz w:val="17"/>
              </w:rPr>
              <w:t> </w:t>
            </w:r>
            <w:r>
              <w:rPr>
                <w:color w:val="231F20"/>
                <w:w w:val="105"/>
                <w:sz w:val="17"/>
              </w:rPr>
              <w:t>otherwise</w:t>
            </w:r>
            <w:r>
              <w:rPr>
                <w:color w:val="231F20"/>
                <w:spacing w:val="2"/>
                <w:w w:val="105"/>
                <w:sz w:val="17"/>
              </w:rPr>
              <w:t> </w:t>
            </w:r>
            <w:r>
              <w:rPr>
                <w:color w:val="231F20"/>
                <w:spacing w:val="-2"/>
                <w:w w:val="105"/>
                <w:sz w:val="17"/>
              </w:rPr>
              <w:t>specified</w:t>
            </w:r>
          </w:p>
        </w:tc>
      </w:tr>
      <w:tr>
        <w:trPr>
          <w:trHeight w:val="319" w:hRule="atLeast"/>
        </w:trPr>
        <w:tc>
          <w:tcPr>
            <w:tcW w:w="2835" w:type="dxa"/>
            <w:tcBorders>
              <w:top w:val="nil"/>
            </w:tcBorders>
          </w:tcPr>
          <w:p>
            <w:pPr>
              <w:pStyle w:val="TableParagraph"/>
              <w:spacing w:before="47"/>
              <w:ind w:right="2"/>
              <w:rPr>
                <w:rFonts w:ascii="Times New Roman"/>
                <w:b/>
                <w:sz w:val="13"/>
              </w:rPr>
            </w:pPr>
            <w:r>
              <w:rPr>
                <w:rFonts w:ascii="Times New Roman"/>
                <w:b/>
                <w:color w:val="231F20"/>
                <w:spacing w:val="-10"/>
                <w:sz w:val="13"/>
              </w:rPr>
              <w:t>P</w:t>
            </w:r>
          </w:p>
        </w:tc>
        <w:tc>
          <w:tcPr>
            <w:tcW w:w="1701" w:type="dxa"/>
            <w:tcBorders>
              <w:top w:val="nil"/>
            </w:tcBorders>
          </w:tcPr>
          <w:p>
            <w:pPr>
              <w:pStyle w:val="TableParagraph"/>
              <w:spacing w:before="45"/>
              <w:ind w:right="2"/>
              <w:rPr>
                <w:sz w:val="17"/>
              </w:rPr>
            </w:pPr>
            <w:r>
              <w:rPr>
                <w:color w:val="231F20"/>
                <w:spacing w:val="-10"/>
                <w:sz w:val="17"/>
              </w:rPr>
              <w:t>4</w:t>
            </w:r>
          </w:p>
        </w:tc>
        <w:tc>
          <w:tcPr>
            <w:tcW w:w="4013" w:type="dxa"/>
            <w:tcBorders>
              <w:top w:val="nil"/>
            </w:tcBorders>
          </w:tcPr>
          <w:p>
            <w:pPr>
              <w:pStyle w:val="TableParagraph"/>
              <w:spacing w:before="45"/>
              <w:ind w:left="79"/>
              <w:jc w:val="left"/>
              <w:rPr>
                <w:sz w:val="17"/>
              </w:rPr>
            </w:pPr>
            <w:r>
              <w:rPr>
                <w:color w:val="231F20"/>
                <w:sz w:val="17"/>
              </w:rPr>
              <w:t>Marine</w:t>
            </w:r>
            <w:r>
              <w:rPr>
                <w:color w:val="231F20"/>
                <w:spacing w:val="21"/>
                <w:sz w:val="17"/>
              </w:rPr>
              <w:t> </w:t>
            </w:r>
            <w:r>
              <w:rPr>
                <w:color w:val="231F20"/>
                <w:spacing w:val="-2"/>
                <w:sz w:val="17"/>
              </w:rPr>
              <w:t>pollutant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591936">
                <wp:simplePos x="0" y="0"/>
                <wp:positionH relativeFrom="page">
                  <wp:posOffset>899999</wp:posOffset>
                </wp:positionH>
                <wp:positionV relativeFrom="paragraph">
                  <wp:posOffset>177787</wp:posOffset>
                </wp:positionV>
                <wp:extent cx="6120130" cy="635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3.999023pt;width:481.9pt;height:.5pt;mso-position-horizontal-relative:page;mso-position-vertical-relative:paragraph;z-index:-15724544;mso-wrap-distance-left:0;mso-wrap-distance-right:0" id="docshapegroup25" coordorigin="1417,280" coordsize="9638,10">
                <v:line style="position:absolute" from="5953,285" to="11055,285" stroked="true" strokeweight=".5pt" strokecolor="#231f20">
                  <v:stroke dashstyle="solid"/>
                </v:line>
                <v:line style="position:absolute" from="1417,285" to="5953,285" stroked="true" strokeweight=".5pt" strokecolor="#231f20">
                  <v:stroke dashstyle="solid"/>
                </v:line>
                <w10:wrap type="topAndBottom"/>
              </v:group>
            </w:pict>
          </mc:Fallback>
        </mc:AlternateContent>
      </w:r>
    </w:p>
    <w:sectPr>
      <w:headerReference w:type="default" r:id="rId9"/>
      <w:footerReference w:type="default" r:id="rId10"/>
      <w:pgSz w:w="11910" w:h="16840"/>
      <w:pgMar w:header="303" w:footer="608" w:top="720" w:bottom="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ndara">
    <w:altName w:val="Candar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0624">
              <wp:simplePos x="0" y="0"/>
              <wp:positionH relativeFrom="page">
                <wp:posOffset>887299</wp:posOffset>
              </wp:positionH>
              <wp:positionV relativeFrom="page">
                <wp:posOffset>10166082</wp:posOffset>
              </wp:positionV>
              <wp:extent cx="277876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65856" type="#_x0000_t202" id="docshape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1136">
              <wp:simplePos x="0" y="0"/>
              <wp:positionH relativeFrom="page">
                <wp:posOffset>6866088</wp:posOffset>
              </wp:positionH>
              <wp:positionV relativeFrom="page">
                <wp:posOffset>10168114</wp:posOffset>
              </wp:positionV>
              <wp:extent cx="167005" cy="1752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005" cy="175260"/>
                      </a:xfrm>
                      <a:prstGeom prst="rect">
                        <a:avLst/>
                      </a:prstGeom>
                    </wps:spPr>
                    <wps:txbx>
                      <w:txbxContent>
                        <w:p>
                          <w:pPr>
                            <w:spacing w:before="24"/>
                            <w:ind w:left="20" w:right="0" w:firstLine="0"/>
                            <w:jc w:val="left"/>
                            <w:rPr>
                              <w:sz w:val="20"/>
                            </w:rPr>
                          </w:pPr>
                          <w:r>
                            <w:rPr>
                              <w:color w:val="231F20"/>
                              <w:spacing w:val="-5"/>
                              <w:sz w:val="20"/>
                            </w:rPr>
                            <w:t>21</w:t>
                          </w:r>
                        </w:p>
                      </w:txbxContent>
                    </wps:txbx>
                    <wps:bodyPr wrap="square" lIns="0" tIns="0" rIns="0" bIns="0" rtlCol="0">
                      <a:noAutofit/>
                    </wps:bodyPr>
                  </wps:wsp>
                </a:graphicData>
              </a:graphic>
            </wp:anchor>
          </w:drawing>
        </mc:Choice>
        <mc:Fallback>
          <w:pict>
            <v:shape style="position:absolute;margin-left:540.636902pt;margin-top:800.638916pt;width:13.15pt;height:13.8pt;mso-position-horizontal-relative:page;mso-position-vertical-relative:page;z-index:-15865344" type="#_x0000_t202" id="docshape3" filled="false" stroked="false">
              <v:textbox inset="0,0,0,0">
                <w:txbxContent>
                  <w:p>
                    <w:pPr>
                      <w:spacing w:before="24"/>
                      <w:ind w:left="20" w:right="0" w:firstLine="0"/>
                      <w:jc w:val="left"/>
                      <w:rPr>
                        <w:sz w:val="20"/>
                      </w:rPr>
                    </w:pPr>
                    <w:r>
                      <w:rPr>
                        <w:color w:val="231F20"/>
                        <w:spacing w:val="-5"/>
                        <w:sz w:val="20"/>
                      </w:rPr>
                      <w:t>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2160">
              <wp:simplePos x="0" y="0"/>
              <wp:positionH relativeFrom="page">
                <wp:posOffset>527300</wp:posOffset>
              </wp:positionH>
              <wp:positionV relativeFrom="page">
                <wp:posOffset>10168114</wp:posOffset>
              </wp:positionV>
              <wp:extent cx="168275" cy="1752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22</w:t>
                          </w:r>
                        </w:p>
                      </w:txbxContent>
                    </wps:txbx>
                    <wps:bodyPr wrap="square" lIns="0" tIns="0" rIns="0" bIns="0" rtlCol="0">
                      <a:noAutofit/>
                    </wps:bodyPr>
                  </wps:wsp>
                </a:graphicData>
              </a:graphic>
            </wp:anchor>
          </w:drawing>
        </mc:Choice>
        <mc:Fallback>
          <w:pict>
            <v:shape style="position:absolute;margin-left:41.519699pt;margin-top:800.638916pt;width:13.25pt;height:13.8pt;mso-position-horizontal-relative:page;mso-position-vertical-relative:page;z-index:-15864320" type="#_x0000_t202" id="docshape10" filled="false" stroked="false">
              <v:textbox inset="0,0,0,0">
                <w:txbxContent>
                  <w:p>
                    <w:pPr>
                      <w:spacing w:before="24"/>
                      <w:ind w:left="20" w:right="0" w:firstLine="0"/>
                      <w:jc w:val="left"/>
                      <w:rPr>
                        <w:sz w:val="20"/>
                      </w:rPr>
                    </w:pPr>
                    <w:r>
                      <w:rPr>
                        <w:color w:val="231F20"/>
                        <w:spacing w:val="-5"/>
                        <w:sz w:val="20"/>
                      </w:rPr>
                      <w:t>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2672">
              <wp:simplePos x="0" y="0"/>
              <wp:positionH relativeFrom="page">
                <wp:posOffset>3894905</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63808" type="#_x0000_t202" id="docshape1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3696">
              <wp:simplePos x="0" y="0"/>
              <wp:positionH relativeFrom="page">
                <wp:posOffset>887299</wp:posOffset>
              </wp:positionH>
              <wp:positionV relativeFrom="page">
                <wp:posOffset>10166082</wp:posOffset>
              </wp:positionV>
              <wp:extent cx="2778760"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62784"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4208">
              <wp:simplePos x="0" y="0"/>
              <wp:positionH relativeFrom="page">
                <wp:posOffset>6865440</wp:posOffset>
              </wp:positionH>
              <wp:positionV relativeFrom="page">
                <wp:posOffset>10168114</wp:posOffset>
              </wp:positionV>
              <wp:extent cx="168275" cy="1752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23</w:t>
                          </w:r>
                        </w:p>
                      </w:txbxContent>
                    </wps:txbx>
                    <wps:bodyPr wrap="square" lIns="0" tIns="0" rIns="0" bIns="0" rtlCol="0">
                      <a:noAutofit/>
                    </wps:bodyPr>
                  </wps:wsp>
                </a:graphicData>
              </a:graphic>
            </wp:anchor>
          </w:drawing>
        </mc:Choice>
        <mc:Fallback>
          <w:pict>
            <v:shape style="position:absolute;margin-left:540.585876pt;margin-top:800.638916pt;width:13.25pt;height:13.8pt;mso-position-horizontal-relative:page;mso-position-vertical-relative:page;z-index:-15862272" type="#_x0000_t202" id="docshape20" filled="false" stroked="false">
              <v:textbox inset="0,0,0,0">
                <w:txbxContent>
                  <w:p>
                    <w:pPr>
                      <w:spacing w:before="24"/>
                      <w:ind w:left="20" w:right="0" w:firstLine="0"/>
                      <w:jc w:val="left"/>
                      <w:rPr>
                        <w:sz w:val="20"/>
                      </w:rPr>
                    </w:pPr>
                    <w:r>
                      <w:rPr>
                        <w:color w:val="231F20"/>
                        <w:spacing w:val="-5"/>
                        <w:sz w:val="20"/>
                      </w:rPr>
                      <w:t>23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011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587</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6636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587</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648">
              <wp:simplePos x="0" y="0"/>
              <wp:positionH relativeFrom="page">
                <wp:posOffset>6041519</wp:posOffset>
              </wp:positionH>
              <wp:positionV relativeFrom="page">
                <wp:posOffset>179815</wp:posOffset>
              </wp:positionV>
              <wp:extent cx="1029335" cy="290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4832" type="#_x0000_t202" id="docshape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588</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3184">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3296" type="#_x0000_t202" id="docshape1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589</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490" w:hanging="481"/>
        <w:jc w:val="righ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340" w:hanging="481"/>
      </w:pPr>
      <w:rPr>
        <w:rFonts w:hint="default"/>
        <w:lang w:val="en-US" w:eastAsia="en-US" w:bidi="ar-SA"/>
      </w:rPr>
    </w:lvl>
    <w:lvl w:ilvl="2">
      <w:start w:val="0"/>
      <w:numFmt w:val="bullet"/>
      <w:lvlText w:val="•"/>
      <w:lvlJc w:val="left"/>
      <w:pPr>
        <w:ind w:left="5181" w:hanging="481"/>
      </w:pPr>
      <w:rPr>
        <w:rFonts w:hint="default"/>
        <w:lang w:val="en-US" w:eastAsia="en-US" w:bidi="ar-SA"/>
      </w:rPr>
    </w:lvl>
    <w:lvl w:ilvl="3">
      <w:start w:val="0"/>
      <w:numFmt w:val="bullet"/>
      <w:lvlText w:val="•"/>
      <w:lvlJc w:val="left"/>
      <w:pPr>
        <w:ind w:left="6021" w:hanging="481"/>
      </w:pPr>
      <w:rPr>
        <w:rFonts w:hint="default"/>
        <w:lang w:val="en-US" w:eastAsia="en-US" w:bidi="ar-SA"/>
      </w:rPr>
    </w:lvl>
    <w:lvl w:ilvl="4">
      <w:start w:val="0"/>
      <w:numFmt w:val="bullet"/>
      <w:lvlText w:val="•"/>
      <w:lvlJc w:val="left"/>
      <w:pPr>
        <w:ind w:left="6862" w:hanging="481"/>
      </w:pPr>
      <w:rPr>
        <w:rFonts w:hint="default"/>
        <w:lang w:val="en-US" w:eastAsia="en-US" w:bidi="ar-SA"/>
      </w:rPr>
    </w:lvl>
    <w:lvl w:ilvl="5">
      <w:start w:val="0"/>
      <w:numFmt w:val="bullet"/>
      <w:lvlText w:val="•"/>
      <w:lvlJc w:val="left"/>
      <w:pPr>
        <w:ind w:left="7702" w:hanging="481"/>
      </w:pPr>
      <w:rPr>
        <w:rFonts w:hint="default"/>
        <w:lang w:val="en-US" w:eastAsia="en-US" w:bidi="ar-SA"/>
      </w:rPr>
    </w:lvl>
    <w:lvl w:ilvl="6">
      <w:start w:val="0"/>
      <w:numFmt w:val="bullet"/>
      <w:lvlText w:val="•"/>
      <w:lvlJc w:val="left"/>
      <w:pPr>
        <w:ind w:left="8543" w:hanging="481"/>
      </w:pPr>
      <w:rPr>
        <w:rFonts w:hint="default"/>
        <w:lang w:val="en-US" w:eastAsia="en-US" w:bidi="ar-SA"/>
      </w:rPr>
    </w:lvl>
    <w:lvl w:ilvl="7">
      <w:start w:val="0"/>
      <w:numFmt w:val="bullet"/>
      <w:lvlText w:val="•"/>
      <w:lvlJc w:val="left"/>
      <w:pPr>
        <w:ind w:left="9383" w:hanging="481"/>
      </w:pPr>
      <w:rPr>
        <w:rFonts w:hint="default"/>
        <w:lang w:val="en-US" w:eastAsia="en-US" w:bidi="ar-SA"/>
      </w:rPr>
    </w:lvl>
    <w:lvl w:ilvl="8">
      <w:start w:val="0"/>
      <w:numFmt w:val="bullet"/>
      <w:lvlText w:val="•"/>
      <w:lvlJc w:val="left"/>
      <w:pPr>
        <w:ind w:left="10224" w:hanging="481"/>
      </w:pPr>
      <w:rPr>
        <w:rFonts w:hint="default"/>
        <w:lang w:val="en-US" w:eastAsia="en-US" w:bidi="ar-SA"/>
      </w:rPr>
    </w:lvl>
  </w:abstractNum>
  <w:abstractNum w:abstractNumId="0">
    <w:multiLevelType w:val="hybridMultilevel"/>
    <w:lvl w:ilvl="0">
      <w:start w:val="3"/>
      <w:numFmt w:val="decimal"/>
      <w:lvlText w:val="%1"/>
      <w:lvlJc w:val="left"/>
      <w:pPr>
        <w:ind w:left="2497" w:hanging="1080"/>
        <w:jc w:val="left"/>
      </w:pPr>
      <w:rPr>
        <w:rFonts w:hint="default"/>
        <w:lang w:val="en-US" w:eastAsia="en-US" w:bidi="ar-SA"/>
      </w:rPr>
    </w:lvl>
    <w:lvl w:ilvl="1">
      <w:start w:val="2"/>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0"/>
      <w:numFmt w:val="bullet"/>
      <w:lvlText w:val="•"/>
      <w:lvlJc w:val="left"/>
      <w:pPr>
        <w:ind w:left="5321" w:hanging="1080"/>
      </w:pPr>
      <w:rPr>
        <w:rFonts w:hint="default"/>
        <w:lang w:val="en-US" w:eastAsia="en-US" w:bidi="ar-SA"/>
      </w:rPr>
    </w:lvl>
    <w:lvl w:ilvl="4">
      <w:start w:val="0"/>
      <w:numFmt w:val="bullet"/>
      <w:lvlText w:val="•"/>
      <w:lvlJc w:val="left"/>
      <w:pPr>
        <w:ind w:left="6262" w:hanging="1080"/>
      </w:pPr>
      <w:rPr>
        <w:rFonts w:hint="default"/>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Title" w:type="paragraph">
    <w:name w:val="Title"/>
    <w:basedOn w:val="Normal"/>
    <w:uiPriority w:val="1"/>
    <w:qFormat/>
    <w:pPr>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4057" w:hanging="480"/>
    </w:pPr>
    <w:rPr>
      <w:rFonts w:ascii="Arial MT" w:hAnsi="Arial MT" w:eastAsia="Arial MT" w:cs="Arial MT"/>
      <w:lang w:val="en-US" w:eastAsia="en-US" w:bidi="ar-SA"/>
    </w:rPr>
  </w:style>
  <w:style w:styleId="TableParagraph" w:type="paragraph">
    <w:name w:val="Table Paragraph"/>
    <w:basedOn w:val="Normal"/>
    <w:uiPriority w:val="1"/>
    <w:qFormat/>
    <w:pPr>
      <w:spacing w:before="40"/>
      <w:ind w:left="11"/>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2026-06-20T03:03:05Z</dcterms:created>
  <dcterms:modified xsi:type="dcterms:W3CDTF">2026-06-20T03:03:05Z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