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44"/>
        <w:rPr>
          <w:rFonts w:ascii="Times New Roman"/>
          <w:sz w:val="40"/>
        </w:rPr>
      </w:pPr>
    </w:p>
    <w:p>
      <w:pPr>
        <w:spacing w:before="0"/>
        <w:ind w:left="1417" w:right="0" w:firstLine="0"/>
        <w:jc w:val="left"/>
        <w:rPr>
          <w:sz w:val="40"/>
        </w:rPr>
      </w:pPr>
      <w:r>
        <w:rPr>
          <w:color w:val="231F20"/>
          <w:sz w:val="40"/>
        </w:rPr>
        <w:t>Chapter</w:t>
      </w:r>
      <w:r>
        <w:rPr>
          <w:color w:val="231F20"/>
          <w:spacing w:val="30"/>
          <w:sz w:val="40"/>
        </w:rPr>
        <w:t> </w:t>
      </w:r>
      <w:r>
        <w:rPr>
          <w:color w:val="231F20"/>
          <w:spacing w:val="-5"/>
          <w:sz w:val="40"/>
        </w:rPr>
        <w:t>5.1</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60661</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76506pt;width:481.9pt;height:.1pt;mso-position-horizontal-relative:page;mso-position-vertical-relative:paragraph;z-index:-15728640;mso-wrap-distance-left:0;mso-wrap-distance-right:0" id="docshape10" coordorigin="1417,96" coordsize="9638,0" path="m1417,96l11055,96e" filled="false" stroked="true" strokeweight="2pt" strokecolor="#231f20">
                <v:path arrowok="t"/>
                <v:stroke dashstyle="solid"/>
                <w10:wrap type="topAndBottom"/>
              </v:shape>
            </w:pict>
          </mc:Fallback>
        </mc:AlternateContent>
      </w:r>
    </w:p>
    <w:p>
      <w:pPr>
        <w:spacing w:before="62"/>
        <w:ind w:left="1417" w:right="0" w:firstLine="0"/>
        <w:jc w:val="left"/>
        <w:rPr>
          <w:rFonts w:ascii="Arial"/>
          <w:i/>
          <w:sz w:val="36"/>
        </w:rPr>
      </w:pPr>
      <w:r>
        <w:rPr>
          <w:rFonts w:ascii="Arial"/>
          <w:i/>
          <w:color w:val="231F20"/>
          <w:spacing w:val="-2"/>
          <w:sz w:val="36"/>
        </w:rPr>
        <w:t>General</w:t>
      </w:r>
      <w:r>
        <w:rPr>
          <w:rFonts w:ascii="Arial"/>
          <w:i/>
          <w:color w:val="231F20"/>
          <w:spacing w:val="-20"/>
          <w:sz w:val="36"/>
        </w:rPr>
        <w:t> </w:t>
      </w:r>
      <w:r>
        <w:rPr>
          <w:rFonts w:ascii="Arial"/>
          <w:i/>
          <w:color w:val="231F20"/>
          <w:spacing w:val="-2"/>
          <w:sz w:val="36"/>
        </w:rPr>
        <w:t>provisions</w:t>
      </w:r>
    </w:p>
    <w:p>
      <w:pPr>
        <w:pStyle w:val="BodyText"/>
        <w:rPr>
          <w:rFonts w:ascii="Arial"/>
          <w:i/>
          <w:sz w:val="36"/>
        </w:rPr>
      </w:pPr>
    </w:p>
    <w:p>
      <w:pPr>
        <w:pStyle w:val="BodyText"/>
        <w:spacing w:before="6"/>
        <w:rPr>
          <w:rFonts w:ascii="Arial"/>
          <w:i/>
          <w:sz w:val="36"/>
        </w:rPr>
      </w:pPr>
    </w:p>
    <w:p>
      <w:pPr>
        <w:pStyle w:val="Heading1"/>
        <w:numPr>
          <w:ilvl w:val="2"/>
          <w:numId w:val="1"/>
        </w:numPr>
        <w:tabs>
          <w:tab w:pos="2497" w:val="left" w:leader="none"/>
        </w:tabs>
        <w:spacing w:line="240" w:lineRule="auto" w:before="0" w:after="0"/>
        <w:ind w:left="2497" w:right="0" w:hanging="1080"/>
        <w:jc w:val="left"/>
      </w:pPr>
      <w:r>
        <w:rPr>
          <w:color w:val="231F20"/>
          <w:w w:val="105"/>
        </w:rPr>
        <w:t>Application</w:t>
      </w:r>
      <w:r>
        <w:rPr>
          <w:color w:val="231F20"/>
          <w:spacing w:val="-4"/>
          <w:w w:val="105"/>
        </w:rPr>
        <w:t> </w:t>
      </w:r>
      <w:r>
        <w:rPr>
          <w:color w:val="231F20"/>
          <w:w w:val="105"/>
        </w:rPr>
        <w:t>and</w:t>
      </w:r>
      <w:r>
        <w:rPr>
          <w:color w:val="231F20"/>
          <w:spacing w:val="-4"/>
          <w:w w:val="105"/>
        </w:rPr>
        <w:t> </w:t>
      </w:r>
      <w:r>
        <w:rPr>
          <w:color w:val="231F20"/>
          <w:w w:val="105"/>
        </w:rPr>
        <w:t>general</w:t>
      </w:r>
      <w:r>
        <w:rPr>
          <w:color w:val="231F20"/>
          <w:spacing w:val="-4"/>
          <w:w w:val="105"/>
        </w:rPr>
        <w:t> </w:t>
      </w:r>
      <w:r>
        <w:rPr>
          <w:color w:val="231F20"/>
          <w:spacing w:val="-2"/>
          <w:w w:val="105"/>
        </w:rPr>
        <w:t>provisions</w:t>
      </w:r>
    </w:p>
    <w:p>
      <w:pPr>
        <w:pStyle w:val="ListParagraph"/>
        <w:numPr>
          <w:ilvl w:val="3"/>
          <w:numId w:val="1"/>
        </w:numPr>
        <w:tabs>
          <w:tab w:pos="2497" w:val="left" w:leader="none"/>
        </w:tabs>
        <w:spacing w:line="256" w:lineRule="auto" w:before="160" w:after="0"/>
        <w:ind w:left="2497" w:right="848" w:hanging="1081"/>
        <w:jc w:val="both"/>
        <w:rPr>
          <w:color w:val="231F20"/>
          <w:sz w:val="17"/>
        </w:rPr>
      </w:pPr>
      <w:r>
        <w:rPr>
          <w:color w:val="231F20"/>
          <w:sz w:val="17"/>
        </w:rPr>
        <w:t>This part sets forth the provisions for dangerous goods consignments relative to authorization of consignments and advance notifications, marking, labelling, documentation (by manual, electronic data processing (EDP) or </w:t>
      </w:r>
      <w:r>
        <w:rPr>
          <w:color w:val="231F20"/>
          <w:w w:val="105"/>
          <w:sz w:val="17"/>
        </w:rPr>
        <w:t>electronic data interchange (EDI) techniques) and placarding.</w:t>
      </w:r>
    </w:p>
    <w:p>
      <w:pPr>
        <w:pStyle w:val="ListParagraph"/>
        <w:numPr>
          <w:ilvl w:val="3"/>
          <w:numId w:val="1"/>
        </w:numPr>
        <w:tabs>
          <w:tab w:pos="2497" w:val="left" w:leader="none"/>
        </w:tabs>
        <w:spacing w:line="256" w:lineRule="auto" w:before="159" w:after="0"/>
        <w:ind w:left="2497" w:right="847" w:hanging="1080"/>
        <w:jc w:val="both"/>
        <w:rPr>
          <w:color w:val="231F20"/>
          <w:sz w:val="17"/>
        </w:rPr>
      </w:pPr>
      <w:r>
        <w:rPr>
          <w:color w:val="231F20"/>
          <w:w w:val="105"/>
          <w:sz w:val="17"/>
        </w:rPr>
        <w:t>Except as otherwise provided in this Code, no person may offer dangerous goods for transport unless those goods</w:t>
      </w:r>
      <w:r>
        <w:rPr>
          <w:color w:val="231F20"/>
          <w:w w:val="105"/>
          <w:sz w:val="17"/>
        </w:rPr>
        <w:t> are</w:t>
      </w:r>
      <w:r>
        <w:rPr>
          <w:color w:val="231F20"/>
          <w:w w:val="105"/>
          <w:sz w:val="17"/>
        </w:rPr>
        <w:t> properly</w:t>
      </w:r>
      <w:r>
        <w:rPr>
          <w:color w:val="231F20"/>
          <w:w w:val="105"/>
          <w:sz w:val="17"/>
        </w:rPr>
        <w:t> marked,</w:t>
      </w:r>
      <w:r>
        <w:rPr>
          <w:color w:val="231F20"/>
          <w:w w:val="105"/>
          <w:sz w:val="17"/>
        </w:rPr>
        <w:t> labelled,</w:t>
      </w:r>
      <w:r>
        <w:rPr>
          <w:color w:val="231F20"/>
          <w:w w:val="105"/>
          <w:sz w:val="17"/>
        </w:rPr>
        <w:t> placarded,</w:t>
      </w:r>
      <w:r>
        <w:rPr>
          <w:color w:val="231F20"/>
          <w:w w:val="105"/>
          <w:sz w:val="17"/>
        </w:rPr>
        <w:t> described</w:t>
      </w:r>
      <w:r>
        <w:rPr>
          <w:color w:val="231F20"/>
          <w:w w:val="105"/>
          <w:sz w:val="17"/>
        </w:rPr>
        <w:t> and</w:t>
      </w:r>
      <w:r>
        <w:rPr>
          <w:color w:val="231F20"/>
          <w:w w:val="105"/>
          <w:sz w:val="17"/>
        </w:rPr>
        <w:t> certified</w:t>
      </w:r>
      <w:r>
        <w:rPr>
          <w:color w:val="231F20"/>
          <w:w w:val="105"/>
          <w:sz w:val="17"/>
        </w:rPr>
        <w:t> on</w:t>
      </w:r>
      <w:r>
        <w:rPr>
          <w:color w:val="231F20"/>
          <w:w w:val="105"/>
          <w:sz w:val="17"/>
        </w:rPr>
        <w:t> a</w:t>
      </w:r>
      <w:r>
        <w:rPr>
          <w:color w:val="231F20"/>
          <w:w w:val="105"/>
          <w:sz w:val="17"/>
        </w:rPr>
        <w:t> transport</w:t>
      </w:r>
      <w:r>
        <w:rPr>
          <w:color w:val="231F20"/>
          <w:w w:val="105"/>
          <w:sz w:val="17"/>
        </w:rPr>
        <w:t> document,</w:t>
      </w:r>
      <w:r>
        <w:rPr>
          <w:color w:val="231F20"/>
          <w:w w:val="105"/>
          <w:sz w:val="17"/>
        </w:rPr>
        <w:t> and otherwise in a condition for transport as required by this part.</w:t>
      </w:r>
    </w:p>
    <w:p>
      <w:pPr>
        <w:pStyle w:val="BodyText"/>
        <w:spacing w:line="256" w:lineRule="auto" w:before="119"/>
        <w:ind w:left="2497" w:right="848"/>
      </w:pPr>
      <w:r>
        <w:rPr>
          <w:rFonts w:ascii="Arial"/>
          <w:b/>
          <w:color w:val="231F20"/>
          <w:w w:val="105"/>
        </w:rPr>
        <w:t>Note: </w:t>
      </w:r>
      <w:r>
        <w:rPr>
          <w:color w:val="231F20"/>
          <w:w w:val="105"/>
        </w:rPr>
        <w:t>In accordance with the GHS, a GHS pictogram not required by this Code should only appear in trans-port as part of a complete GHS label and not independently (see GHS 1.4.10.4.4).</w:t>
      </w:r>
    </w:p>
    <w:p>
      <w:pPr>
        <w:pStyle w:val="ListParagraph"/>
        <w:numPr>
          <w:ilvl w:val="3"/>
          <w:numId w:val="1"/>
        </w:numPr>
        <w:tabs>
          <w:tab w:pos="2497" w:val="left" w:leader="none"/>
        </w:tabs>
        <w:spacing w:line="240" w:lineRule="auto" w:before="158" w:after="0"/>
        <w:ind w:left="2497" w:right="0" w:hanging="1080"/>
        <w:jc w:val="left"/>
        <w:rPr>
          <w:color w:val="231F20"/>
          <w:sz w:val="17"/>
        </w:rPr>
      </w:pPr>
      <w:r>
        <w:rPr>
          <w:color w:val="231F20"/>
          <w:w w:val="105"/>
          <w:sz w:val="17"/>
        </w:rPr>
        <w:t>A</w:t>
      </w:r>
      <w:r>
        <w:rPr>
          <w:color w:val="231F20"/>
          <w:spacing w:val="2"/>
          <w:w w:val="105"/>
          <w:sz w:val="17"/>
        </w:rPr>
        <w:t> </w:t>
      </w:r>
      <w:r>
        <w:rPr>
          <w:color w:val="231F20"/>
          <w:w w:val="105"/>
          <w:sz w:val="17"/>
        </w:rPr>
        <w:t>carrier</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2"/>
          <w:w w:val="105"/>
          <w:sz w:val="17"/>
        </w:rPr>
        <w:t> </w:t>
      </w:r>
      <w:r>
        <w:rPr>
          <w:color w:val="231F20"/>
          <w:w w:val="105"/>
          <w:sz w:val="17"/>
        </w:rPr>
        <w:t>accept</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for</w:t>
      </w:r>
      <w:r>
        <w:rPr>
          <w:color w:val="231F20"/>
          <w:spacing w:val="3"/>
          <w:w w:val="105"/>
          <w:sz w:val="17"/>
        </w:rPr>
        <w:t> </w:t>
      </w:r>
      <w:r>
        <w:rPr>
          <w:color w:val="231F20"/>
          <w:w w:val="105"/>
          <w:sz w:val="17"/>
        </w:rPr>
        <w:t>transport</w:t>
      </w:r>
      <w:r>
        <w:rPr>
          <w:color w:val="231F20"/>
          <w:spacing w:val="2"/>
          <w:w w:val="105"/>
          <w:sz w:val="17"/>
        </w:rPr>
        <w:t> </w:t>
      </w:r>
      <w:r>
        <w:rPr>
          <w:color w:val="231F20"/>
          <w:spacing w:val="-2"/>
          <w:w w:val="105"/>
          <w:sz w:val="17"/>
        </w:rPr>
        <w:t>unless:</w:t>
      </w:r>
    </w:p>
    <w:p>
      <w:pPr>
        <w:pStyle w:val="ListParagraph"/>
        <w:numPr>
          <w:ilvl w:val="0"/>
          <w:numId w:val="2"/>
        </w:numPr>
        <w:tabs>
          <w:tab w:pos="2857" w:val="left" w:leader="none"/>
        </w:tabs>
        <w:spacing w:line="256" w:lineRule="auto" w:before="111" w:after="0"/>
        <w:ind w:left="2857" w:right="848" w:hanging="360"/>
        <w:jc w:val="left"/>
        <w:rPr>
          <w:sz w:val="17"/>
        </w:rPr>
      </w:pPr>
      <w:r>
        <w:rPr>
          <w:color w:val="231F20"/>
          <w:w w:val="105"/>
          <w:sz w:val="17"/>
        </w:rPr>
        <w:t>A copy of the dangerous goods transport document and other documents or information as required by the provisions of this Code are provided; or</w:t>
      </w:r>
    </w:p>
    <w:p>
      <w:pPr>
        <w:pStyle w:val="ListParagraph"/>
        <w:numPr>
          <w:ilvl w:val="0"/>
          <w:numId w:val="2"/>
        </w:numPr>
        <w:tabs>
          <w:tab w:pos="2857" w:val="left" w:leader="none"/>
        </w:tabs>
        <w:spacing w:line="240" w:lineRule="auto" w:before="98" w:after="0"/>
        <w:ind w:left="2857" w:right="0" w:hanging="360"/>
        <w:jc w:val="left"/>
        <w:rPr>
          <w:sz w:val="17"/>
        </w:rPr>
      </w:pPr>
      <w:r>
        <w:rPr>
          <w:color w:val="231F20"/>
          <w:w w:val="105"/>
          <w:sz w:val="17"/>
        </w:rPr>
        <w:t>The information applicable to the dangerous goods is provided in electronic </w:t>
      </w:r>
      <w:r>
        <w:rPr>
          <w:color w:val="231F20"/>
          <w:spacing w:val="-4"/>
          <w:w w:val="105"/>
          <w:sz w:val="17"/>
        </w:rPr>
        <w:t>form.</w:t>
      </w:r>
    </w:p>
    <w:p>
      <w:pPr>
        <w:pStyle w:val="ListParagraph"/>
        <w:numPr>
          <w:ilvl w:val="3"/>
          <w:numId w:val="1"/>
        </w:numPr>
        <w:tabs>
          <w:tab w:pos="2497" w:val="left" w:leader="none"/>
        </w:tabs>
        <w:spacing w:line="256" w:lineRule="auto" w:before="171" w:after="0"/>
        <w:ind w:left="2497" w:right="848" w:hanging="1080"/>
        <w:jc w:val="both"/>
        <w:rPr>
          <w:color w:val="231F20"/>
          <w:sz w:val="17"/>
        </w:rPr>
      </w:pPr>
      <w:r>
        <w:rPr>
          <w:color w:val="231F20"/>
          <w:sz w:val="17"/>
        </w:rPr>
        <w:t>The information applicable to the dangerous goods shall accompany the dangerous goods to final destination. </w:t>
      </w:r>
      <w:r>
        <w:rPr>
          <w:color w:val="231F20"/>
          <w:w w:val="105"/>
          <w:sz w:val="17"/>
        </w:rPr>
        <w:t>This information may be on the dangerous goods transport document or may be on another document. This information shall be given to the consignee when the dangerous goods are delivered.</w:t>
      </w:r>
    </w:p>
    <w:p>
      <w:pPr>
        <w:pStyle w:val="ListParagraph"/>
        <w:numPr>
          <w:ilvl w:val="3"/>
          <w:numId w:val="1"/>
        </w:numPr>
        <w:tabs>
          <w:tab w:pos="2497" w:val="left" w:leader="none"/>
        </w:tabs>
        <w:spacing w:line="256" w:lineRule="auto" w:before="159" w:after="0"/>
        <w:ind w:left="2497" w:right="847" w:hanging="1080"/>
        <w:jc w:val="both"/>
        <w:rPr>
          <w:color w:val="231F20"/>
          <w:sz w:val="17"/>
        </w:rPr>
      </w:pPr>
      <w:r>
        <w:rPr>
          <w:color w:val="231F20"/>
          <w:w w:val="105"/>
          <w:sz w:val="17"/>
        </w:rPr>
        <w:t>When</w:t>
      </w:r>
      <w:r>
        <w:rPr>
          <w:color w:val="231F20"/>
          <w:w w:val="105"/>
          <w:sz w:val="17"/>
        </w:rPr>
        <w:t> the</w:t>
      </w:r>
      <w:r>
        <w:rPr>
          <w:color w:val="231F20"/>
          <w:w w:val="105"/>
          <w:sz w:val="17"/>
        </w:rPr>
        <w:t> information</w:t>
      </w:r>
      <w:r>
        <w:rPr>
          <w:color w:val="231F20"/>
          <w:w w:val="105"/>
          <w:sz w:val="17"/>
        </w:rPr>
        <w:t> applicable</w:t>
      </w:r>
      <w:r>
        <w:rPr>
          <w:color w:val="231F20"/>
          <w:w w:val="105"/>
          <w:sz w:val="17"/>
        </w:rPr>
        <w:t> to</w:t>
      </w:r>
      <w:r>
        <w:rPr>
          <w:color w:val="231F20"/>
          <w:w w:val="105"/>
          <w:sz w:val="17"/>
        </w:rPr>
        <w:t> the</w:t>
      </w:r>
      <w:r>
        <w:rPr>
          <w:color w:val="231F20"/>
          <w:w w:val="105"/>
          <w:sz w:val="17"/>
        </w:rPr>
        <w:t> dangerous</w:t>
      </w:r>
      <w:r>
        <w:rPr>
          <w:color w:val="231F20"/>
          <w:w w:val="105"/>
          <w:sz w:val="17"/>
        </w:rPr>
        <w:t> goods</w:t>
      </w:r>
      <w:r>
        <w:rPr>
          <w:color w:val="231F20"/>
          <w:w w:val="105"/>
          <w:sz w:val="17"/>
        </w:rPr>
        <w:t> is</w:t>
      </w:r>
      <w:r>
        <w:rPr>
          <w:color w:val="231F20"/>
          <w:w w:val="105"/>
          <w:sz w:val="17"/>
        </w:rPr>
        <w:t> given</w:t>
      </w:r>
      <w:r>
        <w:rPr>
          <w:color w:val="231F20"/>
          <w:w w:val="105"/>
          <w:sz w:val="17"/>
        </w:rPr>
        <w:t> to</w:t>
      </w:r>
      <w:r>
        <w:rPr>
          <w:color w:val="231F20"/>
          <w:w w:val="105"/>
          <w:sz w:val="17"/>
        </w:rPr>
        <w:t> the</w:t>
      </w:r>
      <w:r>
        <w:rPr>
          <w:color w:val="231F20"/>
          <w:w w:val="105"/>
          <w:sz w:val="17"/>
        </w:rPr>
        <w:t> carrier</w:t>
      </w:r>
      <w:r>
        <w:rPr>
          <w:color w:val="231F20"/>
          <w:w w:val="105"/>
          <w:sz w:val="17"/>
        </w:rPr>
        <w:t> in</w:t>
      </w:r>
      <w:r>
        <w:rPr>
          <w:color w:val="231F20"/>
          <w:w w:val="105"/>
          <w:sz w:val="17"/>
        </w:rPr>
        <w:t> electronic</w:t>
      </w:r>
      <w:r>
        <w:rPr>
          <w:color w:val="231F20"/>
          <w:w w:val="105"/>
          <w:sz w:val="17"/>
        </w:rPr>
        <w:t> form,</w:t>
      </w:r>
      <w:r>
        <w:rPr>
          <w:color w:val="231F20"/>
          <w:w w:val="105"/>
          <w:sz w:val="17"/>
        </w:rPr>
        <w:t> the information shall be available to the carrier at all times during transport to final destination. The information shall be able to be produced without delay as a paper document.</w:t>
      </w:r>
    </w:p>
    <w:p>
      <w:pPr>
        <w:pStyle w:val="ListParagraph"/>
        <w:numPr>
          <w:ilvl w:val="3"/>
          <w:numId w:val="1"/>
        </w:numPr>
        <w:tabs>
          <w:tab w:pos="2497" w:val="left" w:leader="none"/>
        </w:tabs>
        <w:spacing w:line="256" w:lineRule="auto" w:before="159" w:after="0"/>
        <w:ind w:left="2497" w:right="847" w:hanging="1080"/>
        <w:jc w:val="both"/>
        <w:rPr>
          <w:color w:val="231F20"/>
          <w:sz w:val="17"/>
        </w:rPr>
      </w:pPr>
      <w:r>
        <w:rPr>
          <w:sz w:val="17"/>
        </w:rPr>
        <mc:AlternateContent>
          <mc:Choice Requires="wps">
            <w:drawing>
              <wp:anchor distT="0" distB="0" distL="0" distR="0" allowOverlap="1" layoutInCell="1" locked="0" behindDoc="0" simplePos="0" relativeHeight="15729152">
                <wp:simplePos x="0" y="0"/>
                <wp:positionH relativeFrom="page">
                  <wp:posOffset>7199998</wp:posOffset>
                </wp:positionH>
                <wp:positionV relativeFrom="paragraph">
                  <wp:posOffset>96102</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566.929016pt;margin-top:7.567119pt;width:28.35pt;height:120.5pt;mso-position-horizontal-relative:page;mso-position-vertical-relative:paragraph;z-index:15729152" type="#_x0000_t202" id="docshape11"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sz w:val="17"/>
        </w:rPr>
        <w:t>The purpose of indicating the proper shipping name (see 3.1.2.1 and 3.1.2.2) and the UN number of a substance, </w:t>
      </w:r>
      <w:r>
        <w:rPr>
          <w:color w:val="231F20"/>
          <w:w w:val="105"/>
          <w:sz w:val="17"/>
        </w:rPr>
        <w:t>material</w:t>
      </w:r>
      <w:r>
        <w:rPr>
          <w:color w:val="231F20"/>
          <w:w w:val="105"/>
          <w:sz w:val="17"/>
        </w:rPr>
        <w:t> or</w:t>
      </w:r>
      <w:r>
        <w:rPr>
          <w:color w:val="231F20"/>
          <w:w w:val="105"/>
          <w:sz w:val="17"/>
        </w:rPr>
        <w:t> article</w:t>
      </w:r>
      <w:r>
        <w:rPr>
          <w:color w:val="231F20"/>
          <w:w w:val="105"/>
          <w:sz w:val="17"/>
        </w:rPr>
        <w:t> offered</w:t>
      </w:r>
      <w:r>
        <w:rPr>
          <w:color w:val="231F20"/>
          <w:w w:val="105"/>
          <w:sz w:val="17"/>
        </w:rPr>
        <w:t> for</w:t>
      </w:r>
      <w:r>
        <w:rPr>
          <w:color w:val="231F20"/>
          <w:w w:val="105"/>
          <w:sz w:val="17"/>
        </w:rPr>
        <w:t> transport</w:t>
      </w:r>
      <w:r>
        <w:rPr>
          <w:color w:val="231F20"/>
          <w:w w:val="105"/>
          <w:sz w:val="17"/>
        </w:rPr>
        <w:t> and,</w:t>
      </w:r>
      <w:r>
        <w:rPr>
          <w:color w:val="231F20"/>
          <w:w w:val="105"/>
          <w:sz w:val="17"/>
        </w:rPr>
        <w:t> in</w:t>
      </w:r>
      <w:r>
        <w:rPr>
          <w:color w:val="231F20"/>
          <w:w w:val="105"/>
          <w:sz w:val="17"/>
        </w:rPr>
        <w:t> the</w:t>
      </w:r>
      <w:r>
        <w:rPr>
          <w:color w:val="231F20"/>
          <w:w w:val="105"/>
          <w:sz w:val="17"/>
        </w:rPr>
        <w:t> case</w:t>
      </w:r>
      <w:r>
        <w:rPr>
          <w:color w:val="231F20"/>
          <w:w w:val="105"/>
          <w:sz w:val="17"/>
        </w:rPr>
        <w:t> of</w:t>
      </w:r>
      <w:r>
        <w:rPr>
          <w:color w:val="231F20"/>
          <w:w w:val="105"/>
          <w:sz w:val="17"/>
        </w:rPr>
        <w:t> a</w:t>
      </w:r>
      <w:r>
        <w:rPr>
          <w:color w:val="231F20"/>
          <w:w w:val="105"/>
          <w:sz w:val="17"/>
        </w:rPr>
        <w:t> marine</w:t>
      </w:r>
      <w:r>
        <w:rPr>
          <w:color w:val="231F20"/>
          <w:w w:val="105"/>
          <w:sz w:val="17"/>
        </w:rPr>
        <w:t> pollutant,</w:t>
      </w:r>
      <w:r>
        <w:rPr>
          <w:color w:val="231F20"/>
          <w:w w:val="105"/>
          <w:sz w:val="17"/>
        </w:rPr>
        <w:t> of</w:t>
      </w:r>
      <w:r>
        <w:rPr>
          <w:color w:val="231F20"/>
          <w:w w:val="105"/>
          <w:sz w:val="17"/>
        </w:rPr>
        <w:t> the</w:t>
      </w:r>
      <w:r>
        <w:rPr>
          <w:color w:val="231F20"/>
          <w:w w:val="105"/>
          <w:sz w:val="17"/>
        </w:rPr>
        <w:t> addition</w:t>
      </w:r>
      <w:r>
        <w:rPr>
          <w:color w:val="231F20"/>
          <w:w w:val="105"/>
          <w:sz w:val="17"/>
        </w:rPr>
        <w:t> of</w:t>
      </w:r>
      <w:r>
        <w:rPr>
          <w:color w:val="231F20"/>
          <w:w w:val="105"/>
          <w:sz w:val="17"/>
        </w:rPr>
        <w:t> “marine pollutant” on documentation accompanying the consignment, and of marking the proper shipping name in accordance with 5.2.1 on the package, including IBCs containing the goods, is to ensure that the substance, material or article can be readily identified during transport. This ready identification is particularly important in</w:t>
      </w:r>
      <w:r>
        <w:rPr>
          <w:color w:val="231F20"/>
          <w:w w:val="105"/>
          <w:sz w:val="17"/>
        </w:rPr>
        <w:t> the</w:t>
      </w:r>
      <w:r>
        <w:rPr>
          <w:color w:val="231F20"/>
          <w:w w:val="105"/>
          <w:sz w:val="17"/>
        </w:rPr>
        <w:t> case</w:t>
      </w:r>
      <w:r>
        <w:rPr>
          <w:color w:val="231F20"/>
          <w:w w:val="105"/>
          <w:sz w:val="17"/>
        </w:rPr>
        <w:t> of</w:t>
      </w:r>
      <w:r>
        <w:rPr>
          <w:color w:val="231F20"/>
          <w:w w:val="105"/>
          <w:sz w:val="17"/>
        </w:rPr>
        <w:t> an</w:t>
      </w:r>
      <w:r>
        <w:rPr>
          <w:color w:val="231F20"/>
          <w:w w:val="105"/>
          <w:sz w:val="17"/>
        </w:rPr>
        <w:t> accident</w:t>
      </w:r>
      <w:r>
        <w:rPr>
          <w:color w:val="231F20"/>
          <w:w w:val="105"/>
          <w:sz w:val="17"/>
        </w:rPr>
        <w:t> involving</w:t>
      </w:r>
      <w:r>
        <w:rPr>
          <w:color w:val="231F20"/>
          <w:w w:val="105"/>
          <w:sz w:val="17"/>
        </w:rPr>
        <w:t> these</w:t>
      </w:r>
      <w:r>
        <w:rPr>
          <w:color w:val="231F20"/>
          <w:w w:val="105"/>
          <w:sz w:val="17"/>
        </w:rPr>
        <w:t> goods,</w:t>
      </w:r>
      <w:r>
        <w:rPr>
          <w:color w:val="231F20"/>
          <w:w w:val="105"/>
          <w:sz w:val="17"/>
        </w:rPr>
        <w:t> in</w:t>
      </w:r>
      <w:r>
        <w:rPr>
          <w:color w:val="231F20"/>
          <w:w w:val="105"/>
          <w:sz w:val="17"/>
        </w:rPr>
        <w:t> order</w:t>
      </w:r>
      <w:r>
        <w:rPr>
          <w:color w:val="231F20"/>
          <w:w w:val="105"/>
          <w:sz w:val="17"/>
        </w:rPr>
        <w:t> to</w:t>
      </w:r>
      <w:r>
        <w:rPr>
          <w:color w:val="231F20"/>
          <w:w w:val="105"/>
          <w:sz w:val="17"/>
        </w:rPr>
        <w:t> determine</w:t>
      </w:r>
      <w:r>
        <w:rPr>
          <w:color w:val="231F20"/>
          <w:w w:val="105"/>
          <w:sz w:val="17"/>
        </w:rPr>
        <w:t> what</w:t>
      </w:r>
      <w:r>
        <w:rPr>
          <w:color w:val="231F20"/>
          <w:w w:val="105"/>
          <w:sz w:val="17"/>
        </w:rPr>
        <w:t> emergency</w:t>
      </w:r>
      <w:r>
        <w:rPr>
          <w:color w:val="231F20"/>
          <w:w w:val="105"/>
          <w:sz w:val="17"/>
        </w:rPr>
        <w:t> procedures</w:t>
      </w:r>
      <w:r>
        <w:rPr>
          <w:color w:val="231F20"/>
          <w:w w:val="105"/>
          <w:sz w:val="17"/>
        </w:rPr>
        <w:t> are necessary to deal properly with the situation and, in the case of marine pollutants, for the master to comply with the reporting requirements of Protocol I of MARPOL.</w:t>
      </w:r>
    </w:p>
    <w:p>
      <w:pPr>
        <w:pStyle w:val="BodyText"/>
        <w:spacing w:before="191"/>
      </w:pPr>
    </w:p>
    <w:p>
      <w:pPr>
        <w:pStyle w:val="Heading1"/>
        <w:numPr>
          <w:ilvl w:val="2"/>
          <w:numId w:val="1"/>
        </w:numPr>
        <w:tabs>
          <w:tab w:pos="2497" w:val="left" w:leader="none"/>
        </w:tabs>
        <w:spacing w:line="240" w:lineRule="auto" w:before="0" w:after="0"/>
        <w:ind w:left="2497" w:right="0" w:hanging="1080"/>
        <w:jc w:val="left"/>
      </w:pPr>
      <w:r>
        <w:rPr>
          <w:color w:val="231F20"/>
          <w:w w:val="105"/>
        </w:rPr>
        <w:t>Use</w:t>
      </w:r>
      <w:r>
        <w:rPr>
          <w:color w:val="231F20"/>
          <w:spacing w:val="-8"/>
          <w:w w:val="105"/>
        </w:rPr>
        <w:t> </w:t>
      </w:r>
      <w:r>
        <w:rPr>
          <w:color w:val="231F20"/>
          <w:w w:val="105"/>
        </w:rPr>
        <w:t>of</w:t>
      </w:r>
      <w:r>
        <w:rPr>
          <w:color w:val="231F20"/>
          <w:spacing w:val="-8"/>
          <w:w w:val="105"/>
        </w:rPr>
        <w:t> </w:t>
      </w:r>
      <w:r>
        <w:rPr>
          <w:color w:val="231F20"/>
          <w:w w:val="105"/>
        </w:rPr>
        <w:t>overpacks</w:t>
      </w:r>
      <w:r>
        <w:rPr>
          <w:color w:val="231F20"/>
          <w:spacing w:val="-7"/>
          <w:w w:val="105"/>
        </w:rPr>
        <w:t> </w:t>
      </w:r>
      <w:r>
        <w:rPr>
          <w:color w:val="231F20"/>
          <w:w w:val="105"/>
        </w:rPr>
        <w:t>and</w:t>
      </w:r>
      <w:r>
        <w:rPr>
          <w:color w:val="231F20"/>
          <w:spacing w:val="-8"/>
          <w:w w:val="105"/>
        </w:rPr>
        <w:t> </w:t>
      </w:r>
      <w:r>
        <w:rPr>
          <w:color w:val="231F20"/>
          <w:w w:val="105"/>
        </w:rPr>
        <w:t>unit</w:t>
      </w:r>
      <w:r>
        <w:rPr>
          <w:color w:val="231F20"/>
          <w:spacing w:val="-8"/>
          <w:w w:val="105"/>
        </w:rPr>
        <w:t> </w:t>
      </w:r>
      <w:r>
        <w:rPr>
          <w:color w:val="231F20"/>
          <w:spacing w:val="-4"/>
          <w:w w:val="105"/>
        </w:rPr>
        <w:t>loads</w:t>
      </w:r>
    </w:p>
    <w:p>
      <w:pPr>
        <w:pStyle w:val="ListParagraph"/>
        <w:numPr>
          <w:ilvl w:val="3"/>
          <w:numId w:val="1"/>
        </w:numPr>
        <w:tabs>
          <w:tab w:pos="2497" w:val="left" w:leader="none"/>
        </w:tabs>
        <w:spacing w:line="256" w:lineRule="auto" w:before="160" w:after="0"/>
        <w:ind w:left="2497" w:right="847" w:hanging="1080"/>
        <w:jc w:val="both"/>
        <w:rPr>
          <w:color w:val="231F20"/>
          <w:sz w:val="17"/>
        </w:rPr>
      </w:pPr>
      <w:r>
        <w:rPr>
          <w:color w:val="231F20"/>
          <w:w w:val="105"/>
          <w:sz w:val="17"/>
        </w:rPr>
        <w:t>An overpack and unit load shall be marked with the proper shipping name and the UN number and marked and labelled, as required for packages by chapter 5.2, for each item of dangerous goods contained in the overpack or unit load unless marks and labels representative of all dangerous goods in the overpack or unit load are visible. An overpack, in addition, shall be marked with the word “OVERPACK” unless marks and labels</w:t>
      </w:r>
      <w:r>
        <w:rPr>
          <w:color w:val="231F20"/>
          <w:spacing w:val="-8"/>
          <w:w w:val="105"/>
          <w:sz w:val="17"/>
        </w:rPr>
        <w:t> </w:t>
      </w:r>
      <w:r>
        <w:rPr>
          <w:color w:val="231F20"/>
          <w:w w:val="105"/>
          <w:sz w:val="17"/>
        </w:rPr>
        <w:t>representative</w:t>
      </w:r>
      <w:r>
        <w:rPr>
          <w:color w:val="231F20"/>
          <w:spacing w:val="-8"/>
          <w:w w:val="105"/>
          <w:sz w:val="17"/>
        </w:rPr>
        <w:t> </w:t>
      </w:r>
      <w:r>
        <w:rPr>
          <w:color w:val="231F20"/>
          <w:w w:val="105"/>
          <w:sz w:val="17"/>
        </w:rPr>
        <w:t>of</w:t>
      </w:r>
      <w:r>
        <w:rPr>
          <w:color w:val="231F20"/>
          <w:spacing w:val="-8"/>
          <w:w w:val="105"/>
          <w:sz w:val="17"/>
        </w:rPr>
        <w:t> </w:t>
      </w:r>
      <w:r>
        <w:rPr>
          <w:color w:val="231F20"/>
          <w:w w:val="105"/>
          <w:sz w:val="17"/>
        </w:rPr>
        <w:t>all</w:t>
      </w:r>
      <w:r>
        <w:rPr>
          <w:color w:val="231F20"/>
          <w:spacing w:val="-8"/>
          <w:w w:val="105"/>
          <w:sz w:val="17"/>
        </w:rPr>
        <w:t> </w:t>
      </w:r>
      <w:r>
        <w:rPr>
          <w:color w:val="231F20"/>
          <w:w w:val="105"/>
          <w:sz w:val="17"/>
        </w:rPr>
        <w:t>dangerous</w:t>
      </w:r>
      <w:r>
        <w:rPr>
          <w:color w:val="231F20"/>
          <w:spacing w:val="-8"/>
          <w:w w:val="105"/>
          <w:sz w:val="17"/>
        </w:rPr>
        <w:t> </w:t>
      </w:r>
      <w:r>
        <w:rPr>
          <w:color w:val="231F20"/>
          <w:w w:val="105"/>
          <w:sz w:val="17"/>
        </w:rPr>
        <w:t>goods,</w:t>
      </w:r>
      <w:r>
        <w:rPr>
          <w:color w:val="231F20"/>
          <w:spacing w:val="-8"/>
          <w:w w:val="105"/>
          <w:sz w:val="17"/>
        </w:rPr>
        <w:t> </w:t>
      </w:r>
      <w:r>
        <w:rPr>
          <w:color w:val="231F20"/>
          <w:w w:val="105"/>
          <w:sz w:val="17"/>
        </w:rPr>
        <w:t>as</w:t>
      </w:r>
      <w:r>
        <w:rPr>
          <w:color w:val="231F20"/>
          <w:spacing w:val="-8"/>
          <w:w w:val="105"/>
          <w:sz w:val="17"/>
        </w:rPr>
        <w:t> </w:t>
      </w:r>
      <w:r>
        <w:rPr>
          <w:color w:val="231F20"/>
          <w:w w:val="105"/>
          <w:sz w:val="17"/>
        </w:rPr>
        <w:t>required</w:t>
      </w:r>
      <w:r>
        <w:rPr>
          <w:color w:val="231F20"/>
          <w:spacing w:val="-8"/>
          <w:w w:val="105"/>
          <w:sz w:val="17"/>
        </w:rPr>
        <w:t> </w:t>
      </w:r>
      <w:r>
        <w:rPr>
          <w:color w:val="231F20"/>
          <w:w w:val="105"/>
          <w:sz w:val="17"/>
        </w:rPr>
        <w:t>by</w:t>
      </w:r>
      <w:r>
        <w:rPr>
          <w:color w:val="231F20"/>
          <w:spacing w:val="-8"/>
          <w:w w:val="105"/>
          <w:sz w:val="17"/>
        </w:rPr>
        <w:t> </w:t>
      </w:r>
      <w:r>
        <w:rPr>
          <w:color w:val="231F20"/>
          <w:w w:val="105"/>
          <w:sz w:val="17"/>
        </w:rPr>
        <w:t>chapter</w:t>
      </w:r>
      <w:r>
        <w:rPr>
          <w:color w:val="231F20"/>
          <w:spacing w:val="-8"/>
          <w:w w:val="105"/>
          <w:sz w:val="17"/>
        </w:rPr>
        <w:t> </w:t>
      </w:r>
      <w:r>
        <w:rPr>
          <w:color w:val="231F20"/>
          <w:w w:val="105"/>
          <w:sz w:val="17"/>
        </w:rPr>
        <w:t>5.2,</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overpack</w:t>
      </w:r>
      <w:r>
        <w:rPr>
          <w:color w:val="231F20"/>
          <w:spacing w:val="-8"/>
          <w:w w:val="105"/>
          <w:sz w:val="17"/>
        </w:rPr>
        <w:t> </w:t>
      </w:r>
      <w:r>
        <w:rPr>
          <w:color w:val="231F20"/>
          <w:w w:val="105"/>
          <w:sz w:val="17"/>
        </w:rPr>
        <w:t>are</w:t>
      </w:r>
      <w:r>
        <w:rPr>
          <w:color w:val="231F20"/>
          <w:spacing w:val="-8"/>
          <w:w w:val="105"/>
          <w:sz w:val="17"/>
        </w:rPr>
        <w:t> </w:t>
      </w:r>
      <w:r>
        <w:rPr>
          <w:color w:val="231F20"/>
          <w:w w:val="105"/>
          <w:sz w:val="17"/>
        </w:rPr>
        <w:t>visible.</w:t>
      </w:r>
      <w:r>
        <w:rPr>
          <w:color w:val="231F20"/>
          <w:spacing w:val="-8"/>
          <w:w w:val="105"/>
          <w:sz w:val="17"/>
        </w:rPr>
        <w:t> </w:t>
      </w:r>
      <w:r>
        <w:rPr>
          <w:color w:val="231F20"/>
          <w:w w:val="105"/>
          <w:sz w:val="17"/>
        </w:rPr>
        <w:t>Labelling of</w:t>
      </w:r>
      <w:r>
        <w:rPr>
          <w:color w:val="231F20"/>
          <w:w w:val="105"/>
          <w:sz w:val="17"/>
        </w:rPr>
        <w:t> overpacks</w:t>
      </w:r>
      <w:r>
        <w:rPr>
          <w:color w:val="231F20"/>
          <w:w w:val="105"/>
          <w:sz w:val="17"/>
        </w:rPr>
        <w:t> containing</w:t>
      </w:r>
      <w:r>
        <w:rPr>
          <w:color w:val="231F20"/>
          <w:w w:val="105"/>
          <w:sz w:val="17"/>
        </w:rPr>
        <w:t> radioactive</w:t>
      </w:r>
      <w:r>
        <w:rPr>
          <w:color w:val="231F20"/>
          <w:w w:val="105"/>
          <w:sz w:val="17"/>
        </w:rPr>
        <w:t> materials</w:t>
      </w:r>
      <w:r>
        <w:rPr>
          <w:color w:val="231F20"/>
          <w:w w:val="105"/>
          <w:sz w:val="17"/>
        </w:rPr>
        <w:t> shall</w:t>
      </w:r>
      <w:r>
        <w:rPr>
          <w:color w:val="231F20"/>
          <w:w w:val="105"/>
          <w:sz w:val="17"/>
        </w:rPr>
        <w:t> be</w:t>
      </w:r>
      <w:r>
        <w:rPr>
          <w:color w:val="231F20"/>
          <w:w w:val="105"/>
          <w:sz w:val="17"/>
        </w:rPr>
        <w:t> in</w:t>
      </w:r>
      <w:r>
        <w:rPr>
          <w:color w:val="231F20"/>
          <w:w w:val="105"/>
          <w:sz w:val="17"/>
        </w:rPr>
        <w:t> accordance</w:t>
      </w:r>
      <w:r>
        <w:rPr>
          <w:color w:val="231F20"/>
          <w:w w:val="105"/>
          <w:sz w:val="17"/>
        </w:rPr>
        <w:t> with</w:t>
      </w:r>
      <w:r>
        <w:rPr>
          <w:color w:val="231F20"/>
          <w:w w:val="105"/>
          <w:sz w:val="17"/>
        </w:rPr>
        <w:t> 5.2.2.1.12.</w:t>
      </w:r>
      <w:r>
        <w:rPr>
          <w:color w:val="231F20"/>
          <w:w w:val="105"/>
          <w:sz w:val="17"/>
        </w:rPr>
        <w:t> The</w:t>
      </w:r>
      <w:r>
        <w:rPr>
          <w:color w:val="231F20"/>
          <w:w w:val="105"/>
          <w:sz w:val="17"/>
        </w:rPr>
        <w:t> lettering</w:t>
      </w:r>
      <w:r>
        <w:rPr>
          <w:color w:val="231F20"/>
          <w:w w:val="105"/>
          <w:sz w:val="17"/>
        </w:rPr>
        <w:t> of</w:t>
      </w:r>
      <w:r>
        <w:rPr>
          <w:color w:val="231F20"/>
          <w:w w:val="105"/>
          <w:sz w:val="17"/>
        </w:rPr>
        <w:t> the “OVERPACK” mark shall be at least 12 mm high.</w:t>
      </w:r>
    </w:p>
    <w:p>
      <w:pPr>
        <w:pStyle w:val="ListParagraph"/>
        <w:numPr>
          <w:ilvl w:val="3"/>
          <w:numId w:val="1"/>
        </w:numPr>
        <w:tabs>
          <w:tab w:pos="2497" w:val="left" w:leader="none"/>
        </w:tabs>
        <w:spacing w:line="256" w:lineRule="auto" w:before="163" w:after="0"/>
        <w:ind w:left="2497" w:right="847" w:hanging="1081"/>
        <w:jc w:val="both"/>
        <w:rPr>
          <w:color w:val="231F20"/>
          <w:sz w:val="17"/>
        </w:rPr>
      </w:pPr>
      <w:r>
        <w:rPr>
          <w:color w:val="231F20"/>
          <w:w w:val="105"/>
          <w:sz w:val="17"/>
        </w:rPr>
        <w:t>The individual packages comprising a unit load or an overpack shall be marked and labelled in accordance with</w:t>
      </w:r>
      <w:r>
        <w:rPr>
          <w:color w:val="231F20"/>
          <w:spacing w:val="-1"/>
          <w:w w:val="105"/>
          <w:sz w:val="17"/>
        </w:rPr>
        <w:t> </w:t>
      </w:r>
      <w:r>
        <w:rPr>
          <w:color w:val="231F20"/>
          <w:w w:val="105"/>
          <w:sz w:val="17"/>
        </w:rPr>
        <w:t>chapter</w:t>
      </w:r>
      <w:r>
        <w:rPr>
          <w:color w:val="231F20"/>
          <w:spacing w:val="-1"/>
          <w:w w:val="105"/>
          <w:sz w:val="17"/>
        </w:rPr>
        <w:t> </w:t>
      </w:r>
      <w:r>
        <w:rPr>
          <w:color w:val="231F20"/>
          <w:w w:val="105"/>
          <w:sz w:val="17"/>
        </w:rPr>
        <w:t>5.2.</w:t>
      </w:r>
      <w:r>
        <w:rPr>
          <w:color w:val="231F20"/>
          <w:spacing w:val="-1"/>
          <w:w w:val="105"/>
          <w:sz w:val="17"/>
        </w:rPr>
        <w:t> </w:t>
      </w:r>
      <w:r>
        <w:rPr>
          <w:color w:val="231F20"/>
          <w:w w:val="105"/>
          <w:sz w:val="17"/>
        </w:rPr>
        <w:t>Each</w:t>
      </w:r>
      <w:r>
        <w:rPr>
          <w:color w:val="231F20"/>
          <w:spacing w:val="-1"/>
          <w:w w:val="105"/>
          <w:sz w:val="17"/>
        </w:rPr>
        <w:t> </w:t>
      </w:r>
      <w:r>
        <w:rPr>
          <w:color w:val="231F20"/>
          <w:w w:val="105"/>
          <w:sz w:val="17"/>
        </w:rPr>
        <w:t>package</w:t>
      </w:r>
      <w:r>
        <w:rPr>
          <w:color w:val="231F20"/>
          <w:spacing w:val="-1"/>
          <w:w w:val="105"/>
          <w:sz w:val="17"/>
        </w:rPr>
        <w:t> </w:t>
      </w:r>
      <w:r>
        <w:rPr>
          <w:color w:val="231F20"/>
          <w:w w:val="105"/>
          <w:sz w:val="17"/>
        </w:rPr>
        <w:t>of</w:t>
      </w:r>
      <w:r>
        <w:rPr>
          <w:color w:val="231F20"/>
          <w:spacing w:val="-1"/>
          <w:w w:val="105"/>
          <w:sz w:val="17"/>
        </w:rPr>
        <w:t> </w:t>
      </w:r>
      <w:r>
        <w:rPr>
          <w:color w:val="231F20"/>
          <w:w w:val="105"/>
          <w:sz w:val="17"/>
        </w:rPr>
        <w:t>dangerous</w:t>
      </w:r>
      <w:r>
        <w:rPr>
          <w:color w:val="231F20"/>
          <w:spacing w:val="-1"/>
          <w:w w:val="105"/>
          <w:sz w:val="17"/>
        </w:rPr>
        <w:t> </w:t>
      </w:r>
      <w:r>
        <w:rPr>
          <w:color w:val="231F20"/>
          <w:w w:val="105"/>
          <w:sz w:val="17"/>
        </w:rPr>
        <w:t>goods</w:t>
      </w:r>
      <w:r>
        <w:rPr>
          <w:color w:val="231F20"/>
          <w:spacing w:val="-1"/>
          <w:w w:val="105"/>
          <w:sz w:val="17"/>
        </w:rPr>
        <w:t> </w:t>
      </w:r>
      <w:r>
        <w:rPr>
          <w:color w:val="231F20"/>
          <w:w w:val="105"/>
          <w:sz w:val="17"/>
        </w:rPr>
        <w:t>contained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unit</w:t>
      </w:r>
      <w:r>
        <w:rPr>
          <w:color w:val="231F20"/>
          <w:spacing w:val="-1"/>
          <w:w w:val="105"/>
          <w:sz w:val="17"/>
        </w:rPr>
        <w:t> </w:t>
      </w:r>
      <w:r>
        <w:rPr>
          <w:color w:val="231F20"/>
          <w:w w:val="105"/>
          <w:sz w:val="17"/>
        </w:rPr>
        <w:t>load</w:t>
      </w:r>
      <w:r>
        <w:rPr>
          <w:color w:val="231F20"/>
          <w:spacing w:val="-1"/>
          <w:w w:val="105"/>
          <w:sz w:val="17"/>
        </w:rPr>
        <w:t> </w:t>
      </w:r>
      <w:r>
        <w:rPr>
          <w:color w:val="231F20"/>
          <w:w w:val="105"/>
          <w:sz w:val="17"/>
        </w:rPr>
        <w:t>or</w:t>
      </w:r>
      <w:r>
        <w:rPr>
          <w:color w:val="231F20"/>
          <w:spacing w:val="-1"/>
          <w:w w:val="105"/>
          <w:sz w:val="17"/>
        </w:rPr>
        <w:t> </w:t>
      </w:r>
      <w:r>
        <w:rPr>
          <w:color w:val="231F20"/>
          <w:w w:val="105"/>
          <w:sz w:val="17"/>
        </w:rPr>
        <w:t>overpack</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comply</w:t>
      </w:r>
      <w:r>
        <w:rPr>
          <w:color w:val="231F20"/>
          <w:spacing w:val="-1"/>
          <w:w w:val="105"/>
          <w:sz w:val="17"/>
        </w:rPr>
        <w:t> </w:t>
      </w:r>
      <w:r>
        <w:rPr>
          <w:color w:val="231F20"/>
          <w:w w:val="105"/>
          <w:sz w:val="17"/>
        </w:rPr>
        <w:t>with all applicable provisions of the Code. The “OVERPACK” mark on an overpack is an indication of compliance with</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provision.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intended</w:t>
      </w:r>
      <w:r>
        <w:rPr>
          <w:color w:val="231F20"/>
          <w:spacing w:val="-3"/>
          <w:w w:val="105"/>
          <w:sz w:val="17"/>
        </w:rPr>
        <w:t> </w:t>
      </w:r>
      <w:r>
        <w:rPr>
          <w:color w:val="231F20"/>
          <w:w w:val="105"/>
          <w:sz w:val="17"/>
        </w:rPr>
        <w:t>function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each</w:t>
      </w:r>
      <w:r>
        <w:rPr>
          <w:color w:val="231F20"/>
          <w:spacing w:val="-3"/>
          <w:w w:val="105"/>
          <w:sz w:val="17"/>
        </w:rPr>
        <w:t> </w:t>
      </w:r>
      <w:r>
        <w:rPr>
          <w:color w:val="231F20"/>
          <w:w w:val="105"/>
          <w:sz w:val="17"/>
        </w:rPr>
        <w:t>package</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not</w:t>
      </w:r>
      <w:r>
        <w:rPr>
          <w:color w:val="231F20"/>
          <w:spacing w:val="-3"/>
          <w:w w:val="105"/>
          <w:sz w:val="17"/>
        </w:rPr>
        <w:t> </w:t>
      </w:r>
      <w:r>
        <w:rPr>
          <w:color w:val="231F20"/>
          <w:w w:val="105"/>
          <w:sz w:val="17"/>
        </w:rPr>
        <w:t>be</w:t>
      </w:r>
      <w:r>
        <w:rPr>
          <w:color w:val="231F20"/>
          <w:spacing w:val="-3"/>
          <w:w w:val="105"/>
          <w:sz w:val="17"/>
        </w:rPr>
        <w:t> </w:t>
      </w:r>
      <w:r>
        <w:rPr>
          <w:color w:val="231F20"/>
          <w:w w:val="105"/>
          <w:sz w:val="17"/>
        </w:rPr>
        <w:t>impaired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unit</w:t>
      </w:r>
      <w:r>
        <w:rPr>
          <w:color w:val="231F20"/>
          <w:spacing w:val="-3"/>
          <w:w w:val="105"/>
          <w:sz w:val="17"/>
        </w:rPr>
        <w:t> </w:t>
      </w:r>
      <w:r>
        <w:rPr>
          <w:color w:val="231F20"/>
          <w:w w:val="105"/>
          <w:sz w:val="17"/>
        </w:rPr>
        <w:t>load</w:t>
      </w:r>
      <w:r>
        <w:rPr>
          <w:color w:val="231F20"/>
          <w:spacing w:val="-3"/>
          <w:w w:val="105"/>
          <w:sz w:val="17"/>
        </w:rPr>
        <w:t> </w:t>
      </w:r>
      <w:r>
        <w:rPr>
          <w:color w:val="231F20"/>
          <w:w w:val="105"/>
          <w:sz w:val="17"/>
        </w:rPr>
        <w:t>or</w:t>
      </w:r>
      <w:r>
        <w:rPr>
          <w:color w:val="231F20"/>
          <w:spacing w:val="-3"/>
          <w:w w:val="105"/>
          <w:sz w:val="17"/>
        </w:rPr>
        <w:t> </w:t>
      </w:r>
      <w:r>
        <w:rPr>
          <w:color w:val="231F20"/>
          <w:w w:val="105"/>
          <w:sz w:val="17"/>
        </w:rPr>
        <w:t>overpack.</w:t>
      </w:r>
    </w:p>
    <w:p>
      <w:pPr>
        <w:pStyle w:val="ListParagraph"/>
        <w:numPr>
          <w:ilvl w:val="3"/>
          <w:numId w:val="1"/>
        </w:numPr>
        <w:tabs>
          <w:tab w:pos="2497" w:val="left" w:leader="none"/>
        </w:tabs>
        <w:spacing w:line="256" w:lineRule="auto" w:before="159" w:after="0"/>
        <w:ind w:left="2497" w:right="846" w:hanging="1080"/>
        <w:jc w:val="both"/>
        <w:rPr>
          <w:color w:val="231F20"/>
          <w:sz w:val="17"/>
        </w:rPr>
      </w:pPr>
      <w:r>
        <w:rPr>
          <w:color w:val="231F20"/>
          <w:w w:val="105"/>
          <w:sz w:val="17"/>
        </w:rPr>
        <w:t>Each</w:t>
      </w:r>
      <w:r>
        <w:rPr>
          <w:color w:val="231F20"/>
          <w:w w:val="105"/>
          <w:sz w:val="17"/>
        </w:rPr>
        <w:t> package</w:t>
      </w:r>
      <w:r>
        <w:rPr>
          <w:color w:val="231F20"/>
          <w:w w:val="105"/>
          <w:sz w:val="17"/>
        </w:rPr>
        <w:t> bearing</w:t>
      </w:r>
      <w:r>
        <w:rPr>
          <w:color w:val="231F20"/>
          <w:w w:val="105"/>
          <w:sz w:val="17"/>
        </w:rPr>
        <w:t> package</w:t>
      </w:r>
      <w:r>
        <w:rPr>
          <w:color w:val="231F20"/>
          <w:w w:val="105"/>
          <w:sz w:val="17"/>
        </w:rPr>
        <w:t> orientation</w:t>
      </w:r>
      <w:r>
        <w:rPr>
          <w:color w:val="231F20"/>
          <w:w w:val="105"/>
          <w:sz w:val="17"/>
        </w:rPr>
        <w:t> marks</w:t>
      </w:r>
      <w:r>
        <w:rPr>
          <w:color w:val="231F20"/>
          <w:w w:val="105"/>
          <w:sz w:val="17"/>
        </w:rPr>
        <w:t> as</w:t>
      </w:r>
      <w:r>
        <w:rPr>
          <w:color w:val="231F20"/>
          <w:w w:val="105"/>
          <w:sz w:val="17"/>
        </w:rPr>
        <w:t> prescribed</w:t>
      </w:r>
      <w:r>
        <w:rPr>
          <w:color w:val="231F20"/>
          <w:w w:val="105"/>
          <w:sz w:val="17"/>
        </w:rPr>
        <w:t> in</w:t>
      </w:r>
      <w:r>
        <w:rPr>
          <w:color w:val="231F20"/>
          <w:w w:val="105"/>
          <w:sz w:val="17"/>
        </w:rPr>
        <w:t> 5.2.1.7.1</w:t>
      </w:r>
      <w:r>
        <w:rPr>
          <w:color w:val="231F20"/>
          <w:w w:val="105"/>
          <w:sz w:val="17"/>
        </w:rPr>
        <w:t> of</w:t>
      </w:r>
      <w:r>
        <w:rPr>
          <w:color w:val="231F20"/>
          <w:w w:val="105"/>
          <w:sz w:val="17"/>
        </w:rPr>
        <w:t> this</w:t>
      </w:r>
      <w:r>
        <w:rPr>
          <w:color w:val="231F20"/>
          <w:w w:val="105"/>
          <w:sz w:val="17"/>
        </w:rPr>
        <w:t> Code</w:t>
      </w:r>
      <w:r>
        <w:rPr>
          <w:color w:val="231F20"/>
          <w:w w:val="105"/>
          <w:sz w:val="17"/>
        </w:rPr>
        <w:t> and</w:t>
      </w:r>
      <w:r>
        <w:rPr>
          <w:color w:val="231F20"/>
          <w:w w:val="105"/>
          <w:sz w:val="17"/>
        </w:rPr>
        <w:t> which</w:t>
      </w:r>
      <w:r>
        <w:rPr>
          <w:color w:val="231F20"/>
          <w:w w:val="105"/>
          <w:sz w:val="17"/>
        </w:rPr>
        <w:t> is overpacked, placed in a unit load or used as an inner packaging in a large packaging shall be oriented in accordance with such marks.</w:t>
      </w:r>
    </w:p>
    <w:p>
      <w:pPr>
        <w:pStyle w:val="ListParagraph"/>
        <w:spacing w:after="0" w:line="256" w:lineRule="auto"/>
        <w:jc w:val="both"/>
        <w:rPr>
          <w:sz w:val="17"/>
        </w:rPr>
        <w:sectPr>
          <w:headerReference w:type="even" r:id="rId5"/>
          <w:headerReference w:type="default" r:id="rId6"/>
          <w:footerReference w:type="even" r:id="rId7"/>
          <w:footerReference w:type="default" r:id="rId8"/>
          <w:type w:val="continuous"/>
          <w:pgSz w:w="11910" w:h="16840"/>
          <w:pgMar w:header="303" w:footer="570" w:top="1540" w:bottom="760" w:left="0" w:right="0"/>
          <w:pgNumType w:start="280"/>
        </w:sectPr>
      </w:pPr>
    </w:p>
    <w:p>
      <w:pPr>
        <w:pStyle w:val="Heading1"/>
        <w:numPr>
          <w:ilvl w:val="2"/>
          <w:numId w:val="1"/>
        </w:numPr>
        <w:tabs>
          <w:tab w:pos="1927" w:val="left" w:leader="none"/>
        </w:tabs>
        <w:spacing w:line="240" w:lineRule="auto" w:before="94" w:after="0"/>
        <w:ind w:left="1927" w:right="0" w:hanging="1080"/>
        <w:jc w:val="left"/>
      </w:pPr>
      <w:r>
        <w:rPr>
          <w:color w:val="231F20"/>
          <w:w w:val="105"/>
        </w:rPr>
        <w:t>Empty</w:t>
      </w:r>
      <w:r>
        <w:rPr>
          <w:color w:val="231F20"/>
          <w:spacing w:val="-7"/>
          <w:w w:val="105"/>
        </w:rPr>
        <w:t> </w:t>
      </w:r>
      <w:r>
        <w:rPr>
          <w:color w:val="231F20"/>
          <w:w w:val="105"/>
        </w:rPr>
        <w:t>uncleaned</w:t>
      </w:r>
      <w:r>
        <w:rPr>
          <w:color w:val="231F20"/>
          <w:spacing w:val="-6"/>
          <w:w w:val="105"/>
        </w:rPr>
        <w:t> </w:t>
      </w:r>
      <w:r>
        <w:rPr>
          <w:color w:val="231F20"/>
          <w:w w:val="105"/>
        </w:rPr>
        <w:t>packagings</w:t>
      </w:r>
      <w:r>
        <w:rPr>
          <w:color w:val="231F20"/>
          <w:spacing w:val="-7"/>
          <w:w w:val="105"/>
        </w:rPr>
        <w:t> </w:t>
      </w:r>
      <w:r>
        <w:rPr>
          <w:color w:val="231F20"/>
          <w:w w:val="105"/>
        </w:rPr>
        <w:t>or</w:t>
      </w:r>
      <w:r>
        <w:rPr>
          <w:color w:val="231F20"/>
          <w:spacing w:val="-6"/>
          <w:w w:val="105"/>
        </w:rPr>
        <w:t> </w:t>
      </w:r>
      <w:r>
        <w:rPr>
          <w:color w:val="231F20"/>
          <w:spacing w:val="-2"/>
          <w:w w:val="105"/>
        </w:rPr>
        <w:t>units</w:t>
      </w:r>
    </w:p>
    <w:p>
      <w:pPr>
        <w:pStyle w:val="ListParagraph"/>
        <w:numPr>
          <w:ilvl w:val="3"/>
          <w:numId w:val="1"/>
        </w:numPr>
        <w:tabs>
          <w:tab w:pos="1927" w:val="left" w:leader="none"/>
        </w:tabs>
        <w:spacing w:line="256" w:lineRule="auto" w:before="152" w:after="0"/>
        <w:ind w:left="1927" w:right="1418" w:hanging="1080"/>
        <w:jc w:val="both"/>
        <w:rPr>
          <w:color w:val="231F20"/>
          <w:sz w:val="17"/>
        </w:rPr>
      </w:pPr>
      <w:r>
        <w:rPr>
          <w:color w:val="231F20"/>
          <w:w w:val="105"/>
          <w:sz w:val="17"/>
        </w:rPr>
        <w:t>Other</w:t>
      </w:r>
      <w:r>
        <w:rPr>
          <w:color w:val="231F20"/>
          <w:spacing w:val="18"/>
          <w:w w:val="105"/>
          <w:sz w:val="17"/>
        </w:rPr>
        <w:t> </w:t>
      </w:r>
      <w:r>
        <w:rPr>
          <w:color w:val="231F20"/>
          <w:w w:val="105"/>
          <w:sz w:val="17"/>
        </w:rPr>
        <w:t>than</w:t>
      </w:r>
      <w:r>
        <w:rPr>
          <w:color w:val="231F20"/>
          <w:spacing w:val="18"/>
          <w:w w:val="105"/>
          <w:sz w:val="17"/>
        </w:rPr>
        <w:t> </w:t>
      </w:r>
      <w:r>
        <w:rPr>
          <w:color w:val="231F20"/>
          <w:w w:val="105"/>
          <w:sz w:val="17"/>
        </w:rPr>
        <w:t>for</w:t>
      </w:r>
      <w:r>
        <w:rPr>
          <w:color w:val="231F20"/>
          <w:spacing w:val="18"/>
          <w:w w:val="105"/>
          <w:sz w:val="17"/>
        </w:rPr>
        <w:t> </w:t>
      </w:r>
      <w:r>
        <w:rPr>
          <w:color w:val="231F20"/>
          <w:w w:val="105"/>
          <w:sz w:val="17"/>
        </w:rPr>
        <w:t>class</w:t>
      </w:r>
      <w:r>
        <w:rPr>
          <w:color w:val="231F20"/>
          <w:spacing w:val="18"/>
          <w:w w:val="105"/>
          <w:sz w:val="17"/>
        </w:rPr>
        <w:t> </w:t>
      </w:r>
      <w:r>
        <w:rPr>
          <w:color w:val="231F20"/>
          <w:w w:val="105"/>
          <w:sz w:val="17"/>
        </w:rPr>
        <w:t>7,</w:t>
      </w:r>
      <w:r>
        <w:rPr>
          <w:color w:val="231F20"/>
          <w:spacing w:val="18"/>
          <w:w w:val="105"/>
          <w:sz w:val="17"/>
        </w:rPr>
        <w:t> </w:t>
      </w:r>
      <w:r>
        <w:rPr>
          <w:color w:val="231F20"/>
          <w:w w:val="105"/>
          <w:sz w:val="17"/>
        </w:rPr>
        <w:t>a</w:t>
      </w:r>
      <w:r>
        <w:rPr>
          <w:color w:val="231F20"/>
          <w:spacing w:val="18"/>
          <w:w w:val="105"/>
          <w:sz w:val="17"/>
        </w:rPr>
        <w:t> </w:t>
      </w:r>
      <w:r>
        <w:rPr>
          <w:color w:val="231F20"/>
          <w:w w:val="105"/>
          <w:sz w:val="17"/>
        </w:rPr>
        <w:t>packaging,</w:t>
      </w:r>
      <w:r>
        <w:rPr>
          <w:color w:val="231F20"/>
          <w:spacing w:val="18"/>
          <w:w w:val="105"/>
          <w:sz w:val="17"/>
        </w:rPr>
        <w:t> </w:t>
      </w:r>
      <w:r>
        <w:rPr>
          <w:color w:val="231F20"/>
          <w:w w:val="105"/>
          <w:sz w:val="17"/>
        </w:rPr>
        <w:t>including</w:t>
      </w:r>
      <w:r>
        <w:rPr>
          <w:color w:val="231F20"/>
          <w:spacing w:val="18"/>
          <w:w w:val="105"/>
          <w:sz w:val="17"/>
        </w:rPr>
        <w:t> </w:t>
      </w:r>
      <w:r>
        <w:rPr>
          <w:color w:val="231F20"/>
          <w:w w:val="105"/>
          <w:sz w:val="17"/>
        </w:rPr>
        <w:t>an</w:t>
      </w:r>
      <w:r>
        <w:rPr>
          <w:color w:val="231F20"/>
          <w:spacing w:val="18"/>
          <w:w w:val="105"/>
          <w:sz w:val="17"/>
        </w:rPr>
        <w:t> </w:t>
      </w:r>
      <w:r>
        <w:rPr>
          <w:color w:val="231F20"/>
          <w:w w:val="105"/>
          <w:sz w:val="17"/>
        </w:rPr>
        <w:t>IBC,</w:t>
      </w:r>
      <w:r>
        <w:rPr>
          <w:color w:val="231F20"/>
          <w:spacing w:val="18"/>
          <w:w w:val="105"/>
          <w:sz w:val="17"/>
        </w:rPr>
        <w:t> </w:t>
      </w:r>
      <w:r>
        <w:rPr>
          <w:color w:val="231F20"/>
          <w:w w:val="105"/>
          <w:sz w:val="17"/>
        </w:rPr>
        <w:t>which</w:t>
      </w:r>
      <w:r>
        <w:rPr>
          <w:color w:val="231F20"/>
          <w:spacing w:val="18"/>
          <w:w w:val="105"/>
          <w:sz w:val="17"/>
        </w:rPr>
        <w:t> </w:t>
      </w:r>
      <w:r>
        <w:rPr>
          <w:color w:val="231F20"/>
          <w:w w:val="105"/>
          <w:sz w:val="17"/>
        </w:rPr>
        <w:t>previously</w:t>
      </w:r>
      <w:r>
        <w:rPr>
          <w:color w:val="231F20"/>
          <w:spacing w:val="18"/>
          <w:w w:val="105"/>
          <w:sz w:val="17"/>
        </w:rPr>
        <w:t> </w:t>
      </w:r>
      <w:r>
        <w:rPr>
          <w:color w:val="231F20"/>
          <w:w w:val="105"/>
          <w:sz w:val="17"/>
        </w:rPr>
        <w:t>contained</w:t>
      </w:r>
      <w:r>
        <w:rPr>
          <w:color w:val="231F20"/>
          <w:spacing w:val="18"/>
          <w:w w:val="105"/>
          <w:sz w:val="17"/>
        </w:rPr>
        <w:t> </w:t>
      </w:r>
      <w:r>
        <w:rPr>
          <w:color w:val="231F20"/>
          <w:w w:val="105"/>
          <w:sz w:val="17"/>
        </w:rPr>
        <w:t>dangerous</w:t>
      </w:r>
      <w:r>
        <w:rPr>
          <w:color w:val="231F20"/>
          <w:spacing w:val="18"/>
          <w:w w:val="105"/>
          <w:sz w:val="17"/>
        </w:rPr>
        <w:t> </w:t>
      </w:r>
      <w:r>
        <w:rPr>
          <w:color w:val="231F20"/>
          <w:w w:val="105"/>
          <w:sz w:val="17"/>
        </w:rPr>
        <w:t>goods</w:t>
      </w:r>
      <w:r>
        <w:rPr>
          <w:color w:val="231F20"/>
          <w:spacing w:val="18"/>
          <w:w w:val="105"/>
          <w:sz w:val="17"/>
        </w:rPr>
        <w:t> </w:t>
      </w:r>
      <w:r>
        <w:rPr>
          <w:color w:val="231F20"/>
          <w:w w:val="105"/>
          <w:sz w:val="17"/>
        </w:rPr>
        <w:t>shall be identified, marked, labelled and placarded as required for those dangerous goods unless steps such as cleaning, purging of vapours or refilling with a non-dangerous substance are taken to nullify any hazard.</w:t>
      </w:r>
    </w:p>
    <w:p>
      <w:pPr>
        <w:pStyle w:val="ListParagraph"/>
        <w:numPr>
          <w:ilvl w:val="3"/>
          <w:numId w:val="1"/>
        </w:numPr>
        <w:tabs>
          <w:tab w:pos="1927" w:val="left" w:leader="none"/>
        </w:tabs>
        <w:spacing w:line="256" w:lineRule="auto" w:before="151" w:after="0"/>
        <w:ind w:left="1927" w:right="1417" w:hanging="1081"/>
        <w:jc w:val="both"/>
        <w:rPr>
          <w:color w:val="231F20"/>
          <w:sz w:val="17"/>
        </w:rPr>
      </w:pPr>
      <w:r>
        <w:rPr>
          <w:color w:val="231F20"/>
          <w:w w:val="105"/>
          <w:sz w:val="17"/>
        </w:rPr>
        <w:t>Freight</w:t>
      </w:r>
      <w:r>
        <w:rPr>
          <w:color w:val="231F20"/>
          <w:w w:val="105"/>
          <w:sz w:val="17"/>
        </w:rPr>
        <w:t> containers,</w:t>
      </w:r>
      <w:r>
        <w:rPr>
          <w:color w:val="231F20"/>
          <w:w w:val="105"/>
          <w:sz w:val="17"/>
        </w:rPr>
        <w:t> tanks,</w:t>
      </w:r>
      <w:r>
        <w:rPr>
          <w:color w:val="231F20"/>
          <w:w w:val="105"/>
          <w:sz w:val="17"/>
        </w:rPr>
        <w:t> IBCs,</w:t>
      </w:r>
      <w:r>
        <w:rPr>
          <w:color w:val="231F20"/>
          <w:w w:val="105"/>
          <w:sz w:val="17"/>
        </w:rPr>
        <w:t> as</w:t>
      </w:r>
      <w:r>
        <w:rPr>
          <w:color w:val="231F20"/>
          <w:w w:val="105"/>
          <w:sz w:val="17"/>
        </w:rPr>
        <w:t> well</w:t>
      </w:r>
      <w:r>
        <w:rPr>
          <w:color w:val="231F20"/>
          <w:w w:val="105"/>
          <w:sz w:val="17"/>
        </w:rPr>
        <w:t> as</w:t>
      </w:r>
      <w:r>
        <w:rPr>
          <w:color w:val="231F20"/>
          <w:w w:val="105"/>
          <w:sz w:val="17"/>
        </w:rPr>
        <w:t> other</w:t>
      </w:r>
      <w:r>
        <w:rPr>
          <w:color w:val="231F20"/>
          <w:w w:val="105"/>
          <w:sz w:val="17"/>
        </w:rPr>
        <w:t> packagings</w:t>
      </w:r>
      <w:r>
        <w:rPr>
          <w:color w:val="231F20"/>
          <w:w w:val="105"/>
          <w:sz w:val="17"/>
        </w:rPr>
        <w:t> and</w:t>
      </w:r>
      <w:r>
        <w:rPr>
          <w:color w:val="231F20"/>
          <w:w w:val="105"/>
          <w:sz w:val="17"/>
        </w:rPr>
        <w:t> overpacks,</w:t>
      </w:r>
      <w:r>
        <w:rPr>
          <w:color w:val="231F20"/>
          <w:w w:val="105"/>
          <w:sz w:val="17"/>
        </w:rPr>
        <w:t> used</w:t>
      </w:r>
      <w:r>
        <w:rPr>
          <w:color w:val="231F20"/>
          <w:w w:val="105"/>
          <w:sz w:val="17"/>
        </w:rPr>
        <w:t> for</w:t>
      </w:r>
      <w:r>
        <w:rPr>
          <w:color w:val="231F20"/>
          <w:w w:val="105"/>
          <w:sz w:val="17"/>
        </w:rPr>
        <w:t> the</w:t>
      </w:r>
      <w:r>
        <w:rPr>
          <w:color w:val="231F20"/>
          <w:w w:val="105"/>
          <w:sz w:val="17"/>
        </w:rPr>
        <w:t> transport</w:t>
      </w:r>
      <w:r>
        <w:rPr>
          <w:color w:val="231F20"/>
          <w:w w:val="105"/>
          <w:sz w:val="17"/>
        </w:rPr>
        <w:t> of radioactive</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not</w:t>
      </w:r>
      <w:r>
        <w:rPr>
          <w:color w:val="231F20"/>
          <w:spacing w:val="-3"/>
          <w:w w:val="105"/>
          <w:sz w:val="17"/>
        </w:rPr>
        <w:t> </w:t>
      </w:r>
      <w:r>
        <w:rPr>
          <w:color w:val="231F20"/>
          <w:w w:val="105"/>
          <w:sz w:val="17"/>
        </w:rPr>
        <w:t>be</w:t>
      </w:r>
      <w:r>
        <w:rPr>
          <w:color w:val="231F20"/>
          <w:spacing w:val="-3"/>
          <w:w w:val="105"/>
          <w:sz w:val="17"/>
        </w:rPr>
        <w:t> </w:t>
      </w:r>
      <w:r>
        <w:rPr>
          <w:color w:val="231F20"/>
          <w:w w:val="105"/>
          <w:sz w:val="17"/>
        </w:rPr>
        <w:t>used</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of</w:t>
      </w:r>
      <w:r>
        <w:rPr>
          <w:color w:val="231F20"/>
          <w:spacing w:val="-3"/>
          <w:w w:val="105"/>
          <w:sz w:val="17"/>
        </w:rPr>
        <w:t> </w:t>
      </w:r>
      <w:r>
        <w:rPr>
          <w:color w:val="231F20"/>
          <w:w w:val="105"/>
          <w:sz w:val="17"/>
        </w:rPr>
        <w:t>other</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unless</w:t>
      </w:r>
      <w:r>
        <w:rPr>
          <w:color w:val="231F20"/>
          <w:spacing w:val="-3"/>
          <w:w w:val="105"/>
          <w:sz w:val="17"/>
        </w:rPr>
        <w:t> </w:t>
      </w:r>
      <w:r>
        <w:rPr>
          <w:color w:val="231F20"/>
          <w:w w:val="105"/>
          <w:sz w:val="17"/>
        </w:rPr>
        <w:t>decontaminated</w:t>
      </w:r>
      <w:r>
        <w:rPr>
          <w:color w:val="231F20"/>
          <w:spacing w:val="-3"/>
          <w:w w:val="105"/>
          <w:sz w:val="17"/>
        </w:rPr>
        <w:t> </w:t>
      </w:r>
      <w:r>
        <w:rPr>
          <w:color w:val="231F20"/>
          <w:w w:val="105"/>
          <w:sz w:val="17"/>
        </w:rPr>
        <w:t>below</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level of 0.4 Bq/cm</w:t>
      </w:r>
      <w:r>
        <w:rPr>
          <w:color w:val="231F20"/>
          <w:w w:val="105"/>
          <w:sz w:val="17"/>
          <w:vertAlign w:val="superscript"/>
        </w:rPr>
        <w:t>2</w:t>
      </w:r>
      <w:r>
        <w:rPr>
          <w:color w:val="231F20"/>
          <w:w w:val="105"/>
          <w:sz w:val="17"/>
          <w:vertAlign w:val="baseline"/>
        </w:rPr>
        <w:t> for beta and gamma emitters and low-toxicity alpha emitters and 0.04 Bq/cm</w:t>
      </w:r>
      <w:r>
        <w:rPr>
          <w:color w:val="231F20"/>
          <w:w w:val="105"/>
          <w:sz w:val="17"/>
          <w:vertAlign w:val="superscript"/>
        </w:rPr>
        <w:t>2</w:t>
      </w:r>
      <w:r>
        <w:rPr>
          <w:color w:val="231F20"/>
          <w:w w:val="105"/>
          <w:sz w:val="17"/>
          <w:vertAlign w:val="baseline"/>
        </w:rPr>
        <w:t> for all other alpha emitters.</w:t>
      </w:r>
    </w:p>
    <w:p>
      <w:pPr>
        <w:pStyle w:val="ListParagraph"/>
        <w:numPr>
          <w:ilvl w:val="3"/>
          <w:numId w:val="1"/>
        </w:numPr>
        <w:tabs>
          <w:tab w:pos="1927" w:val="left" w:leader="none"/>
        </w:tabs>
        <w:spacing w:line="256" w:lineRule="auto" w:before="152" w:after="0"/>
        <w:ind w:left="1927" w:right="1417" w:hanging="1080"/>
        <w:jc w:val="both"/>
        <w:rPr>
          <w:color w:val="231F20"/>
          <w:sz w:val="17"/>
        </w:rPr>
      </w:pPr>
      <w:r>
        <w:rPr>
          <w:color w:val="231F20"/>
          <w:w w:val="105"/>
          <w:sz w:val="17"/>
        </w:rPr>
        <w:t>Empty cargo transport units still containing residues of dangerous goods, or loaded with empty uncleaned packages or empty uncleaned bulk containers, shall comply with the provisions applicable to the goods last contained in the unit, packagings or bulk container.</w:t>
      </w:r>
    </w:p>
    <w:p>
      <w:pPr>
        <w:pStyle w:val="BodyText"/>
        <w:spacing w:before="179"/>
      </w:pPr>
    </w:p>
    <w:p>
      <w:pPr>
        <w:pStyle w:val="Heading1"/>
        <w:numPr>
          <w:ilvl w:val="2"/>
          <w:numId w:val="1"/>
        </w:numPr>
        <w:tabs>
          <w:tab w:pos="1927" w:val="left" w:leader="none"/>
        </w:tabs>
        <w:spacing w:line="240" w:lineRule="auto" w:before="0" w:after="0"/>
        <w:ind w:left="1927" w:right="0" w:hanging="1080"/>
        <w:jc w:val="left"/>
      </w:pPr>
      <w:r>
        <w:rPr>
          <w:color w:val="231F20"/>
          <w:w w:val="105"/>
        </w:rPr>
        <w:t>Mixed</w:t>
      </w:r>
      <w:r>
        <w:rPr>
          <w:color w:val="231F20"/>
          <w:spacing w:val="-2"/>
          <w:w w:val="105"/>
        </w:rPr>
        <w:t> packing</w:t>
      </w:r>
    </w:p>
    <w:p>
      <w:pPr>
        <w:pStyle w:val="BodyText"/>
        <w:spacing w:line="256" w:lineRule="auto" w:before="153"/>
        <w:ind w:left="1927" w:right="1419"/>
        <w:jc w:val="both"/>
      </w:pPr>
      <w:r>
        <w:rPr>
          <w:color w:val="231F20"/>
          <w:w w:val="105"/>
        </w:rPr>
        <w:t>When two or more dangerous goods are packed within the same outer packaging, the package shall be labelled and marked as required for each substance. Subsidiary hazard labels need not be applied if the hazard is already represented by a primary hazard label.</w:t>
      </w:r>
    </w:p>
    <w:p>
      <w:pPr>
        <w:pStyle w:val="BodyText"/>
        <w:spacing w:before="178"/>
      </w:pPr>
    </w:p>
    <w:p>
      <w:pPr>
        <w:pStyle w:val="Heading1"/>
        <w:numPr>
          <w:ilvl w:val="2"/>
          <w:numId w:val="1"/>
        </w:numPr>
        <w:tabs>
          <w:tab w:pos="1927" w:val="left" w:leader="none"/>
        </w:tabs>
        <w:spacing w:line="240" w:lineRule="auto" w:before="0" w:after="0"/>
        <w:ind w:left="1927" w:right="0" w:hanging="1080"/>
        <w:jc w:val="left"/>
      </w:pPr>
      <w:r>
        <w:rPr>
          <w:color w:val="231F20"/>
          <w:w w:val="105"/>
        </w:rPr>
        <w:t>General</w:t>
      </w:r>
      <w:r>
        <w:rPr>
          <w:color w:val="231F20"/>
          <w:spacing w:val="-9"/>
          <w:w w:val="105"/>
        </w:rPr>
        <w:t> </w:t>
      </w:r>
      <w:r>
        <w:rPr>
          <w:color w:val="231F20"/>
          <w:w w:val="105"/>
        </w:rPr>
        <w:t>provisions</w:t>
      </w:r>
      <w:r>
        <w:rPr>
          <w:color w:val="231F20"/>
          <w:spacing w:val="-9"/>
          <w:w w:val="105"/>
        </w:rPr>
        <w:t> </w:t>
      </w:r>
      <w:r>
        <w:rPr>
          <w:color w:val="231F20"/>
          <w:w w:val="105"/>
        </w:rPr>
        <w:t>for</w:t>
      </w:r>
      <w:r>
        <w:rPr>
          <w:color w:val="231F20"/>
          <w:spacing w:val="-8"/>
          <w:w w:val="105"/>
        </w:rPr>
        <w:t> </w:t>
      </w:r>
      <w:r>
        <w:rPr>
          <w:color w:val="231F20"/>
          <w:w w:val="105"/>
        </w:rPr>
        <w:t>class</w:t>
      </w:r>
      <w:r>
        <w:rPr>
          <w:color w:val="231F20"/>
          <w:spacing w:val="-9"/>
          <w:w w:val="105"/>
        </w:rPr>
        <w:t> </w:t>
      </w:r>
      <w:r>
        <w:rPr>
          <w:color w:val="231F20"/>
          <w:spacing w:val="-10"/>
          <w:w w:val="105"/>
        </w:rPr>
        <w:t>7</w:t>
      </w:r>
    </w:p>
    <w:p>
      <w:pPr>
        <w:pStyle w:val="Heading2"/>
        <w:numPr>
          <w:ilvl w:val="3"/>
          <w:numId w:val="1"/>
        </w:numPr>
        <w:tabs>
          <w:tab w:pos="1927" w:val="left" w:leader="none"/>
        </w:tabs>
        <w:spacing w:line="240" w:lineRule="auto" w:before="184" w:after="0"/>
        <w:ind w:left="1927" w:right="0" w:hanging="1080"/>
        <w:jc w:val="left"/>
        <w:rPr>
          <w:color w:val="231F20"/>
        </w:rPr>
      </w:pPr>
      <w:r>
        <w:rPr>
          <w:color w:val="231F20"/>
          <w:w w:val="105"/>
        </w:rPr>
        <w:t>Approval</w:t>
      </w:r>
      <w:r>
        <w:rPr>
          <w:color w:val="231F20"/>
          <w:spacing w:val="2"/>
          <w:w w:val="105"/>
        </w:rPr>
        <w:t> </w:t>
      </w:r>
      <w:r>
        <w:rPr>
          <w:color w:val="231F20"/>
          <w:w w:val="105"/>
        </w:rPr>
        <w:t>of</w:t>
      </w:r>
      <w:r>
        <w:rPr>
          <w:color w:val="231F20"/>
          <w:spacing w:val="3"/>
          <w:w w:val="105"/>
        </w:rPr>
        <w:t> </w:t>
      </w:r>
      <w:r>
        <w:rPr>
          <w:color w:val="231F20"/>
          <w:w w:val="105"/>
        </w:rPr>
        <w:t>shipments</w:t>
      </w:r>
      <w:r>
        <w:rPr>
          <w:color w:val="231F20"/>
          <w:spacing w:val="3"/>
          <w:w w:val="105"/>
        </w:rPr>
        <w:t> </w:t>
      </w:r>
      <w:r>
        <w:rPr>
          <w:color w:val="231F20"/>
          <w:w w:val="105"/>
        </w:rPr>
        <w:t>and</w:t>
      </w:r>
      <w:r>
        <w:rPr>
          <w:color w:val="231F20"/>
          <w:spacing w:val="3"/>
          <w:w w:val="105"/>
        </w:rPr>
        <w:t> </w:t>
      </w:r>
      <w:r>
        <w:rPr>
          <w:color w:val="231F20"/>
          <w:spacing w:val="-2"/>
          <w:w w:val="105"/>
        </w:rPr>
        <w:t>notification</w:t>
      </w:r>
    </w:p>
    <w:p>
      <w:pPr>
        <w:pStyle w:val="BodyText"/>
        <w:spacing w:before="4"/>
        <w:rPr>
          <w:sz w:val="18"/>
        </w:rPr>
      </w:pPr>
    </w:p>
    <w:p>
      <w:pPr>
        <w:pStyle w:val="Heading3"/>
        <w:numPr>
          <w:ilvl w:val="4"/>
          <w:numId w:val="1"/>
        </w:numPr>
        <w:tabs>
          <w:tab w:pos="1927" w:val="left" w:leader="none"/>
        </w:tabs>
        <w:spacing w:line="240" w:lineRule="auto" w:before="0" w:after="0"/>
        <w:ind w:left="1927" w:right="0" w:hanging="1080"/>
        <w:jc w:val="left"/>
        <w:rPr>
          <w:rFonts w:ascii="Arial MT"/>
          <w:i w:val="0"/>
          <w:color w:val="231F20"/>
        </w:rPr>
      </w:pPr>
      <w:r>
        <w:rPr>
          <w:color w:val="231F20"/>
          <w:spacing w:val="-2"/>
        </w:rPr>
        <w:t>General</w:t>
      </w:r>
    </w:p>
    <w:p>
      <w:pPr>
        <w:pStyle w:val="BodyText"/>
        <w:spacing w:line="256" w:lineRule="auto" w:before="161"/>
        <w:ind w:left="1927" w:right="1418"/>
        <w:jc w:val="both"/>
      </w:pPr>
      <w:r>
        <w:rPr>
          <w:color w:val="231F20"/>
          <w:w w:val="105"/>
        </w:rPr>
        <w:t>In</w:t>
      </w:r>
      <w:r>
        <w:rPr>
          <w:color w:val="231F20"/>
          <w:spacing w:val="-7"/>
          <w:w w:val="105"/>
        </w:rPr>
        <w:t> </w:t>
      </w:r>
      <w:r>
        <w:rPr>
          <w:color w:val="231F20"/>
          <w:w w:val="105"/>
        </w:rPr>
        <w:t>addition</w:t>
      </w:r>
      <w:r>
        <w:rPr>
          <w:color w:val="231F20"/>
          <w:spacing w:val="-7"/>
          <w:w w:val="105"/>
        </w:rPr>
        <w:t> </w:t>
      </w:r>
      <w:r>
        <w:rPr>
          <w:color w:val="231F20"/>
          <w:w w:val="105"/>
        </w:rPr>
        <w:t>to</w:t>
      </w:r>
      <w:r>
        <w:rPr>
          <w:color w:val="231F20"/>
          <w:spacing w:val="-7"/>
          <w:w w:val="105"/>
        </w:rPr>
        <w:t> </w:t>
      </w:r>
      <w:r>
        <w:rPr>
          <w:color w:val="231F20"/>
          <w:w w:val="105"/>
        </w:rPr>
        <w:t>the</w:t>
      </w:r>
      <w:r>
        <w:rPr>
          <w:color w:val="231F20"/>
          <w:spacing w:val="-7"/>
          <w:w w:val="105"/>
        </w:rPr>
        <w:t> </w:t>
      </w:r>
      <w:r>
        <w:rPr>
          <w:color w:val="231F20"/>
          <w:w w:val="105"/>
        </w:rPr>
        <w:t>approval</w:t>
      </w:r>
      <w:r>
        <w:rPr>
          <w:color w:val="231F20"/>
          <w:spacing w:val="-7"/>
          <w:w w:val="105"/>
        </w:rPr>
        <w:t> </w:t>
      </w:r>
      <w:r>
        <w:rPr>
          <w:color w:val="231F20"/>
          <w:w w:val="105"/>
        </w:rPr>
        <w:t>of</w:t>
      </w:r>
      <w:r>
        <w:rPr>
          <w:color w:val="231F20"/>
          <w:spacing w:val="-7"/>
          <w:w w:val="105"/>
        </w:rPr>
        <w:t> </w:t>
      </w:r>
      <w:r>
        <w:rPr>
          <w:color w:val="231F20"/>
          <w:w w:val="105"/>
        </w:rPr>
        <w:t>package</w:t>
      </w:r>
      <w:r>
        <w:rPr>
          <w:color w:val="231F20"/>
          <w:spacing w:val="-7"/>
          <w:w w:val="105"/>
        </w:rPr>
        <w:t> </w:t>
      </w:r>
      <w:r>
        <w:rPr>
          <w:color w:val="231F20"/>
          <w:w w:val="105"/>
        </w:rPr>
        <w:t>designs</w:t>
      </w:r>
      <w:r>
        <w:rPr>
          <w:color w:val="231F20"/>
          <w:spacing w:val="-7"/>
          <w:w w:val="105"/>
        </w:rPr>
        <w:t> </w:t>
      </w:r>
      <w:r>
        <w:rPr>
          <w:color w:val="231F20"/>
          <w:w w:val="105"/>
        </w:rPr>
        <w:t>described</w:t>
      </w:r>
      <w:r>
        <w:rPr>
          <w:color w:val="231F20"/>
          <w:spacing w:val="-7"/>
          <w:w w:val="105"/>
        </w:rPr>
        <w:t> </w:t>
      </w:r>
      <w:r>
        <w:rPr>
          <w:color w:val="231F20"/>
          <w:w w:val="105"/>
        </w:rPr>
        <w:t>in</w:t>
      </w:r>
      <w:r>
        <w:rPr>
          <w:color w:val="231F20"/>
          <w:spacing w:val="-7"/>
          <w:w w:val="105"/>
        </w:rPr>
        <w:t> </w:t>
      </w:r>
      <w:r>
        <w:rPr>
          <w:color w:val="231F20"/>
          <w:w w:val="105"/>
        </w:rPr>
        <w:t>chapter</w:t>
      </w:r>
      <w:r>
        <w:rPr>
          <w:color w:val="231F20"/>
          <w:spacing w:val="-7"/>
          <w:w w:val="105"/>
        </w:rPr>
        <w:t> </w:t>
      </w:r>
      <w:r>
        <w:rPr>
          <w:color w:val="231F20"/>
          <w:w w:val="105"/>
        </w:rPr>
        <w:t>6.4,</w:t>
      </w:r>
      <w:r>
        <w:rPr>
          <w:color w:val="231F20"/>
          <w:spacing w:val="-7"/>
          <w:w w:val="105"/>
        </w:rPr>
        <w:t> </w:t>
      </w:r>
      <w:r>
        <w:rPr>
          <w:color w:val="231F20"/>
          <w:w w:val="105"/>
        </w:rPr>
        <w:t>multilateral</w:t>
      </w:r>
      <w:r>
        <w:rPr>
          <w:color w:val="231F20"/>
          <w:spacing w:val="-7"/>
          <w:w w:val="105"/>
        </w:rPr>
        <w:t> </w:t>
      </w:r>
      <w:r>
        <w:rPr>
          <w:color w:val="231F20"/>
          <w:w w:val="105"/>
        </w:rPr>
        <w:t>shipment</w:t>
      </w:r>
      <w:r>
        <w:rPr>
          <w:color w:val="231F20"/>
          <w:spacing w:val="-7"/>
          <w:w w:val="105"/>
        </w:rPr>
        <w:t> </w:t>
      </w:r>
      <w:r>
        <w:rPr>
          <w:color w:val="231F20"/>
          <w:w w:val="105"/>
        </w:rPr>
        <w:t>approval</w:t>
      </w:r>
      <w:r>
        <w:rPr>
          <w:color w:val="231F20"/>
          <w:spacing w:val="-7"/>
          <w:w w:val="105"/>
        </w:rPr>
        <w:t> </w:t>
      </w:r>
      <w:r>
        <w:rPr>
          <w:color w:val="231F20"/>
          <w:w w:val="105"/>
        </w:rPr>
        <w:t>is</w:t>
      </w:r>
      <w:r>
        <w:rPr>
          <w:color w:val="231F20"/>
          <w:spacing w:val="-7"/>
          <w:w w:val="105"/>
        </w:rPr>
        <w:t> </w:t>
      </w:r>
      <w:r>
        <w:rPr>
          <w:color w:val="231F20"/>
          <w:w w:val="105"/>
        </w:rPr>
        <w:t>also required</w:t>
      </w:r>
      <w:r>
        <w:rPr>
          <w:color w:val="231F20"/>
          <w:spacing w:val="-13"/>
          <w:w w:val="105"/>
        </w:rPr>
        <w:t> </w:t>
      </w:r>
      <w:r>
        <w:rPr>
          <w:color w:val="231F20"/>
          <w:w w:val="105"/>
        </w:rPr>
        <w:t>in</w:t>
      </w:r>
      <w:r>
        <w:rPr>
          <w:color w:val="231F20"/>
          <w:spacing w:val="-12"/>
          <w:w w:val="105"/>
        </w:rPr>
        <w:t> </w:t>
      </w:r>
      <w:r>
        <w:rPr>
          <w:color w:val="231F20"/>
          <w:w w:val="105"/>
        </w:rPr>
        <w:t>certain</w:t>
      </w:r>
      <w:r>
        <w:rPr>
          <w:color w:val="231F20"/>
          <w:spacing w:val="-13"/>
          <w:w w:val="105"/>
        </w:rPr>
        <w:t> </w:t>
      </w:r>
      <w:r>
        <w:rPr>
          <w:color w:val="231F20"/>
          <w:w w:val="105"/>
        </w:rPr>
        <w:t>circumstances</w:t>
      </w:r>
      <w:r>
        <w:rPr>
          <w:color w:val="231F20"/>
          <w:spacing w:val="-12"/>
          <w:w w:val="105"/>
        </w:rPr>
        <w:t> </w:t>
      </w:r>
      <w:r>
        <w:rPr>
          <w:color w:val="231F20"/>
          <w:w w:val="105"/>
        </w:rPr>
        <w:t>(5.1.5.1.2</w:t>
      </w:r>
      <w:r>
        <w:rPr>
          <w:color w:val="231F20"/>
          <w:spacing w:val="-12"/>
          <w:w w:val="105"/>
        </w:rPr>
        <w:t> </w:t>
      </w:r>
      <w:r>
        <w:rPr>
          <w:color w:val="231F20"/>
          <w:w w:val="105"/>
        </w:rPr>
        <w:t>and</w:t>
      </w:r>
      <w:r>
        <w:rPr>
          <w:color w:val="231F20"/>
          <w:spacing w:val="-13"/>
          <w:w w:val="105"/>
        </w:rPr>
        <w:t> </w:t>
      </w:r>
      <w:r>
        <w:rPr>
          <w:color w:val="231F20"/>
          <w:w w:val="105"/>
        </w:rPr>
        <w:t>5.1.5.1.3).</w:t>
      </w:r>
      <w:r>
        <w:rPr>
          <w:color w:val="231F20"/>
          <w:spacing w:val="-12"/>
          <w:w w:val="105"/>
        </w:rPr>
        <w:t> </w:t>
      </w:r>
      <w:r>
        <w:rPr>
          <w:color w:val="231F20"/>
          <w:w w:val="105"/>
        </w:rPr>
        <w:t>In</w:t>
      </w:r>
      <w:r>
        <w:rPr>
          <w:color w:val="231F20"/>
          <w:spacing w:val="-13"/>
          <w:w w:val="105"/>
        </w:rPr>
        <w:t> </w:t>
      </w:r>
      <w:r>
        <w:rPr>
          <w:color w:val="231F20"/>
          <w:w w:val="105"/>
        </w:rPr>
        <w:t>some</w:t>
      </w:r>
      <w:r>
        <w:rPr>
          <w:color w:val="231F20"/>
          <w:spacing w:val="-12"/>
          <w:w w:val="105"/>
        </w:rPr>
        <w:t> </w:t>
      </w:r>
      <w:r>
        <w:rPr>
          <w:color w:val="231F20"/>
          <w:w w:val="105"/>
        </w:rPr>
        <w:t>circumstances</w:t>
      </w:r>
      <w:r>
        <w:rPr>
          <w:color w:val="231F20"/>
          <w:spacing w:val="-12"/>
          <w:w w:val="105"/>
        </w:rPr>
        <w:t> </w:t>
      </w:r>
      <w:r>
        <w:rPr>
          <w:color w:val="231F20"/>
          <w:w w:val="105"/>
        </w:rPr>
        <w:t>it</w:t>
      </w:r>
      <w:r>
        <w:rPr>
          <w:color w:val="231F20"/>
          <w:spacing w:val="-13"/>
          <w:w w:val="105"/>
        </w:rPr>
        <w:t> </w:t>
      </w:r>
      <w:r>
        <w:rPr>
          <w:color w:val="231F20"/>
          <w:w w:val="105"/>
        </w:rPr>
        <w:t>is</w:t>
      </w:r>
      <w:r>
        <w:rPr>
          <w:color w:val="231F20"/>
          <w:spacing w:val="-12"/>
          <w:w w:val="105"/>
        </w:rPr>
        <w:t> </w:t>
      </w:r>
      <w:r>
        <w:rPr>
          <w:color w:val="231F20"/>
          <w:w w:val="105"/>
        </w:rPr>
        <w:t>also</w:t>
      </w:r>
      <w:r>
        <w:rPr>
          <w:color w:val="231F20"/>
          <w:spacing w:val="-13"/>
          <w:w w:val="105"/>
        </w:rPr>
        <w:t> </w:t>
      </w:r>
      <w:r>
        <w:rPr>
          <w:color w:val="231F20"/>
          <w:w w:val="105"/>
        </w:rPr>
        <w:t>necessary</w:t>
      </w:r>
      <w:r>
        <w:rPr>
          <w:color w:val="231F20"/>
          <w:spacing w:val="-12"/>
          <w:w w:val="105"/>
        </w:rPr>
        <w:t> </w:t>
      </w:r>
      <w:r>
        <w:rPr>
          <w:color w:val="231F20"/>
          <w:w w:val="105"/>
        </w:rPr>
        <w:t>to</w:t>
      </w:r>
      <w:r>
        <w:rPr>
          <w:color w:val="231F20"/>
          <w:spacing w:val="-12"/>
          <w:w w:val="105"/>
        </w:rPr>
        <w:t> </w:t>
      </w:r>
      <w:r>
        <w:rPr>
          <w:color w:val="231F20"/>
          <w:w w:val="105"/>
        </w:rPr>
        <w:t>notify competent authorities of a shipment (5.1.5.1.4).</w:t>
      </w:r>
    </w:p>
    <w:p>
      <w:pPr>
        <w:pStyle w:val="BodyText"/>
        <w:spacing w:before="26"/>
      </w:pPr>
    </w:p>
    <w:p>
      <w:pPr>
        <w:pStyle w:val="Heading3"/>
        <w:numPr>
          <w:ilvl w:val="4"/>
          <w:numId w:val="1"/>
        </w:numPr>
        <w:tabs>
          <w:tab w:pos="1927" w:val="left" w:leader="none"/>
        </w:tabs>
        <w:spacing w:line="240" w:lineRule="auto" w:before="0" w:after="0"/>
        <w:ind w:left="1927" w:right="0" w:hanging="1080"/>
        <w:jc w:val="left"/>
        <w:rPr>
          <w:rFonts w:ascii="Arial MT"/>
          <w:i w:val="0"/>
          <w:color w:val="231F20"/>
        </w:rPr>
      </w:pPr>
      <w:r>
        <w:rPr>
          <w:color w:val="231F20"/>
          <w:w w:val="105"/>
        </w:rPr>
        <w:t>Shipment</w:t>
      </w:r>
      <w:r>
        <w:rPr>
          <w:color w:val="231F20"/>
          <w:spacing w:val="4"/>
          <w:w w:val="105"/>
        </w:rPr>
        <w:t> </w:t>
      </w:r>
      <w:r>
        <w:rPr>
          <w:color w:val="231F20"/>
          <w:spacing w:val="-2"/>
          <w:w w:val="105"/>
        </w:rPr>
        <w:t>approvals</w:t>
      </w:r>
    </w:p>
    <w:p>
      <w:pPr>
        <w:pStyle w:val="BodyText"/>
        <w:spacing w:before="161"/>
        <w:ind w:left="1927"/>
        <w:jc w:val="both"/>
      </w:pPr>
      <w:r>
        <w:rPr>
          <w:color w:val="231F20"/>
          <w:w w:val="105"/>
        </w:rPr>
        <w:t>Multilateral</w:t>
      </w:r>
      <w:r>
        <w:rPr>
          <w:color w:val="231F20"/>
          <w:spacing w:val="-5"/>
          <w:w w:val="105"/>
        </w:rPr>
        <w:t> </w:t>
      </w:r>
      <w:r>
        <w:rPr>
          <w:color w:val="231F20"/>
          <w:w w:val="105"/>
        </w:rPr>
        <w:t>approval</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5"/>
          <w:w w:val="105"/>
        </w:rPr>
        <w:t> </w:t>
      </w:r>
      <w:r>
        <w:rPr>
          <w:color w:val="231F20"/>
          <w:w w:val="105"/>
        </w:rPr>
        <w:t>required</w:t>
      </w:r>
      <w:r>
        <w:rPr>
          <w:color w:val="231F20"/>
          <w:spacing w:val="-4"/>
          <w:w w:val="105"/>
        </w:rPr>
        <w:t> for:</w:t>
      </w:r>
    </w:p>
    <w:p>
      <w:pPr>
        <w:pStyle w:val="ListParagraph"/>
        <w:numPr>
          <w:ilvl w:val="5"/>
          <w:numId w:val="1"/>
        </w:numPr>
        <w:tabs>
          <w:tab w:pos="2287" w:val="left" w:leader="none"/>
        </w:tabs>
        <w:spacing w:line="256" w:lineRule="auto" w:before="103" w:after="0"/>
        <w:ind w:left="2287" w:right="1418" w:hanging="360"/>
        <w:jc w:val="both"/>
        <w:rPr>
          <w:sz w:val="17"/>
        </w:rPr>
      </w:pPr>
      <w:r>
        <w:rPr>
          <w:color w:val="231F20"/>
          <w:w w:val="105"/>
          <w:sz w:val="17"/>
        </w:rPr>
        <w:t>the shipment of Type B(M) packages not conforming with the provisions of 6.4.7.5 or designed to allow controlled intermittent venting;</w:t>
      </w:r>
    </w:p>
    <w:p>
      <w:pPr>
        <w:pStyle w:val="ListParagraph"/>
        <w:numPr>
          <w:ilvl w:val="5"/>
          <w:numId w:val="1"/>
        </w:numPr>
        <w:tabs>
          <w:tab w:pos="2285" w:val="left" w:leader="none"/>
          <w:tab w:pos="2287" w:val="left" w:leader="none"/>
        </w:tabs>
        <w:spacing w:line="256" w:lineRule="auto" w:before="91" w:after="0"/>
        <w:ind w:left="2287" w:right="1418" w:hanging="360"/>
        <w:jc w:val="both"/>
        <w:rPr>
          <w:sz w:val="17"/>
        </w:rPr>
      </w:pPr>
      <w:r>
        <w:rPr>
          <w:sz w:val="17"/>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ragraph">
                  <wp:posOffset>148908</wp:posOffset>
                </wp:positionV>
                <wp:extent cx="360045" cy="15303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0.0pt;margin-top:11.725046pt;width:28.35pt;height:120.5pt;mso-position-horizontal-relative:page;mso-position-vertical-relative:paragraph;z-index:15729664" type="#_x0000_t202" id="docshape12"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sz w:val="17"/>
        </w:rPr>
        <w:t>the</w:t>
      </w:r>
      <w:r>
        <w:rPr>
          <w:color w:val="231F20"/>
          <w:spacing w:val="-9"/>
          <w:w w:val="105"/>
          <w:sz w:val="17"/>
        </w:rPr>
        <w:t> </w:t>
      </w:r>
      <w:r>
        <w:rPr>
          <w:color w:val="231F20"/>
          <w:w w:val="105"/>
          <w:sz w:val="17"/>
        </w:rPr>
        <w:t>shipment</w:t>
      </w:r>
      <w:r>
        <w:rPr>
          <w:color w:val="231F20"/>
          <w:spacing w:val="-9"/>
          <w:w w:val="105"/>
          <w:sz w:val="17"/>
        </w:rPr>
        <w:t> </w:t>
      </w:r>
      <w:r>
        <w:rPr>
          <w:color w:val="231F20"/>
          <w:w w:val="105"/>
          <w:sz w:val="17"/>
        </w:rPr>
        <w:t>of</w:t>
      </w:r>
      <w:r>
        <w:rPr>
          <w:color w:val="231F20"/>
          <w:spacing w:val="-9"/>
          <w:w w:val="105"/>
          <w:sz w:val="17"/>
        </w:rPr>
        <w:t> </w:t>
      </w:r>
      <w:r>
        <w:rPr>
          <w:color w:val="231F20"/>
          <w:w w:val="105"/>
          <w:sz w:val="17"/>
        </w:rPr>
        <w:t>Type</w:t>
      </w:r>
      <w:r>
        <w:rPr>
          <w:color w:val="231F20"/>
          <w:spacing w:val="-9"/>
          <w:w w:val="105"/>
          <w:sz w:val="17"/>
        </w:rPr>
        <w:t> </w:t>
      </w:r>
      <w:r>
        <w:rPr>
          <w:color w:val="231F20"/>
          <w:w w:val="105"/>
          <w:sz w:val="17"/>
        </w:rPr>
        <w:t>B(M)</w:t>
      </w:r>
      <w:r>
        <w:rPr>
          <w:color w:val="231F20"/>
          <w:spacing w:val="-9"/>
          <w:w w:val="105"/>
          <w:sz w:val="17"/>
        </w:rPr>
        <w:t> </w:t>
      </w:r>
      <w:r>
        <w:rPr>
          <w:color w:val="231F20"/>
          <w:w w:val="105"/>
          <w:sz w:val="17"/>
        </w:rPr>
        <w:t>packages</w:t>
      </w:r>
      <w:r>
        <w:rPr>
          <w:color w:val="231F20"/>
          <w:spacing w:val="-9"/>
          <w:w w:val="105"/>
          <w:sz w:val="17"/>
        </w:rPr>
        <w:t> </w:t>
      </w:r>
      <w:r>
        <w:rPr>
          <w:color w:val="231F20"/>
          <w:w w:val="105"/>
          <w:sz w:val="17"/>
        </w:rPr>
        <w:t>containing</w:t>
      </w:r>
      <w:r>
        <w:rPr>
          <w:color w:val="231F20"/>
          <w:spacing w:val="-9"/>
          <w:w w:val="105"/>
          <w:sz w:val="17"/>
        </w:rPr>
        <w:t> </w:t>
      </w:r>
      <w:r>
        <w:rPr>
          <w:color w:val="231F20"/>
          <w:w w:val="105"/>
          <w:sz w:val="17"/>
        </w:rPr>
        <w:t>radioactive</w:t>
      </w:r>
      <w:r>
        <w:rPr>
          <w:color w:val="231F20"/>
          <w:spacing w:val="-9"/>
          <w:w w:val="105"/>
          <w:sz w:val="17"/>
        </w:rPr>
        <w:t> </w:t>
      </w:r>
      <w:r>
        <w:rPr>
          <w:color w:val="231F20"/>
          <w:w w:val="105"/>
          <w:sz w:val="17"/>
        </w:rPr>
        <w:t>material</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an</w:t>
      </w:r>
      <w:r>
        <w:rPr>
          <w:color w:val="231F20"/>
          <w:spacing w:val="-9"/>
          <w:w w:val="105"/>
          <w:sz w:val="17"/>
        </w:rPr>
        <w:t> </w:t>
      </w:r>
      <w:r>
        <w:rPr>
          <w:color w:val="231F20"/>
          <w:w w:val="105"/>
          <w:sz w:val="17"/>
        </w:rPr>
        <w:t>activity</w:t>
      </w:r>
      <w:r>
        <w:rPr>
          <w:color w:val="231F20"/>
          <w:spacing w:val="-9"/>
          <w:w w:val="105"/>
          <w:sz w:val="17"/>
        </w:rPr>
        <w:t> </w:t>
      </w:r>
      <w:r>
        <w:rPr>
          <w:color w:val="231F20"/>
          <w:w w:val="105"/>
          <w:sz w:val="17"/>
        </w:rPr>
        <w:t>greater</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3,000</w:t>
      </w:r>
      <w:r>
        <w:rPr>
          <w:rFonts w:ascii="Arial"/>
          <w:i/>
          <w:color w:val="231F20"/>
          <w:w w:val="105"/>
          <w:sz w:val="17"/>
        </w:rPr>
        <w:t>A</w:t>
      </w:r>
      <w:r>
        <w:rPr>
          <w:color w:val="231F20"/>
          <w:w w:val="105"/>
          <w:sz w:val="17"/>
          <w:vertAlign w:val="subscript"/>
        </w:rPr>
        <w:t>1</w:t>
      </w:r>
      <w:r>
        <w:rPr>
          <w:color w:val="231F20"/>
          <w:w w:val="105"/>
          <w:sz w:val="17"/>
          <w:vertAlign w:val="baseline"/>
        </w:rPr>
        <w:t> or 3,000</w:t>
      </w:r>
      <w:r>
        <w:rPr>
          <w:rFonts w:ascii="Arial"/>
          <w:i/>
          <w:color w:val="231F20"/>
          <w:w w:val="105"/>
          <w:sz w:val="17"/>
          <w:vertAlign w:val="baseline"/>
        </w:rPr>
        <w:t>A</w:t>
      </w:r>
      <w:r>
        <w:rPr>
          <w:color w:val="231F20"/>
          <w:w w:val="105"/>
          <w:sz w:val="17"/>
          <w:vertAlign w:val="subscript"/>
        </w:rPr>
        <w:t>2</w:t>
      </w:r>
      <w:r>
        <w:rPr>
          <w:color w:val="231F20"/>
          <w:w w:val="105"/>
          <w:sz w:val="17"/>
          <w:vertAlign w:val="baseline"/>
        </w:rPr>
        <w:t>, as appropriate, or 1,000 TBq, whichever is the lower;</w:t>
      </w:r>
    </w:p>
    <w:p>
      <w:pPr>
        <w:pStyle w:val="ListParagraph"/>
        <w:numPr>
          <w:ilvl w:val="5"/>
          <w:numId w:val="1"/>
        </w:numPr>
        <w:tabs>
          <w:tab w:pos="2284" w:val="left" w:leader="none"/>
          <w:tab w:pos="2287" w:val="left" w:leader="none"/>
        </w:tabs>
        <w:spacing w:line="256" w:lineRule="auto" w:before="90" w:after="0"/>
        <w:ind w:left="2287" w:right="1417" w:hanging="361"/>
        <w:jc w:val="both"/>
        <w:rPr>
          <w:sz w:val="17"/>
        </w:rPr>
      </w:pPr>
      <w:r>
        <w:rPr>
          <w:color w:val="231F20"/>
          <w:w w:val="105"/>
          <w:sz w:val="17"/>
        </w:rPr>
        <w:t>the</w:t>
      </w:r>
      <w:r>
        <w:rPr>
          <w:color w:val="231F20"/>
          <w:spacing w:val="37"/>
          <w:w w:val="105"/>
          <w:sz w:val="17"/>
        </w:rPr>
        <w:t> </w:t>
      </w:r>
      <w:r>
        <w:rPr>
          <w:color w:val="231F20"/>
          <w:w w:val="105"/>
          <w:sz w:val="17"/>
        </w:rPr>
        <w:t>shipment</w:t>
      </w:r>
      <w:r>
        <w:rPr>
          <w:color w:val="231F20"/>
          <w:spacing w:val="37"/>
          <w:w w:val="105"/>
          <w:sz w:val="17"/>
        </w:rPr>
        <w:t> </w:t>
      </w:r>
      <w:r>
        <w:rPr>
          <w:color w:val="231F20"/>
          <w:w w:val="105"/>
          <w:sz w:val="17"/>
        </w:rPr>
        <w:t>of</w:t>
      </w:r>
      <w:r>
        <w:rPr>
          <w:color w:val="231F20"/>
          <w:spacing w:val="37"/>
          <w:w w:val="105"/>
          <w:sz w:val="17"/>
        </w:rPr>
        <w:t> </w:t>
      </w:r>
      <w:r>
        <w:rPr>
          <w:color w:val="231F20"/>
          <w:w w:val="105"/>
          <w:sz w:val="17"/>
        </w:rPr>
        <w:t>packages</w:t>
      </w:r>
      <w:r>
        <w:rPr>
          <w:color w:val="231F20"/>
          <w:spacing w:val="37"/>
          <w:w w:val="105"/>
          <w:sz w:val="17"/>
        </w:rPr>
        <w:t> </w:t>
      </w:r>
      <w:r>
        <w:rPr>
          <w:color w:val="231F20"/>
          <w:w w:val="105"/>
          <w:sz w:val="17"/>
        </w:rPr>
        <w:t>containing</w:t>
      </w:r>
      <w:r>
        <w:rPr>
          <w:color w:val="231F20"/>
          <w:spacing w:val="37"/>
          <w:w w:val="105"/>
          <w:sz w:val="17"/>
        </w:rPr>
        <w:t> </w:t>
      </w:r>
      <w:r>
        <w:rPr>
          <w:color w:val="231F20"/>
          <w:w w:val="105"/>
          <w:sz w:val="17"/>
        </w:rPr>
        <w:t>fissile</w:t>
      </w:r>
      <w:r>
        <w:rPr>
          <w:color w:val="231F20"/>
          <w:spacing w:val="37"/>
          <w:w w:val="105"/>
          <w:sz w:val="17"/>
        </w:rPr>
        <w:t> </w:t>
      </w:r>
      <w:r>
        <w:rPr>
          <w:color w:val="231F20"/>
          <w:w w:val="105"/>
          <w:sz w:val="17"/>
        </w:rPr>
        <w:t>materials</w:t>
      </w:r>
      <w:r>
        <w:rPr>
          <w:color w:val="231F20"/>
          <w:spacing w:val="37"/>
          <w:w w:val="105"/>
          <w:sz w:val="17"/>
        </w:rPr>
        <w:t> </w:t>
      </w:r>
      <w:r>
        <w:rPr>
          <w:color w:val="231F20"/>
          <w:w w:val="105"/>
          <w:sz w:val="17"/>
        </w:rPr>
        <w:t>if</w:t>
      </w:r>
      <w:r>
        <w:rPr>
          <w:color w:val="231F20"/>
          <w:spacing w:val="37"/>
          <w:w w:val="105"/>
          <w:sz w:val="17"/>
        </w:rPr>
        <w:t> </w:t>
      </w:r>
      <w:r>
        <w:rPr>
          <w:color w:val="231F20"/>
          <w:w w:val="105"/>
          <w:sz w:val="17"/>
        </w:rPr>
        <w:t>the</w:t>
      </w:r>
      <w:r>
        <w:rPr>
          <w:color w:val="231F20"/>
          <w:spacing w:val="37"/>
          <w:w w:val="105"/>
          <w:sz w:val="17"/>
        </w:rPr>
        <w:t> </w:t>
      </w:r>
      <w:r>
        <w:rPr>
          <w:color w:val="231F20"/>
          <w:w w:val="105"/>
          <w:sz w:val="17"/>
        </w:rPr>
        <w:t>sum</w:t>
      </w:r>
      <w:r>
        <w:rPr>
          <w:color w:val="231F20"/>
          <w:spacing w:val="37"/>
          <w:w w:val="105"/>
          <w:sz w:val="17"/>
        </w:rPr>
        <w:t> </w:t>
      </w:r>
      <w:r>
        <w:rPr>
          <w:color w:val="231F20"/>
          <w:w w:val="105"/>
          <w:sz w:val="17"/>
        </w:rPr>
        <w:t>of</w:t>
      </w:r>
      <w:r>
        <w:rPr>
          <w:color w:val="231F20"/>
          <w:spacing w:val="37"/>
          <w:w w:val="105"/>
          <w:sz w:val="17"/>
        </w:rPr>
        <w:t> </w:t>
      </w:r>
      <w:r>
        <w:rPr>
          <w:color w:val="231F20"/>
          <w:w w:val="105"/>
          <w:sz w:val="17"/>
        </w:rPr>
        <w:t>the</w:t>
      </w:r>
      <w:r>
        <w:rPr>
          <w:color w:val="231F20"/>
          <w:spacing w:val="37"/>
          <w:w w:val="105"/>
          <w:sz w:val="17"/>
        </w:rPr>
        <w:t> </w:t>
      </w:r>
      <w:r>
        <w:rPr>
          <w:color w:val="231F20"/>
          <w:w w:val="105"/>
          <w:sz w:val="17"/>
        </w:rPr>
        <w:t>criticality</w:t>
      </w:r>
      <w:r>
        <w:rPr>
          <w:color w:val="231F20"/>
          <w:spacing w:val="37"/>
          <w:w w:val="105"/>
          <w:sz w:val="17"/>
        </w:rPr>
        <w:t> </w:t>
      </w:r>
      <w:r>
        <w:rPr>
          <w:color w:val="231F20"/>
          <w:w w:val="105"/>
          <w:sz w:val="17"/>
        </w:rPr>
        <w:t>safety</w:t>
      </w:r>
      <w:r>
        <w:rPr>
          <w:color w:val="231F20"/>
          <w:spacing w:val="37"/>
          <w:w w:val="105"/>
          <w:sz w:val="17"/>
        </w:rPr>
        <w:t> </w:t>
      </w:r>
      <w:r>
        <w:rPr>
          <w:color w:val="231F20"/>
          <w:w w:val="105"/>
          <w:sz w:val="17"/>
        </w:rPr>
        <w:t>indexes</w:t>
      </w:r>
      <w:r>
        <w:rPr>
          <w:color w:val="231F20"/>
          <w:spacing w:val="37"/>
          <w:w w:val="105"/>
          <w:sz w:val="17"/>
        </w:rPr>
        <w:t> </w:t>
      </w:r>
      <w:r>
        <w:rPr>
          <w:color w:val="231F20"/>
          <w:w w:val="105"/>
          <w:sz w:val="17"/>
        </w:rPr>
        <w:t>of the packages in a single freight container or in a single conveyance exceeds 50. Excluded from this requirement shall be shipments by seagoing vessels, if the sum of the criticality safety indexes does not exceed 50 for any hold, compartment or defined deck area and the distance of 6 m between groups of packages or overpacks as required in the table in 7.1.4.5.3.4 is met;</w:t>
      </w:r>
    </w:p>
    <w:p>
      <w:pPr>
        <w:pStyle w:val="ListParagraph"/>
        <w:numPr>
          <w:ilvl w:val="5"/>
          <w:numId w:val="1"/>
        </w:numPr>
        <w:tabs>
          <w:tab w:pos="2286" w:val="left" w:leader="none"/>
        </w:tabs>
        <w:spacing w:line="240" w:lineRule="auto" w:before="93" w:after="0"/>
        <w:ind w:left="2286" w:right="0" w:hanging="359"/>
        <w:jc w:val="both"/>
        <w:rPr>
          <w:sz w:val="17"/>
        </w:rPr>
      </w:pPr>
      <w:r>
        <w:rPr>
          <w:color w:val="231F20"/>
          <w:w w:val="105"/>
          <w:sz w:val="17"/>
        </w:rPr>
        <w:t>radiation</w:t>
      </w:r>
      <w:r>
        <w:rPr>
          <w:color w:val="231F20"/>
          <w:spacing w:val="-6"/>
          <w:w w:val="105"/>
          <w:sz w:val="17"/>
        </w:rPr>
        <w:t> </w:t>
      </w:r>
      <w:r>
        <w:rPr>
          <w:color w:val="231F20"/>
          <w:w w:val="105"/>
          <w:sz w:val="17"/>
        </w:rPr>
        <w:t>protection</w:t>
      </w:r>
      <w:r>
        <w:rPr>
          <w:color w:val="231F20"/>
          <w:spacing w:val="-5"/>
          <w:w w:val="105"/>
          <w:sz w:val="17"/>
        </w:rPr>
        <w:t> </w:t>
      </w:r>
      <w:r>
        <w:rPr>
          <w:color w:val="231F20"/>
          <w:w w:val="105"/>
          <w:sz w:val="17"/>
        </w:rPr>
        <w:t>programmes</w:t>
      </w:r>
      <w:r>
        <w:rPr>
          <w:color w:val="231F20"/>
          <w:spacing w:val="-5"/>
          <w:w w:val="105"/>
          <w:sz w:val="17"/>
        </w:rPr>
        <w:t> </w:t>
      </w:r>
      <w:r>
        <w:rPr>
          <w:color w:val="231F20"/>
          <w:w w:val="105"/>
          <w:sz w:val="17"/>
        </w:rPr>
        <w:t>for</w:t>
      </w:r>
      <w:r>
        <w:rPr>
          <w:color w:val="231F20"/>
          <w:spacing w:val="-7"/>
          <w:w w:val="105"/>
          <w:sz w:val="17"/>
        </w:rPr>
        <w:t> </w:t>
      </w:r>
      <w:r>
        <w:rPr>
          <w:color w:val="231F20"/>
          <w:w w:val="105"/>
          <w:sz w:val="17"/>
        </w:rPr>
        <w:t>shipments</w:t>
      </w:r>
      <w:r>
        <w:rPr>
          <w:color w:val="231F20"/>
          <w:spacing w:val="-5"/>
          <w:w w:val="105"/>
          <w:sz w:val="17"/>
        </w:rPr>
        <w:t> </w:t>
      </w:r>
      <w:r>
        <w:rPr>
          <w:color w:val="231F20"/>
          <w:w w:val="105"/>
          <w:sz w:val="17"/>
        </w:rPr>
        <w:t>by</w:t>
      </w:r>
      <w:r>
        <w:rPr>
          <w:color w:val="231F20"/>
          <w:spacing w:val="-5"/>
          <w:w w:val="105"/>
          <w:sz w:val="17"/>
        </w:rPr>
        <w:t> </w:t>
      </w:r>
      <w:r>
        <w:rPr>
          <w:color w:val="231F20"/>
          <w:w w:val="105"/>
          <w:sz w:val="17"/>
        </w:rPr>
        <w:t>special</w:t>
      </w:r>
      <w:r>
        <w:rPr>
          <w:color w:val="231F20"/>
          <w:spacing w:val="-6"/>
          <w:w w:val="105"/>
          <w:sz w:val="17"/>
        </w:rPr>
        <w:t> </w:t>
      </w:r>
      <w:r>
        <w:rPr>
          <w:color w:val="231F20"/>
          <w:w w:val="105"/>
          <w:sz w:val="17"/>
        </w:rPr>
        <w:t>use</w:t>
      </w:r>
      <w:r>
        <w:rPr>
          <w:color w:val="231F20"/>
          <w:spacing w:val="-6"/>
          <w:w w:val="105"/>
          <w:sz w:val="17"/>
        </w:rPr>
        <w:t> </w:t>
      </w:r>
      <w:r>
        <w:rPr>
          <w:color w:val="231F20"/>
          <w:w w:val="105"/>
          <w:sz w:val="17"/>
        </w:rPr>
        <w:t>vessels</w:t>
      </w:r>
      <w:r>
        <w:rPr>
          <w:color w:val="231F20"/>
          <w:spacing w:val="-5"/>
          <w:w w:val="105"/>
          <w:sz w:val="17"/>
        </w:rPr>
        <w:t> </w:t>
      </w:r>
      <w:r>
        <w:rPr>
          <w:color w:val="231F20"/>
          <w:w w:val="105"/>
          <w:sz w:val="17"/>
        </w:rPr>
        <w:t>in</w:t>
      </w:r>
      <w:r>
        <w:rPr>
          <w:color w:val="231F20"/>
          <w:spacing w:val="-5"/>
          <w:w w:val="105"/>
          <w:sz w:val="17"/>
        </w:rPr>
        <w:t> </w:t>
      </w:r>
      <w:r>
        <w:rPr>
          <w:color w:val="231F20"/>
          <w:w w:val="105"/>
          <w:sz w:val="17"/>
        </w:rPr>
        <w:t>accordance</w:t>
      </w:r>
      <w:r>
        <w:rPr>
          <w:color w:val="231F20"/>
          <w:spacing w:val="-7"/>
          <w:w w:val="105"/>
          <w:sz w:val="17"/>
        </w:rPr>
        <w:t> </w:t>
      </w:r>
      <w:r>
        <w:rPr>
          <w:color w:val="231F20"/>
          <w:w w:val="105"/>
          <w:sz w:val="17"/>
        </w:rPr>
        <w:t>with</w:t>
      </w:r>
      <w:r>
        <w:rPr>
          <w:color w:val="231F20"/>
          <w:spacing w:val="-5"/>
          <w:w w:val="105"/>
          <w:sz w:val="17"/>
        </w:rPr>
        <w:t> </w:t>
      </w:r>
      <w:r>
        <w:rPr>
          <w:color w:val="231F20"/>
          <w:w w:val="105"/>
          <w:sz w:val="17"/>
        </w:rPr>
        <w:t>7.1.4.5.8;</w:t>
      </w:r>
      <w:r>
        <w:rPr>
          <w:color w:val="231F20"/>
          <w:spacing w:val="-5"/>
          <w:w w:val="105"/>
          <w:sz w:val="17"/>
        </w:rPr>
        <w:t> and</w:t>
      </w:r>
    </w:p>
    <w:p>
      <w:pPr>
        <w:pStyle w:val="ListParagraph"/>
        <w:numPr>
          <w:ilvl w:val="5"/>
          <w:numId w:val="1"/>
        </w:numPr>
        <w:tabs>
          <w:tab w:pos="2285" w:val="left" w:leader="none"/>
        </w:tabs>
        <w:spacing w:line="240" w:lineRule="auto" w:before="103" w:after="0"/>
        <w:ind w:left="2285" w:right="0" w:hanging="358"/>
        <w:jc w:val="both"/>
        <w:rPr>
          <w:sz w:val="17"/>
        </w:rPr>
      </w:pPr>
      <w:r>
        <w:rPr>
          <w:color w:val="231F20"/>
          <w:w w:val="105"/>
          <w:sz w:val="17"/>
        </w:rPr>
        <w:t>the</w:t>
      </w:r>
      <w:r>
        <w:rPr>
          <w:color w:val="231F20"/>
          <w:spacing w:val="-1"/>
          <w:w w:val="105"/>
          <w:sz w:val="17"/>
        </w:rPr>
        <w:t> </w:t>
      </w:r>
      <w:r>
        <w:rPr>
          <w:color w:val="231F20"/>
          <w:w w:val="105"/>
          <w:sz w:val="17"/>
        </w:rPr>
        <w:t>shipment of SCO-</w:t>
      </w:r>
      <w:r>
        <w:rPr>
          <w:color w:val="231F20"/>
          <w:spacing w:val="-4"/>
          <w:w w:val="105"/>
          <w:sz w:val="17"/>
        </w:rPr>
        <w:t>III.</w:t>
      </w:r>
    </w:p>
    <w:p>
      <w:pPr>
        <w:pStyle w:val="BodyText"/>
        <w:spacing w:line="256" w:lineRule="auto" w:before="163"/>
        <w:ind w:left="1927" w:right="1418"/>
        <w:jc w:val="both"/>
      </w:pPr>
      <w:r>
        <w:rPr>
          <w:color w:val="231F20"/>
          <w:w w:val="105"/>
        </w:rPr>
        <w:t>except</w:t>
      </w:r>
      <w:r>
        <w:rPr>
          <w:color w:val="231F20"/>
          <w:w w:val="105"/>
        </w:rPr>
        <w:t> that</w:t>
      </w:r>
      <w:r>
        <w:rPr>
          <w:color w:val="231F20"/>
          <w:w w:val="105"/>
        </w:rPr>
        <w:t> a</w:t>
      </w:r>
      <w:r>
        <w:rPr>
          <w:color w:val="231F20"/>
          <w:w w:val="105"/>
        </w:rPr>
        <w:t> competent</w:t>
      </w:r>
      <w:r>
        <w:rPr>
          <w:color w:val="231F20"/>
          <w:w w:val="105"/>
        </w:rPr>
        <w:t> authority</w:t>
      </w:r>
      <w:r>
        <w:rPr>
          <w:color w:val="231F20"/>
          <w:w w:val="105"/>
        </w:rPr>
        <w:t> may</w:t>
      </w:r>
      <w:r>
        <w:rPr>
          <w:color w:val="231F20"/>
          <w:w w:val="105"/>
        </w:rPr>
        <w:t> authorize</w:t>
      </w:r>
      <w:r>
        <w:rPr>
          <w:color w:val="231F20"/>
          <w:w w:val="105"/>
        </w:rPr>
        <w:t> transport</w:t>
      </w:r>
      <w:r>
        <w:rPr>
          <w:color w:val="231F20"/>
          <w:w w:val="105"/>
        </w:rPr>
        <w:t> into</w:t>
      </w:r>
      <w:r>
        <w:rPr>
          <w:color w:val="231F20"/>
          <w:w w:val="105"/>
        </w:rPr>
        <w:t> or</w:t>
      </w:r>
      <w:r>
        <w:rPr>
          <w:color w:val="231F20"/>
          <w:w w:val="105"/>
        </w:rPr>
        <w:t> through</w:t>
      </w:r>
      <w:r>
        <w:rPr>
          <w:color w:val="231F20"/>
          <w:w w:val="105"/>
        </w:rPr>
        <w:t> its</w:t>
      </w:r>
      <w:r>
        <w:rPr>
          <w:color w:val="231F20"/>
          <w:w w:val="105"/>
        </w:rPr>
        <w:t> country</w:t>
      </w:r>
      <w:r>
        <w:rPr>
          <w:color w:val="231F20"/>
          <w:w w:val="105"/>
        </w:rPr>
        <w:t> without</w:t>
      </w:r>
      <w:r>
        <w:rPr>
          <w:color w:val="231F20"/>
          <w:w w:val="105"/>
        </w:rPr>
        <w:t> shipment approval, by a specific provision in its design approval (see 5.1.5.2.1).</w:t>
      </w:r>
    </w:p>
    <w:p>
      <w:pPr>
        <w:pStyle w:val="BodyText"/>
        <w:spacing w:before="25"/>
      </w:pPr>
    </w:p>
    <w:p>
      <w:pPr>
        <w:pStyle w:val="Heading3"/>
        <w:numPr>
          <w:ilvl w:val="4"/>
          <w:numId w:val="1"/>
        </w:numPr>
        <w:tabs>
          <w:tab w:pos="1927" w:val="left" w:leader="none"/>
        </w:tabs>
        <w:spacing w:line="240" w:lineRule="auto" w:before="0" w:after="0"/>
        <w:ind w:left="1927" w:right="0" w:hanging="1080"/>
        <w:jc w:val="left"/>
        <w:rPr>
          <w:rFonts w:ascii="Arial MT"/>
          <w:i w:val="0"/>
          <w:color w:val="231F20"/>
        </w:rPr>
      </w:pPr>
      <w:r>
        <w:rPr>
          <w:color w:val="231F20"/>
          <w:w w:val="105"/>
        </w:rPr>
        <w:t>Shipment</w:t>
      </w:r>
      <w:r>
        <w:rPr>
          <w:color w:val="231F20"/>
          <w:spacing w:val="3"/>
          <w:w w:val="105"/>
        </w:rPr>
        <w:t> </w:t>
      </w:r>
      <w:r>
        <w:rPr>
          <w:color w:val="231F20"/>
          <w:w w:val="105"/>
        </w:rPr>
        <w:t>approval</w:t>
      </w:r>
      <w:r>
        <w:rPr>
          <w:color w:val="231F20"/>
          <w:spacing w:val="4"/>
          <w:w w:val="105"/>
        </w:rPr>
        <w:t> </w:t>
      </w:r>
      <w:r>
        <w:rPr>
          <w:color w:val="231F20"/>
          <w:w w:val="105"/>
        </w:rPr>
        <w:t>by</w:t>
      </w:r>
      <w:r>
        <w:rPr>
          <w:color w:val="231F20"/>
          <w:spacing w:val="3"/>
          <w:w w:val="105"/>
        </w:rPr>
        <w:t> </w:t>
      </w:r>
      <w:r>
        <w:rPr>
          <w:color w:val="231F20"/>
          <w:w w:val="105"/>
        </w:rPr>
        <w:t>special</w:t>
      </w:r>
      <w:r>
        <w:rPr>
          <w:color w:val="231F20"/>
          <w:spacing w:val="4"/>
          <w:w w:val="105"/>
        </w:rPr>
        <w:t> </w:t>
      </w:r>
      <w:r>
        <w:rPr>
          <w:color w:val="231F20"/>
          <w:spacing w:val="-2"/>
          <w:w w:val="105"/>
        </w:rPr>
        <w:t>arrangement</w:t>
      </w:r>
    </w:p>
    <w:p>
      <w:pPr>
        <w:pStyle w:val="BodyText"/>
        <w:spacing w:line="256" w:lineRule="auto" w:before="161"/>
        <w:ind w:left="1927" w:right="1418"/>
        <w:jc w:val="both"/>
      </w:pPr>
      <w:r>
        <w:rPr>
          <w:color w:val="231F20"/>
          <w:w w:val="105"/>
        </w:rPr>
        <w:t>A</w:t>
      </w:r>
      <w:r>
        <w:rPr>
          <w:color w:val="231F20"/>
          <w:spacing w:val="-10"/>
          <w:w w:val="105"/>
        </w:rPr>
        <w:t> </w:t>
      </w:r>
      <w:r>
        <w:rPr>
          <w:color w:val="231F20"/>
          <w:w w:val="105"/>
        </w:rPr>
        <w:t>competent</w:t>
      </w:r>
      <w:r>
        <w:rPr>
          <w:color w:val="231F20"/>
          <w:spacing w:val="-10"/>
          <w:w w:val="105"/>
        </w:rPr>
        <w:t> </w:t>
      </w:r>
      <w:r>
        <w:rPr>
          <w:color w:val="231F20"/>
          <w:w w:val="105"/>
        </w:rPr>
        <w:t>authority</w:t>
      </w:r>
      <w:r>
        <w:rPr>
          <w:color w:val="231F20"/>
          <w:spacing w:val="-10"/>
          <w:w w:val="105"/>
        </w:rPr>
        <w:t> </w:t>
      </w:r>
      <w:r>
        <w:rPr>
          <w:color w:val="231F20"/>
          <w:w w:val="105"/>
        </w:rPr>
        <w:t>may</w:t>
      </w:r>
      <w:r>
        <w:rPr>
          <w:color w:val="231F20"/>
          <w:spacing w:val="-10"/>
          <w:w w:val="105"/>
        </w:rPr>
        <w:t> </w:t>
      </w:r>
      <w:r>
        <w:rPr>
          <w:color w:val="231F20"/>
          <w:w w:val="105"/>
        </w:rPr>
        <w:t>approve</w:t>
      </w:r>
      <w:r>
        <w:rPr>
          <w:color w:val="231F20"/>
          <w:spacing w:val="-10"/>
          <w:w w:val="105"/>
        </w:rPr>
        <w:t> </w:t>
      </w:r>
      <w:r>
        <w:rPr>
          <w:color w:val="231F20"/>
          <w:w w:val="105"/>
        </w:rPr>
        <w:t>provisions</w:t>
      </w:r>
      <w:r>
        <w:rPr>
          <w:color w:val="231F20"/>
          <w:spacing w:val="-10"/>
          <w:w w:val="105"/>
        </w:rPr>
        <w:t> </w:t>
      </w:r>
      <w:r>
        <w:rPr>
          <w:color w:val="231F20"/>
          <w:w w:val="105"/>
        </w:rPr>
        <w:t>under</w:t>
      </w:r>
      <w:r>
        <w:rPr>
          <w:color w:val="231F20"/>
          <w:spacing w:val="-10"/>
          <w:w w:val="105"/>
        </w:rPr>
        <w:t> </w:t>
      </w:r>
      <w:r>
        <w:rPr>
          <w:color w:val="231F20"/>
          <w:w w:val="105"/>
        </w:rPr>
        <w:t>which</w:t>
      </w:r>
      <w:r>
        <w:rPr>
          <w:color w:val="231F20"/>
          <w:spacing w:val="-10"/>
          <w:w w:val="105"/>
        </w:rPr>
        <w:t> </w:t>
      </w:r>
      <w:r>
        <w:rPr>
          <w:color w:val="231F20"/>
          <w:w w:val="105"/>
        </w:rPr>
        <w:t>consignments</w:t>
      </w:r>
      <w:r>
        <w:rPr>
          <w:color w:val="231F20"/>
          <w:spacing w:val="-10"/>
          <w:w w:val="105"/>
        </w:rPr>
        <w:t> </w:t>
      </w:r>
      <w:r>
        <w:rPr>
          <w:color w:val="231F20"/>
          <w:w w:val="105"/>
        </w:rPr>
        <w:t>that</w:t>
      </w:r>
      <w:r>
        <w:rPr>
          <w:color w:val="231F20"/>
          <w:spacing w:val="-10"/>
          <w:w w:val="105"/>
        </w:rPr>
        <w:t> </w:t>
      </w:r>
      <w:r>
        <w:rPr>
          <w:color w:val="231F20"/>
          <w:w w:val="105"/>
        </w:rPr>
        <w:t>do</w:t>
      </w:r>
      <w:r>
        <w:rPr>
          <w:color w:val="231F20"/>
          <w:spacing w:val="-10"/>
          <w:w w:val="105"/>
        </w:rPr>
        <w:t> </w:t>
      </w:r>
      <w:r>
        <w:rPr>
          <w:color w:val="231F20"/>
          <w:w w:val="105"/>
        </w:rPr>
        <w:t>not</w:t>
      </w:r>
      <w:r>
        <w:rPr>
          <w:color w:val="231F20"/>
          <w:spacing w:val="-10"/>
          <w:w w:val="105"/>
        </w:rPr>
        <w:t> </w:t>
      </w:r>
      <w:r>
        <w:rPr>
          <w:color w:val="231F20"/>
          <w:w w:val="105"/>
        </w:rPr>
        <w:t>satisfy</w:t>
      </w:r>
      <w:r>
        <w:rPr>
          <w:color w:val="231F20"/>
          <w:spacing w:val="-10"/>
          <w:w w:val="105"/>
        </w:rPr>
        <w:t> </w:t>
      </w:r>
      <w:r>
        <w:rPr>
          <w:color w:val="231F20"/>
          <w:w w:val="105"/>
        </w:rPr>
        <w:t>all</w:t>
      </w:r>
      <w:r>
        <w:rPr>
          <w:color w:val="231F20"/>
          <w:spacing w:val="-10"/>
          <w:w w:val="105"/>
        </w:rPr>
        <w:t> </w:t>
      </w:r>
      <w:r>
        <w:rPr>
          <w:color w:val="231F20"/>
          <w:w w:val="105"/>
        </w:rPr>
        <w:t>the</w:t>
      </w:r>
      <w:r>
        <w:rPr>
          <w:color w:val="231F20"/>
          <w:spacing w:val="-10"/>
          <w:w w:val="105"/>
        </w:rPr>
        <w:t> </w:t>
      </w:r>
      <w:r>
        <w:rPr>
          <w:color w:val="231F20"/>
          <w:w w:val="105"/>
        </w:rPr>
        <w:t>applicable requirements of this Code may be transported under special arrangement (see 1.5.4).</w:t>
      </w:r>
    </w:p>
    <w:p>
      <w:pPr>
        <w:pStyle w:val="BodyText"/>
        <w:spacing w:before="26"/>
      </w:pPr>
    </w:p>
    <w:p>
      <w:pPr>
        <w:pStyle w:val="Heading3"/>
        <w:numPr>
          <w:ilvl w:val="4"/>
          <w:numId w:val="1"/>
        </w:numPr>
        <w:tabs>
          <w:tab w:pos="1927" w:val="left" w:leader="none"/>
        </w:tabs>
        <w:spacing w:line="240" w:lineRule="auto" w:before="0" w:after="0"/>
        <w:ind w:left="1927" w:right="0" w:hanging="1080"/>
        <w:jc w:val="left"/>
        <w:rPr>
          <w:rFonts w:ascii="Arial MT"/>
          <w:i w:val="0"/>
          <w:color w:val="231F20"/>
        </w:rPr>
      </w:pPr>
      <w:r>
        <w:rPr>
          <w:color w:val="231F20"/>
          <w:spacing w:val="-2"/>
          <w:w w:val="105"/>
        </w:rPr>
        <w:t>Notifications</w:t>
      </w:r>
    </w:p>
    <w:p>
      <w:pPr>
        <w:pStyle w:val="BodyText"/>
        <w:spacing w:before="161"/>
        <w:ind w:left="1927"/>
        <w:jc w:val="both"/>
      </w:pPr>
      <w:r>
        <w:rPr>
          <w:color w:val="231F20"/>
          <w:w w:val="105"/>
        </w:rPr>
        <w:t>Notification</w:t>
      </w:r>
      <w:r>
        <w:rPr>
          <w:color w:val="231F20"/>
          <w:spacing w:val="1"/>
          <w:w w:val="105"/>
        </w:rPr>
        <w:t> </w:t>
      </w:r>
      <w:r>
        <w:rPr>
          <w:color w:val="231F20"/>
          <w:w w:val="105"/>
        </w:rPr>
        <w:t>to</w:t>
      </w:r>
      <w:r>
        <w:rPr>
          <w:color w:val="231F20"/>
          <w:spacing w:val="2"/>
          <w:w w:val="105"/>
        </w:rPr>
        <w:t> </w:t>
      </w:r>
      <w:r>
        <w:rPr>
          <w:color w:val="231F20"/>
          <w:w w:val="105"/>
        </w:rPr>
        <w:t>competent</w:t>
      </w:r>
      <w:r>
        <w:rPr>
          <w:color w:val="231F20"/>
          <w:spacing w:val="2"/>
          <w:w w:val="105"/>
        </w:rPr>
        <w:t> </w:t>
      </w:r>
      <w:r>
        <w:rPr>
          <w:color w:val="231F20"/>
          <w:w w:val="105"/>
        </w:rPr>
        <w:t>authorities</w:t>
      </w:r>
      <w:r>
        <w:rPr>
          <w:color w:val="231F20"/>
          <w:spacing w:val="2"/>
          <w:w w:val="105"/>
        </w:rPr>
        <w:t> </w:t>
      </w:r>
      <w:r>
        <w:rPr>
          <w:color w:val="231F20"/>
          <w:w w:val="105"/>
        </w:rPr>
        <w:t>is</w:t>
      </w:r>
      <w:r>
        <w:rPr>
          <w:color w:val="231F20"/>
          <w:spacing w:val="2"/>
          <w:w w:val="105"/>
        </w:rPr>
        <w:t> </w:t>
      </w:r>
      <w:r>
        <w:rPr>
          <w:color w:val="231F20"/>
          <w:w w:val="105"/>
        </w:rPr>
        <w:t>required</w:t>
      </w:r>
      <w:r>
        <w:rPr>
          <w:color w:val="231F20"/>
          <w:spacing w:val="2"/>
          <w:w w:val="105"/>
        </w:rPr>
        <w:t> </w:t>
      </w:r>
      <w:r>
        <w:rPr>
          <w:color w:val="231F20"/>
          <w:w w:val="105"/>
        </w:rPr>
        <w:t>as</w:t>
      </w:r>
      <w:r>
        <w:rPr>
          <w:color w:val="231F20"/>
          <w:spacing w:val="2"/>
          <w:w w:val="105"/>
        </w:rPr>
        <w:t> </w:t>
      </w:r>
      <w:r>
        <w:rPr>
          <w:color w:val="231F20"/>
          <w:spacing w:val="-2"/>
          <w:w w:val="105"/>
        </w:rPr>
        <w:t>follows:</w:t>
      </w:r>
    </w:p>
    <w:p>
      <w:pPr>
        <w:pStyle w:val="ListParagraph"/>
        <w:numPr>
          <w:ilvl w:val="5"/>
          <w:numId w:val="1"/>
        </w:numPr>
        <w:tabs>
          <w:tab w:pos="2287" w:val="left" w:leader="none"/>
        </w:tabs>
        <w:spacing w:line="256" w:lineRule="auto" w:before="103" w:after="0"/>
        <w:ind w:left="2287" w:right="1417" w:hanging="360"/>
        <w:jc w:val="both"/>
        <w:rPr>
          <w:sz w:val="17"/>
        </w:rPr>
      </w:pPr>
      <w:r>
        <w:rPr>
          <w:color w:val="231F20"/>
          <w:w w:val="105"/>
          <w:sz w:val="17"/>
        </w:rPr>
        <w:t>Before the first shipment of any package requiring competent authority approval, the consignor shall ensure that copies of each applicable competent authority certificate applying to that package design have</w:t>
      </w:r>
      <w:r>
        <w:rPr>
          <w:color w:val="231F20"/>
          <w:w w:val="105"/>
          <w:sz w:val="17"/>
        </w:rPr>
        <w:t> been</w:t>
      </w:r>
      <w:r>
        <w:rPr>
          <w:color w:val="231F20"/>
          <w:w w:val="105"/>
          <w:sz w:val="17"/>
        </w:rPr>
        <w:t> submitted</w:t>
      </w:r>
      <w:r>
        <w:rPr>
          <w:color w:val="231F20"/>
          <w:w w:val="105"/>
          <w:sz w:val="17"/>
        </w:rPr>
        <w:t> to</w:t>
      </w:r>
      <w:r>
        <w:rPr>
          <w:color w:val="231F20"/>
          <w:w w:val="105"/>
          <w:sz w:val="17"/>
        </w:rPr>
        <w:t> the</w:t>
      </w:r>
      <w:r>
        <w:rPr>
          <w:color w:val="231F20"/>
          <w:w w:val="105"/>
          <w:sz w:val="17"/>
        </w:rPr>
        <w:t> competent</w:t>
      </w:r>
      <w:r>
        <w:rPr>
          <w:color w:val="231F20"/>
          <w:w w:val="105"/>
          <w:sz w:val="17"/>
        </w:rPr>
        <w:t> authority</w:t>
      </w:r>
      <w:r>
        <w:rPr>
          <w:color w:val="231F20"/>
          <w:w w:val="105"/>
          <w:sz w:val="17"/>
        </w:rPr>
        <w:t> of</w:t>
      </w:r>
      <w:r>
        <w:rPr>
          <w:color w:val="231F20"/>
          <w:w w:val="105"/>
          <w:sz w:val="17"/>
        </w:rPr>
        <w:t> the</w:t>
      </w:r>
      <w:r>
        <w:rPr>
          <w:color w:val="231F20"/>
          <w:w w:val="105"/>
          <w:sz w:val="17"/>
        </w:rPr>
        <w:t> country</w:t>
      </w:r>
      <w:r>
        <w:rPr>
          <w:color w:val="231F20"/>
          <w:w w:val="105"/>
          <w:sz w:val="17"/>
        </w:rPr>
        <w:t> of</w:t>
      </w:r>
      <w:r>
        <w:rPr>
          <w:color w:val="231F20"/>
          <w:w w:val="105"/>
          <w:sz w:val="17"/>
        </w:rPr>
        <w:t> origin</w:t>
      </w:r>
      <w:r>
        <w:rPr>
          <w:color w:val="231F20"/>
          <w:w w:val="105"/>
          <w:sz w:val="17"/>
        </w:rPr>
        <w:t> of</w:t>
      </w:r>
      <w:r>
        <w:rPr>
          <w:color w:val="231F20"/>
          <w:w w:val="105"/>
          <w:sz w:val="17"/>
        </w:rPr>
        <w:t> the</w:t>
      </w:r>
      <w:r>
        <w:rPr>
          <w:color w:val="231F20"/>
          <w:w w:val="105"/>
          <w:sz w:val="17"/>
        </w:rPr>
        <w:t> shipment</w:t>
      </w:r>
      <w:r>
        <w:rPr>
          <w:color w:val="231F20"/>
          <w:w w:val="105"/>
          <w:sz w:val="17"/>
        </w:rPr>
        <w:t> and</w:t>
      </w:r>
      <w:r>
        <w:rPr>
          <w:color w:val="231F20"/>
          <w:w w:val="105"/>
          <w:sz w:val="17"/>
        </w:rPr>
        <w:t> to</w:t>
      </w:r>
      <w:r>
        <w:rPr>
          <w:color w:val="231F20"/>
          <w:w w:val="105"/>
          <w:sz w:val="17"/>
        </w:rPr>
        <w:t> the competent</w:t>
      </w:r>
      <w:r>
        <w:rPr>
          <w:color w:val="231F20"/>
          <w:spacing w:val="40"/>
          <w:w w:val="105"/>
          <w:sz w:val="17"/>
        </w:rPr>
        <w:t> </w:t>
      </w:r>
      <w:r>
        <w:rPr>
          <w:color w:val="231F20"/>
          <w:w w:val="105"/>
          <w:sz w:val="17"/>
        </w:rPr>
        <w:t>authority</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each</w:t>
      </w:r>
      <w:r>
        <w:rPr>
          <w:color w:val="231F20"/>
          <w:spacing w:val="40"/>
          <w:w w:val="105"/>
          <w:sz w:val="17"/>
        </w:rPr>
        <w:t> </w:t>
      </w:r>
      <w:r>
        <w:rPr>
          <w:color w:val="231F20"/>
          <w:w w:val="105"/>
          <w:sz w:val="17"/>
        </w:rPr>
        <w:t>country</w:t>
      </w:r>
      <w:r>
        <w:rPr>
          <w:color w:val="231F20"/>
          <w:spacing w:val="40"/>
          <w:w w:val="105"/>
          <w:sz w:val="17"/>
        </w:rPr>
        <w:t> </w:t>
      </w:r>
      <w:r>
        <w:rPr>
          <w:color w:val="231F20"/>
          <w:w w:val="105"/>
          <w:sz w:val="17"/>
        </w:rPr>
        <w:t>through</w:t>
      </w:r>
      <w:r>
        <w:rPr>
          <w:color w:val="231F20"/>
          <w:spacing w:val="40"/>
          <w:w w:val="105"/>
          <w:sz w:val="17"/>
        </w:rPr>
        <w:t> </w:t>
      </w:r>
      <w:r>
        <w:rPr>
          <w:color w:val="231F20"/>
          <w:w w:val="105"/>
          <w:sz w:val="17"/>
        </w:rPr>
        <w:t>or</w:t>
      </w:r>
      <w:r>
        <w:rPr>
          <w:color w:val="231F20"/>
          <w:spacing w:val="40"/>
          <w:w w:val="105"/>
          <w:sz w:val="17"/>
        </w:rPr>
        <w:t> </w:t>
      </w:r>
      <w:r>
        <w:rPr>
          <w:color w:val="231F20"/>
          <w:w w:val="105"/>
          <w:sz w:val="17"/>
        </w:rPr>
        <w:t>into</w:t>
      </w:r>
      <w:r>
        <w:rPr>
          <w:color w:val="231F20"/>
          <w:spacing w:val="40"/>
          <w:w w:val="105"/>
          <w:sz w:val="17"/>
        </w:rPr>
        <w:t> </w:t>
      </w:r>
      <w:r>
        <w:rPr>
          <w:color w:val="231F20"/>
          <w:w w:val="105"/>
          <w:sz w:val="17"/>
        </w:rPr>
        <w:t>which</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consignment</w:t>
      </w:r>
      <w:r>
        <w:rPr>
          <w:color w:val="231F20"/>
          <w:spacing w:val="40"/>
          <w:w w:val="105"/>
          <w:sz w:val="17"/>
        </w:rPr>
        <w:t> </w:t>
      </w:r>
      <w:r>
        <w:rPr>
          <w:color w:val="231F20"/>
          <w:w w:val="105"/>
          <w:sz w:val="17"/>
        </w:rPr>
        <w:t>is</w:t>
      </w:r>
      <w:r>
        <w:rPr>
          <w:color w:val="231F20"/>
          <w:spacing w:val="40"/>
          <w:w w:val="105"/>
          <w:sz w:val="17"/>
        </w:rPr>
        <w:t> </w:t>
      </w:r>
      <w:r>
        <w:rPr>
          <w:color w:val="231F20"/>
          <w:w w:val="105"/>
          <w:sz w:val="17"/>
        </w:rPr>
        <w:t>to</w:t>
      </w:r>
      <w:r>
        <w:rPr>
          <w:color w:val="231F20"/>
          <w:spacing w:val="40"/>
          <w:w w:val="105"/>
          <w:sz w:val="17"/>
        </w:rPr>
        <w:t> </w:t>
      </w:r>
      <w:r>
        <w:rPr>
          <w:color w:val="231F20"/>
          <w:w w:val="105"/>
          <w:sz w:val="17"/>
        </w:rPr>
        <w:t>be</w:t>
      </w:r>
      <w:r>
        <w:rPr>
          <w:color w:val="231F20"/>
          <w:spacing w:val="40"/>
          <w:w w:val="105"/>
          <w:sz w:val="17"/>
        </w:rPr>
        <w:t> </w:t>
      </w:r>
      <w:r>
        <w:rPr>
          <w:color w:val="231F20"/>
          <w:w w:val="105"/>
          <w:sz w:val="17"/>
        </w:rPr>
        <w:t>transported. The consignor is not required to await an acknowledgement from the competent authority, nor is the competent authority required to make such acknowledgement of receipt of the certificate.</w:t>
      </w:r>
    </w:p>
    <w:p>
      <w:pPr>
        <w:pStyle w:val="ListParagraph"/>
        <w:spacing w:after="0" w:line="256" w:lineRule="auto"/>
        <w:jc w:val="both"/>
        <w:rPr>
          <w:sz w:val="17"/>
        </w:rPr>
        <w:sectPr>
          <w:pgSz w:w="11910" w:h="16840"/>
          <w:pgMar w:header="303" w:footer="570" w:top="1540" w:bottom="760" w:left="0" w:right="0"/>
        </w:sectPr>
      </w:pPr>
    </w:p>
    <w:p>
      <w:pPr>
        <w:pStyle w:val="ListParagraph"/>
        <w:numPr>
          <w:ilvl w:val="5"/>
          <w:numId w:val="1"/>
        </w:numPr>
        <w:tabs>
          <w:tab w:pos="2855" w:val="left" w:leader="none"/>
        </w:tabs>
        <w:spacing w:line="240" w:lineRule="auto" w:before="109" w:after="0"/>
        <w:ind w:left="2855" w:right="0" w:hanging="358"/>
        <w:jc w:val="both"/>
        <w:rPr>
          <w:sz w:val="17"/>
        </w:rPr>
      </w:pPr>
      <w:r>
        <w:rPr>
          <w:color w:val="231F20"/>
          <w:w w:val="105"/>
          <w:sz w:val="17"/>
        </w:rPr>
        <w:t>For</w:t>
      </w:r>
      <w:r>
        <w:rPr>
          <w:color w:val="231F20"/>
          <w:spacing w:val="-1"/>
          <w:w w:val="105"/>
          <w:sz w:val="17"/>
        </w:rPr>
        <w:t> </w:t>
      </w:r>
      <w:r>
        <w:rPr>
          <w:color w:val="231F20"/>
          <w:w w:val="105"/>
          <w:sz w:val="17"/>
        </w:rPr>
        <w:t>each</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following</w:t>
      </w:r>
      <w:r>
        <w:rPr>
          <w:color w:val="231F20"/>
          <w:spacing w:val="-1"/>
          <w:w w:val="105"/>
          <w:sz w:val="17"/>
        </w:rPr>
        <w:t> </w:t>
      </w:r>
      <w:r>
        <w:rPr>
          <w:color w:val="231F20"/>
          <w:w w:val="105"/>
          <w:sz w:val="17"/>
        </w:rPr>
        <w:t>types</w:t>
      </w:r>
      <w:r>
        <w:rPr>
          <w:color w:val="231F20"/>
          <w:spacing w:val="-1"/>
          <w:w w:val="105"/>
          <w:sz w:val="17"/>
        </w:rPr>
        <w:t> </w:t>
      </w:r>
      <w:r>
        <w:rPr>
          <w:color w:val="231F20"/>
          <w:w w:val="105"/>
          <w:sz w:val="17"/>
        </w:rPr>
        <w:t>of </w:t>
      </w:r>
      <w:r>
        <w:rPr>
          <w:color w:val="231F20"/>
          <w:spacing w:val="-2"/>
          <w:w w:val="105"/>
          <w:sz w:val="17"/>
        </w:rPr>
        <w:t>shipments:</w:t>
      </w:r>
    </w:p>
    <w:p>
      <w:pPr>
        <w:pStyle w:val="ListParagraph"/>
        <w:numPr>
          <w:ilvl w:val="6"/>
          <w:numId w:val="1"/>
        </w:numPr>
        <w:tabs>
          <w:tab w:pos="3217" w:val="left" w:leader="none"/>
        </w:tabs>
        <w:spacing w:line="256" w:lineRule="auto" w:before="60" w:after="0"/>
        <w:ind w:left="3217" w:right="848" w:hanging="360"/>
        <w:jc w:val="both"/>
        <w:rPr>
          <w:sz w:val="17"/>
        </w:rPr>
      </w:pPr>
      <w:r>
        <w:rPr>
          <w:color w:val="231F20"/>
          <w:w w:val="105"/>
          <w:sz w:val="17"/>
        </w:rPr>
        <w:t>Type</w:t>
      </w:r>
      <w:r>
        <w:rPr>
          <w:color w:val="231F20"/>
          <w:spacing w:val="-9"/>
          <w:w w:val="105"/>
          <w:sz w:val="17"/>
        </w:rPr>
        <w:t> </w:t>
      </w:r>
      <w:r>
        <w:rPr>
          <w:color w:val="231F20"/>
          <w:w w:val="105"/>
          <w:sz w:val="17"/>
        </w:rPr>
        <w:t>C</w:t>
      </w:r>
      <w:r>
        <w:rPr>
          <w:color w:val="231F20"/>
          <w:spacing w:val="-9"/>
          <w:w w:val="105"/>
          <w:sz w:val="17"/>
        </w:rPr>
        <w:t> </w:t>
      </w:r>
      <w:r>
        <w:rPr>
          <w:color w:val="231F20"/>
          <w:w w:val="105"/>
          <w:sz w:val="17"/>
        </w:rPr>
        <w:t>packages</w:t>
      </w:r>
      <w:r>
        <w:rPr>
          <w:color w:val="231F20"/>
          <w:spacing w:val="-9"/>
          <w:w w:val="105"/>
          <w:sz w:val="17"/>
        </w:rPr>
        <w:t> </w:t>
      </w:r>
      <w:r>
        <w:rPr>
          <w:color w:val="231F20"/>
          <w:w w:val="105"/>
          <w:sz w:val="17"/>
        </w:rPr>
        <w:t>containing</w:t>
      </w:r>
      <w:r>
        <w:rPr>
          <w:color w:val="231F20"/>
          <w:spacing w:val="-9"/>
          <w:w w:val="105"/>
          <w:sz w:val="17"/>
        </w:rPr>
        <w:t> </w:t>
      </w:r>
      <w:r>
        <w:rPr>
          <w:color w:val="231F20"/>
          <w:w w:val="105"/>
          <w:sz w:val="17"/>
        </w:rPr>
        <w:t>radioactive</w:t>
      </w:r>
      <w:r>
        <w:rPr>
          <w:color w:val="231F20"/>
          <w:spacing w:val="-9"/>
          <w:w w:val="105"/>
          <w:sz w:val="17"/>
        </w:rPr>
        <w:t> </w:t>
      </w:r>
      <w:r>
        <w:rPr>
          <w:color w:val="231F20"/>
          <w:w w:val="105"/>
          <w:sz w:val="17"/>
        </w:rPr>
        <w:t>material</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an</w:t>
      </w:r>
      <w:r>
        <w:rPr>
          <w:color w:val="231F20"/>
          <w:spacing w:val="-9"/>
          <w:w w:val="105"/>
          <w:sz w:val="17"/>
        </w:rPr>
        <w:t> </w:t>
      </w:r>
      <w:r>
        <w:rPr>
          <w:color w:val="231F20"/>
          <w:w w:val="105"/>
          <w:sz w:val="17"/>
        </w:rPr>
        <w:t>activity</w:t>
      </w:r>
      <w:r>
        <w:rPr>
          <w:color w:val="231F20"/>
          <w:spacing w:val="-9"/>
          <w:w w:val="105"/>
          <w:sz w:val="17"/>
        </w:rPr>
        <w:t> </w:t>
      </w:r>
      <w:r>
        <w:rPr>
          <w:color w:val="231F20"/>
          <w:w w:val="105"/>
          <w:sz w:val="17"/>
        </w:rPr>
        <w:t>greater</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3,000</w:t>
      </w:r>
      <w:r>
        <w:rPr>
          <w:rFonts w:ascii="Arial"/>
          <w:i/>
          <w:color w:val="231F20"/>
          <w:w w:val="105"/>
          <w:sz w:val="17"/>
        </w:rPr>
        <w:t>A</w:t>
      </w:r>
      <w:r>
        <w:rPr>
          <w:color w:val="231F20"/>
          <w:w w:val="105"/>
          <w:sz w:val="17"/>
          <w:vertAlign w:val="subscript"/>
        </w:rPr>
        <w:t>1</w:t>
      </w:r>
      <w:r>
        <w:rPr>
          <w:color w:val="231F20"/>
          <w:spacing w:val="-9"/>
          <w:w w:val="105"/>
          <w:sz w:val="17"/>
          <w:vertAlign w:val="baseline"/>
        </w:rPr>
        <w:t> </w:t>
      </w:r>
      <w:r>
        <w:rPr>
          <w:rFonts w:ascii="Arial"/>
          <w:i/>
          <w:color w:val="231F20"/>
          <w:w w:val="105"/>
          <w:sz w:val="17"/>
          <w:vertAlign w:val="baseline"/>
        </w:rPr>
        <w:t>or</w:t>
      </w:r>
      <w:r>
        <w:rPr>
          <w:rFonts w:ascii="Arial"/>
          <w:i/>
          <w:color w:val="231F20"/>
          <w:spacing w:val="-9"/>
          <w:w w:val="105"/>
          <w:sz w:val="17"/>
          <w:vertAlign w:val="baseline"/>
        </w:rPr>
        <w:t> </w:t>
      </w:r>
      <w:r>
        <w:rPr>
          <w:color w:val="231F20"/>
          <w:w w:val="105"/>
          <w:sz w:val="17"/>
          <w:vertAlign w:val="baseline"/>
        </w:rPr>
        <w:t>3,000</w:t>
      </w:r>
      <w:r>
        <w:rPr>
          <w:rFonts w:ascii="Arial"/>
          <w:i/>
          <w:color w:val="231F20"/>
          <w:w w:val="105"/>
          <w:sz w:val="17"/>
          <w:vertAlign w:val="baseline"/>
        </w:rPr>
        <w:t>A</w:t>
      </w:r>
      <w:r>
        <w:rPr>
          <w:color w:val="231F20"/>
          <w:w w:val="105"/>
          <w:sz w:val="17"/>
          <w:vertAlign w:val="subscript"/>
        </w:rPr>
        <w:t>2</w:t>
      </w:r>
      <w:r>
        <w:rPr>
          <w:color w:val="231F20"/>
          <w:w w:val="105"/>
          <w:sz w:val="17"/>
          <w:vertAlign w:val="baseline"/>
        </w:rPr>
        <w:t>,</w:t>
      </w:r>
      <w:r>
        <w:rPr>
          <w:color w:val="231F20"/>
          <w:spacing w:val="-9"/>
          <w:w w:val="105"/>
          <w:sz w:val="17"/>
          <w:vertAlign w:val="baseline"/>
        </w:rPr>
        <w:t> </w:t>
      </w:r>
      <w:r>
        <w:rPr>
          <w:color w:val="231F20"/>
          <w:w w:val="105"/>
          <w:sz w:val="17"/>
          <w:vertAlign w:val="baseline"/>
        </w:rPr>
        <w:t>as appropriate, or 1,000 TBq, whichever is the lower;</w:t>
      </w:r>
    </w:p>
    <w:p>
      <w:pPr>
        <w:pStyle w:val="ListParagraph"/>
        <w:numPr>
          <w:ilvl w:val="6"/>
          <w:numId w:val="1"/>
        </w:numPr>
        <w:tabs>
          <w:tab w:pos="3214" w:val="left" w:leader="none"/>
          <w:tab w:pos="3217" w:val="left" w:leader="none"/>
        </w:tabs>
        <w:spacing w:line="256" w:lineRule="auto" w:before="47" w:after="0"/>
        <w:ind w:left="3217" w:right="848" w:hanging="361"/>
        <w:jc w:val="both"/>
        <w:rPr>
          <w:sz w:val="17"/>
        </w:rPr>
      </w:pPr>
      <w:r>
        <w:rPr>
          <w:color w:val="231F20"/>
          <w:w w:val="105"/>
          <w:sz w:val="17"/>
        </w:rPr>
        <w:t>Type</w:t>
      </w:r>
      <w:r>
        <w:rPr>
          <w:color w:val="231F20"/>
          <w:spacing w:val="-10"/>
          <w:w w:val="105"/>
          <w:sz w:val="17"/>
        </w:rPr>
        <w:t> </w:t>
      </w:r>
      <w:r>
        <w:rPr>
          <w:color w:val="231F20"/>
          <w:w w:val="105"/>
          <w:sz w:val="17"/>
        </w:rPr>
        <w:t>B(U)</w:t>
      </w:r>
      <w:r>
        <w:rPr>
          <w:color w:val="231F20"/>
          <w:spacing w:val="-10"/>
          <w:w w:val="105"/>
          <w:sz w:val="17"/>
        </w:rPr>
        <w:t> </w:t>
      </w:r>
      <w:r>
        <w:rPr>
          <w:color w:val="231F20"/>
          <w:w w:val="105"/>
          <w:sz w:val="17"/>
        </w:rPr>
        <w:t>packages</w:t>
      </w:r>
      <w:r>
        <w:rPr>
          <w:color w:val="231F20"/>
          <w:spacing w:val="-10"/>
          <w:w w:val="105"/>
          <w:sz w:val="17"/>
        </w:rPr>
        <w:t> </w:t>
      </w:r>
      <w:r>
        <w:rPr>
          <w:color w:val="231F20"/>
          <w:w w:val="105"/>
          <w:sz w:val="17"/>
        </w:rPr>
        <w:t>containing</w:t>
      </w:r>
      <w:r>
        <w:rPr>
          <w:color w:val="231F20"/>
          <w:spacing w:val="-10"/>
          <w:w w:val="105"/>
          <w:sz w:val="17"/>
        </w:rPr>
        <w:t> </w:t>
      </w:r>
      <w:r>
        <w:rPr>
          <w:color w:val="231F20"/>
          <w:w w:val="105"/>
          <w:sz w:val="17"/>
        </w:rPr>
        <w:t>radioactive</w:t>
      </w:r>
      <w:r>
        <w:rPr>
          <w:color w:val="231F20"/>
          <w:spacing w:val="-10"/>
          <w:w w:val="105"/>
          <w:sz w:val="17"/>
        </w:rPr>
        <w:t> </w:t>
      </w:r>
      <w:r>
        <w:rPr>
          <w:color w:val="231F20"/>
          <w:w w:val="105"/>
          <w:sz w:val="17"/>
        </w:rPr>
        <w:t>material</w:t>
      </w:r>
      <w:r>
        <w:rPr>
          <w:color w:val="231F20"/>
          <w:spacing w:val="-10"/>
          <w:w w:val="105"/>
          <w:sz w:val="17"/>
        </w:rPr>
        <w:t> </w:t>
      </w:r>
      <w:r>
        <w:rPr>
          <w:color w:val="231F20"/>
          <w:w w:val="105"/>
          <w:sz w:val="17"/>
        </w:rPr>
        <w:t>with</w:t>
      </w:r>
      <w:r>
        <w:rPr>
          <w:color w:val="231F20"/>
          <w:spacing w:val="-10"/>
          <w:w w:val="105"/>
          <w:sz w:val="17"/>
        </w:rPr>
        <w:t> </w:t>
      </w:r>
      <w:r>
        <w:rPr>
          <w:color w:val="231F20"/>
          <w:w w:val="105"/>
          <w:sz w:val="17"/>
        </w:rPr>
        <w:t>an</w:t>
      </w:r>
      <w:r>
        <w:rPr>
          <w:color w:val="231F20"/>
          <w:spacing w:val="-10"/>
          <w:w w:val="105"/>
          <w:sz w:val="17"/>
        </w:rPr>
        <w:t> </w:t>
      </w:r>
      <w:r>
        <w:rPr>
          <w:color w:val="231F20"/>
          <w:w w:val="105"/>
          <w:sz w:val="17"/>
        </w:rPr>
        <w:t>activity</w:t>
      </w:r>
      <w:r>
        <w:rPr>
          <w:color w:val="231F20"/>
          <w:spacing w:val="-10"/>
          <w:w w:val="105"/>
          <w:sz w:val="17"/>
        </w:rPr>
        <w:t> </w:t>
      </w:r>
      <w:r>
        <w:rPr>
          <w:color w:val="231F20"/>
          <w:w w:val="105"/>
          <w:sz w:val="17"/>
        </w:rPr>
        <w:t>greater</w:t>
      </w:r>
      <w:r>
        <w:rPr>
          <w:color w:val="231F20"/>
          <w:spacing w:val="-10"/>
          <w:w w:val="105"/>
          <w:sz w:val="17"/>
        </w:rPr>
        <w:t> </w:t>
      </w:r>
      <w:r>
        <w:rPr>
          <w:color w:val="231F20"/>
          <w:w w:val="105"/>
          <w:sz w:val="17"/>
        </w:rPr>
        <w:t>than</w:t>
      </w:r>
      <w:r>
        <w:rPr>
          <w:color w:val="231F20"/>
          <w:spacing w:val="-10"/>
          <w:w w:val="105"/>
          <w:sz w:val="17"/>
        </w:rPr>
        <w:t> </w:t>
      </w:r>
      <w:r>
        <w:rPr>
          <w:color w:val="231F20"/>
          <w:w w:val="105"/>
          <w:sz w:val="17"/>
        </w:rPr>
        <w:t>3,000</w:t>
      </w:r>
      <w:r>
        <w:rPr>
          <w:rFonts w:ascii="Arial"/>
          <w:i/>
          <w:color w:val="231F20"/>
          <w:w w:val="105"/>
          <w:sz w:val="17"/>
        </w:rPr>
        <w:t>A</w:t>
      </w:r>
      <w:r>
        <w:rPr>
          <w:color w:val="231F20"/>
          <w:w w:val="105"/>
          <w:sz w:val="17"/>
          <w:vertAlign w:val="subscript"/>
        </w:rPr>
        <w:t>1</w:t>
      </w:r>
      <w:r>
        <w:rPr>
          <w:color w:val="231F20"/>
          <w:spacing w:val="-10"/>
          <w:w w:val="105"/>
          <w:sz w:val="17"/>
          <w:vertAlign w:val="baseline"/>
        </w:rPr>
        <w:t> </w:t>
      </w:r>
      <w:r>
        <w:rPr>
          <w:rFonts w:ascii="Arial"/>
          <w:i/>
          <w:color w:val="231F20"/>
          <w:w w:val="105"/>
          <w:sz w:val="17"/>
          <w:vertAlign w:val="baseline"/>
        </w:rPr>
        <w:t>or</w:t>
      </w:r>
      <w:r>
        <w:rPr>
          <w:rFonts w:ascii="Arial"/>
          <w:i/>
          <w:color w:val="231F20"/>
          <w:spacing w:val="-10"/>
          <w:w w:val="105"/>
          <w:sz w:val="17"/>
          <w:vertAlign w:val="baseline"/>
        </w:rPr>
        <w:t> </w:t>
      </w:r>
      <w:r>
        <w:rPr>
          <w:color w:val="231F20"/>
          <w:w w:val="105"/>
          <w:sz w:val="17"/>
          <w:vertAlign w:val="baseline"/>
        </w:rPr>
        <w:t>3,000</w:t>
      </w:r>
      <w:r>
        <w:rPr>
          <w:rFonts w:ascii="Arial"/>
          <w:i/>
          <w:color w:val="231F20"/>
          <w:w w:val="105"/>
          <w:sz w:val="17"/>
          <w:vertAlign w:val="baseline"/>
        </w:rPr>
        <w:t>A</w:t>
      </w:r>
      <w:r>
        <w:rPr>
          <w:color w:val="231F20"/>
          <w:w w:val="105"/>
          <w:sz w:val="17"/>
          <w:vertAlign w:val="subscript"/>
        </w:rPr>
        <w:t>2</w:t>
      </w:r>
      <w:r>
        <w:rPr>
          <w:color w:val="231F20"/>
          <w:w w:val="105"/>
          <w:sz w:val="17"/>
          <w:vertAlign w:val="baseline"/>
        </w:rPr>
        <w:t>, as appropriate, or 1,000 TBq, whichever is the lower;</w:t>
      </w:r>
    </w:p>
    <w:p>
      <w:pPr>
        <w:pStyle w:val="ListParagraph"/>
        <w:numPr>
          <w:ilvl w:val="6"/>
          <w:numId w:val="1"/>
        </w:numPr>
        <w:tabs>
          <w:tab w:pos="3215" w:val="left" w:leader="none"/>
        </w:tabs>
        <w:spacing w:line="240" w:lineRule="auto" w:before="47" w:after="0"/>
        <w:ind w:left="3215" w:right="0" w:hanging="358"/>
        <w:jc w:val="both"/>
        <w:rPr>
          <w:sz w:val="17"/>
        </w:rPr>
      </w:pPr>
      <w:r>
        <w:rPr>
          <w:color w:val="231F20"/>
          <w:sz w:val="17"/>
        </w:rPr>
        <w:t>Type</w:t>
      </w:r>
      <w:r>
        <w:rPr>
          <w:color w:val="231F20"/>
          <w:spacing w:val="-3"/>
          <w:sz w:val="17"/>
        </w:rPr>
        <w:t> </w:t>
      </w:r>
      <w:r>
        <w:rPr>
          <w:color w:val="231F20"/>
          <w:sz w:val="17"/>
        </w:rPr>
        <w:t>B(M)</w:t>
      </w:r>
      <w:r>
        <w:rPr>
          <w:color w:val="231F20"/>
          <w:spacing w:val="-3"/>
          <w:sz w:val="17"/>
        </w:rPr>
        <w:t> </w:t>
      </w:r>
      <w:r>
        <w:rPr>
          <w:color w:val="231F20"/>
          <w:spacing w:val="-2"/>
          <w:sz w:val="17"/>
        </w:rPr>
        <w:t>packages;</w:t>
      </w:r>
    </w:p>
    <w:p>
      <w:pPr>
        <w:pStyle w:val="ListParagraph"/>
        <w:numPr>
          <w:ilvl w:val="6"/>
          <w:numId w:val="1"/>
        </w:numPr>
        <w:tabs>
          <w:tab w:pos="3216" w:val="left" w:leader="none"/>
        </w:tabs>
        <w:spacing w:line="240" w:lineRule="auto" w:before="61" w:after="0"/>
        <w:ind w:left="3216" w:right="0" w:hanging="359"/>
        <w:jc w:val="both"/>
        <w:rPr>
          <w:sz w:val="17"/>
        </w:rPr>
      </w:pPr>
      <w:r>
        <w:rPr>
          <w:color w:val="231F20"/>
          <w:w w:val="105"/>
          <w:sz w:val="17"/>
        </w:rPr>
        <w:t>shipment</w:t>
      </w:r>
      <w:r>
        <w:rPr>
          <w:color w:val="231F20"/>
          <w:spacing w:val="-1"/>
          <w:w w:val="105"/>
          <w:sz w:val="17"/>
        </w:rPr>
        <w:t> </w:t>
      </w:r>
      <w:r>
        <w:rPr>
          <w:color w:val="231F20"/>
          <w:w w:val="105"/>
          <w:sz w:val="17"/>
        </w:rPr>
        <w:t>under special</w:t>
      </w:r>
      <w:r>
        <w:rPr>
          <w:color w:val="231F20"/>
          <w:spacing w:val="-1"/>
          <w:w w:val="105"/>
          <w:sz w:val="17"/>
        </w:rPr>
        <w:t> </w:t>
      </w:r>
      <w:r>
        <w:rPr>
          <w:color w:val="231F20"/>
          <w:spacing w:val="-2"/>
          <w:w w:val="105"/>
          <w:sz w:val="17"/>
        </w:rPr>
        <w:t>arrangement;</w:t>
      </w:r>
    </w:p>
    <w:p>
      <w:pPr>
        <w:pStyle w:val="BodyText"/>
        <w:spacing w:line="256" w:lineRule="auto" w:before="80"/>
        <w:ind w:left="2857" w:right="847"/>
        <w:jc w:val="both"/>
      </w:pPr>
      <w:r>
        <w:rPr>
          <w:color w:val="231F20"/>
          <w:w w:val="105"/>
        </w:rPr>
        <w:t>the</w:t>
      </w:r>
      <w:r>
        <w:rPr>
          <w:color w:val="231F20"/>
          <w:w w:val="105"/>
        </w:rPr>
        <w:t> consignor</w:t>
      </w:r>
      <w:r>
        <w:rPr>
          <w:color w:val="231F20"/>
          <w:w w:val="105"/>
        </w:rPr>
        <w:t> shall</w:t>
      </w:r>
      <w:r>
        <w:rPr>
          <w:color w:val="231F20"/>
          <w:w w:val="105"/>
        </w:rPr>
        <w:t> notify</w:t>
      </w:r>
      <w:r>
        <w:rPr>
          <w:color w:val="231F20"/>
          <w:w w:val="105"/>
        </w:rPr>
        <w:t> the</w:t>
      </w:r>
      <w:r>
        <w:rPr>
          <w:color w:val="231F20"/>
          <w:w w:val="105"/>
        </w:rPr>
        <w:t> competent</w:t>
      </w:r>
      <w:r>
        <w:rPr>
          <w:color w:val="231F20"/>
          <w:w w:val="105"/>
        </w:rPr>
        <w:t> authority</w:t>
      </w:r>
      <w:r>
        <w:rPr>
          <w:color w:val="231F20"/>
          <w:w w:val="105"/>
        </w:rPr>
        <w:t> of</w:t>
      </w:r>
      <w:r>
        <w:rPr>
          <w:color w:val="231F20"/>
          <w:w w:val="105"/>
        </w:rPr>
        <w:t> the</w:t>
      </w:r>
      <w:r>
        <w:rPr>
          <w:color w:val="231F20"/>
          <w:w w:val="105"/>
        </w:rPr>
        <w:t> country</w:t>
      </w:r>
      <w:r>
        <w:rPr>
          <w:color w:val="231F20"/>
          <w:w w:val="105"/>
        </w:rPr>
        <w:t> of</w:t>
      </w:r>
      <w:r>
        <w:rPr>
          <w:color w:val="231F20"/>
          <w:w w:val="105"/>
        </w:rPr>
        <w:t> origin</w:t>
      </w:r>
      <w:r>
        <w:rPr>
          <w:color w:val="231F20"/>
          <w:w w:val="105"/>
        </w:rPr>
        <w:t> of</w:t>
      </w:r>
      <w:r>
        <w:rPr>
          <w:color w:val="231F20"/>
          <w:w w:val="105"/>
        </w:rPr>
        <w:t> the</w:t>
      </w:r>
      <w:r>
        <w:rPr>
          <w:color w:val="231F20"/>
          <w:w w:val="105"/>
        </w:rPr>
        <w:t> shipment</w:t>
      </w:r>
      <w:r>
        <w:rPr>
          <w:color w:val="231F20"/>
          <w:w w:val="105"/>
        </w:rPr>
        <w:t> and</w:t>
      </w:r>
      <w:r>
        <w:rPr>
          <w:color w:val="231F20"/>
          <w:w w:val="105"/>
        </w:rPr>
        <w:t> the competent authority of each country through or into which the consignment is to be transported. This notification shall be in the possession of each competent authority prior to the commencement of the shipment, and preferably at least 7 days in advance.</w:t>
      </w:r>
    </w:p>
    <w:p>
      <w:pPr>
        <w:pStyle w:val="ListParagraph"/>
        <w:numPr>
          <w:ilvl w:val="5"/>
          <w:numId w:val="1"/>
        </w:numPr>
        <w:tabs>
          <w:tab w:pos="2854" w:val="left" w:leader="none"/>
          <w:tab w:pos="2857" w:val="left" w:leader="none"/>
        </w:tabs>
        <w:spacing w:line="256" w:lineRule="auto" w:before="69" w:after="0"/>
        <w:ind w:left="2857" w:right="847" w:hanging="361"/>
        <w:jc w:val="both"/>
        <w:rPr>
          <w:sz w:val="17"/>
        </w:rPr>
      </w:pPr>
      <w:r>
        <w:rPr>
          <w:color w:val="231F20"/>
          <w:w w:val="105"/>
          <w:sz w:val="17"/>
        </w:rPr>
        <w:t>The</w:t>
      </w:r>
      <w:r>
        <w:rPr>
          <w:color w:val="231F20"/>
          <w:spacing w:val="-10"/>
          <w:w w:val="105"/>
          <w:sz w:val="17"/>
        </w:rPr>
        <w:t> </w:t>
      </w:r>
      <w:r>
        <w:rPr>
          <w:color w:val="231F20"/>
          <w:w w:val="105"/>
          <w:sz w:val="17"/>
        </w:rPr>
        <w:t>consignor</w:t>
      </w:r>
      <w:r>
        <w:rPr>
          <w:color w:val="231F20"/>
          <w:spacing w:val="-10"/>
          <w:w w:val="105"/>
          <w:sz w:val="17"/>
        </w:rPr>
        <w:t> </w:t>
      </w:r>
      <w:r>
        <w:rPr>
          <w:color w:val="231F20"/>
          <w:w w:val="105"/>
          <w:sz w:val="17"/>
        </w:rPr>
        <w:t>is</w:t>
      </w:r>
      <w:r>
        <w:rPr>
          <w:color w:val="231F20"/>
          <w:spacing w:val="-10"/>
          <w:w w:val="105"/>
          <w:sz w:val="17"/>
        </w:rPr>
        <w:t> </w:t>
      </w:r>
      <w:r>
        <w:rPr>
          <w:color w:val="231F20"/>
          <w:w w:val="105"/>
          <w:sz w:val="17"/>
        </w:rPr>
        <w:t>not</w:t>
      </w:r>
      <w:r>
        <w:rPr>
          <w:color w:val="231F20"/>
          <w:spacing w:val="-10"/>
          <w:w w:val="105"/>
          <w:sz w:val="17"/>
        </w:rPr>
        <w:t> </w:t>
      </w:r>
      <w:r>
        <w:rPr>
          <w:color w:val="231F20"/>
          <w:w w:val="105"/>
          <w:sz w:val="17"/>
        </w:rPr>
        <w:t>required</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send</w:t>
      </w:r>
      <w:r>
        <w:rPr>
          <w:color w:val="231F20"/>
          <w:spacing w:val="-10"/>
          <w:w w:val="105"/>
          <w:sz w:val="17"/>
        </w:rPr>
        <w:t> </w:t>
      </w:r>
      <w:r>
        <w:rPr>
          <w:color w:val="231F20"/>
          <w:w w:val="105"/>
          <w:sz w:val="17"/>
        </w:rPr>
        <w:t>a</w:t>
      </w:r>
      <w:r>
        <w:rPr>
          <w:color w:val="231F20"/>
          <w:spacing w:val="-10"/>
          <w:w w:val="105"/>
          <w:sz w:val="17"/>
        </w:rPr>
        <w:t> </w:t>
      </w:r>
      <w:r>
        <w:rPr>
          <w:color w:val="231F20"/>
          <w:w w:val="105"/>
          <w:sz w:val="17"/>
        </w:rPr>
        <w:t>separate</w:t>
      </w:r>
      <w:r>
        <w:rPr>
          <w:color w:val="231F20"/>
          <w:spacing w:val="-10"/>
          <w:w w:val="105"/>
          <w:sz w:val="17"/>
        </w:rPr>
        <w:t> </w:t>
      </w:r>
      <w:r>
        <w:rPr>
          <w:color w:val="231F20"/>
          <w:w w:val="105"/>
          <w:sz w:val="17"/>
        </w:rPr>
        <w:t>notification</w:t>
      </w:r>
      <w:r>
        <w:rPr>
          <w:color w:val="231F20"/>
          <w:spacing w:val="-10"/>
          <w:w w:val="105"/>
          <w:sz w:val="17"/>
        </w:rPr>
        <w:t> </w:t>
      </w:r>
      <w:r>
        <w:rPr>
          <w:color w:val="231F20"/>
          <w:w w:val="105"/>
          <w:sz w:val="17"/>
        </w:rPr>
        <w:t>if</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required</w:t>
      </w:r>
      <w:r>
        <w:rPr>
          <w:color w:val="231F20"/>
          <w:spacing w:val="-10"/>
          <w:w w:val="105"/>
          <w:sz w:val="17"/>
        </w:rPr>
        <w:t> </w:t>
      </w:r>
      <w:r>
        <w:rPr>
          <w:color w:val="231F20"/>
          <w:w w:val="105"/>
          <w:sz w:val="17"/>
        </w:rPr>
        <w:t>information</w:t>
      </w:r>
      <w:r>
        <w:rPr>
          <w:color w:val="231F20"/>
          <w:spacing w:val="-10"/>
          <w:w w:val="105"/>
          <w:sz w:val="17"/>
        </w:rPr>
        <w:t> </w:t>
      </w:r>
      <w:r>
        <w:rPr>
          <w:color w:val="231F20"/>
          <w:w w:val="105"/>
          <w:sz w:val="17"/>
        </w:rPr>
        <w:t>has</w:t>
      </w:r>
      <w:r>
        <w:rPr>
          <w:color w:val="231F20"/>
          <w:spacing w:val="-10"/>
          <w:w w:val="105"/>
          <w:sz w:val="17"/>
        </w:rPr>
        <w:t> </w:t>
      </w:r>
      <w:r>
        <w:rPr>
          <w:color w:val="231F20"/>
          <w:w w:val="105"/>
          <w:sz w:val="17"/>
        </w:rPr>
        <w:t>been</w:t>
      </w:r>
      <w:r>
        <w:rPr>
          <w:color w:val="231F20"/>
          <w:spacing w:val="-10"/>
          <w:w w:val="105"/>
          <w:sz w:val="17"/>
        </w:rPr>
        <w:t> </w:t>
      </w:r>
      <w:r>
        <w:rPr>
          <w:color w:val="231F20"/>
          <w:w w:val="105"/>
          <w:sz w:val="17"/>
        </w:rPr>
        <w:t>included in the application for approval of shipment (see 6.4.23.2).</w:t>
      </w:r>
    </w:p>
    <w:p>
      <w:pPr>
        <w:pStyle w:val="ListParagraph"/>
        <w:numPr>
          <w:ilvl w:val="5"/>
          <w:numId w:val="1"/>
        </w:numPr>
        <w:tabs>
          <w:tab w:pos="2856" w:val="left" w:leader="none"/>
        </w:tabs>
        <w:spacing w:line="240" w:lineRule="auto" w:before="67" w:after="0"/>
        <w:ind w:left="2856" w:right="0" w:hanging="359"/>
        <w:jc w:val="both"/>
        <w:rPr>
          <w:sz w:val="17"/>
        </w:rPr>
      </w:pPr>
      <w:r>
        <w:rPr>
          <w:color w:val="231F20"/>
          <w:w w:val="105"/>
          <w:sz w:val="17"/>
        </w:rPr>
        <w:t>The</w:t>
      </w:r>
      <w:r>
        <w:rPr>
          <w:color w:val="231F20"/>
          <w:spacing w:val="-2"/>
          <w:w w:val="105"/>
          <w:sz w:val="17"/>
        </w:rPr>
        <w:t> </w:t>
      </w:r>
      <w:r>
        <w:rPr>
          <w:color w:val="231F20"/>
          <w:w w:val="105"/>
          <w:sz w:val="17"/>
        </w:rPr>
        <w:t>consignment</w:t>
      </w:r>
      <w:r>
        <w:rPr>
          <w:color w:val="231F20"/>
          <w:spacing w:val="-2"/>
          <w:w w:val="105"/>
          <w:sz w:val="17"/>
        </w:rPr>
        <w:t> </w:t>
      </w:r>
      <w:r>
        <w:rPr>
          <w:color w:val="231F20"/>
          <w:w w:val="105"/>
          <w:sz w:val="17"/>
        </w:rPr>
        <w:t>notification</w:t>
      </w:r>
      <w:r>
        <w:rPr>
          <w:color w:val="231F20"/>
          <w:spacing w:val="-1"/>
          <w:w w:val="105"/>
          <w:sz w:val="17"/>
        </w:rPr>
        <w:t> </w:t>
      </w:r>
      <w:r>
        <w:rPr>
          <w:color w:val="231F20"/>
          <w:w w:val="105"/>
          <w:sz w:val="17"/>
        </w:rPr>
        <w:t>shall</w:t>
      </w:r>
      <w:r>
        <w:rPr>
          <w:color w:val="231F20"/>
          <w:spacing w:val="-2"/>
          <w:w w:val="105"/>
          <w:sz w:val="17"/>
        </w:rPr>
        <w:t> include:</w:t>
      </w:r>
    </w:p>
    <w:p>
      <w:pPr>
        <w:pStyle w:val="ListParagraph"/>
        <w:numPr>
          <w:ilvl w:val="6"/>
          <w:numId w:val="1"/>
        </w:numPr>
        <w:tabs>
          <w:tab w:pos="3217" w:val="left" w:leader="none"/>
        </w:tabs>
        <w:spacing w:line="256" w:lineRule="auto" w:before="60" w:after="0"/>
        <w:ind w:left="3217" w:right="846" w:hanging="360"/>
        <w:jc w:val="left"/>
        <w:rPr>
          <w:sz w:val="17"/>
        </w:rPr>
      </w:pPr>
      <w:r>
        <w:rPr>
          <w:color w:val="231F20"/>
          <w:w w:val="105"/>
          <w:sz w:val="17"/>
        </w:rPr>
        <w:t>sufficient</w:t>
      </w:r>
      <w:r>
        <w:rPr>
          <w:color w:val="231F20"/>
          <w:spacing w:val="-7"/>
          <w:w w:val="105"/>
          <w:sz w:val="17"/>
        </w:rPr>
        <w:t> </w:t>
      </w:r>
      <w:r>
        <w:rPr>
          <w:color w:val="231F20"/>
          <w:w w:val="105"/>
          <w:sz w:val="17"/>
        </w:rPr>
        <w:t>information</w:t>
      </w:r>
      <w:r>
        <w:rPr>
          <w:color w:val="231F20"/>
          <w:spacing w:val="-7"/>
          <w:w w:val="105"/>
          <w:sz w:val="17"/>
        </w:rPr>
        <w:t> </w:t>
      </w:r>
      <w:r>
        <w:rPr>
          <w:color w:val="231F20"/>
          <w:w w:val="105"/>
          <w:sz w:val="17"/>
        </w:rPr>
        <w:t>to</w:t>
      </w:r>
      <w:r>
        <w:rPr>
          <w:color w:val="231F20"/>
          <w:spacing w:val="-7"/>
          <w:w w:val="105"/>
          <w:sz w:val="17"/>
        </w:rPr>
        <w:t> </w:t>
      </w:r>
      <w:r>
        <w:rPr>
          <w:color w:val="231F20"/>
          <w:w w:val="105"/>
          <w:sz w:val="17"/>
        </w:rPr>
        <w:t>enable</w:t>
      </w:r>
      <w:r>
        <w:rPr>
          <w:color w:val="231F20"/>
          <w:spacing w:val="-7"/>
          <w:w w:val="105"/>
          <w:sz w:val="17"/>
        </w:rPr>
        <w:t> </w:t>
      </w:r>
      <w:r>
        <w:rPr>
          <w:color w:val="231F20"/>
          <w:w w:val="105"/>
          <w:sz w:val="17"/>
        </w:rPr>
        <w:t>the</w:t>
      </w:r>
      <w:r>
        <w:rPr>
          <w:color w:val="231F20"/>
          <w:spacing w:val="-7"/>
          <w:w w:val="105"/>
          <w:sz w:val="17"/>
        </w:rPr>
        <w:t> </w:t>
      </w:r>
      <w:r>
        <w:rPr>
          <w:color w:val="231F20"/>
          <w:w w:val="105"/>
          <w:sz w:val="17"/>
        </w:rPr>
        <w:t>identification</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package</w:t>
      </w:r>
      <w:r>
        <w:rPr>
          <w:color w:val="231F20"/>
          <w:spacing w:val="-7"/>
          <w:w w:val="105"/>
          <w:sz w:val="17"/>
        </w:rPr>
        <w:t> </w:t>
      </w:r>
      <w:r>
        <w:rPr>
          <w:color w:val="231F20"/>
          <w:w w:val="105"/>
          <w:sz w:val="17"/>
        </w:rPr>
        <w:t>or</w:t>
      </w:r>
      <w:r>
        <w:rPr>
          <w:color w:val="231F20"/>
          <w:spacing w:val="-7"/>
          <w:w w:val="105"/>
          <w:sz w:val="17"/>
        </w:rPr>
        <w:t> </w:t>
      </w:r>
      <w:r>
        <w:rPr>
          <w:color w:val="231F20"/>
          <w:w w:val="105"/>
          <w:sz w:val="17"/>
        </w:rPr>
        <w:t>packages,</w:t>
      </w:r>
      <w:r>
        <w:rPr>
          <w:color w:val="231F20"/>
          <w:spacing w:val="-7"/>
          <w:w w:val="105"/>
          <w:sz w:val="17"/>
        </w:rPr>
        <w:t> </w:t>
      </w:r>
      <w:r>
        <w:rPr>
          <w:color w:val="231F20"/>
          <w:w w:val="105"/>
          <w:sz w:val="17"/>
        </w:rPr>
        <w:t>including</w:t>
      </w:r>
      <w:r>
        <w:rPr>
          <w:color w:val="231F20"/>
          <w:spacing w:val="-7"/>
          <w:w w:val="105"/>
          <w:sz w:val="17"/>
        </w:rPr>
        <w:t> </w:t>
      </w:r>
      <w:r>
        <w:rPr>
          <w:color w:val="231F20"/>
          <w:w w:val="105"/>
          <w:sz w:val="17"/>
        </w:rPr>
        <w:t>all</w:t>
      </w:r>
      <w:r>
        <w:rPr>
          <w:color w:val="231F20"/>
          <w:spacing w:val="-7"/>
          <w:w w:val="105"/>
          <w:sz w:val="17"/>
        </w:rPr>
        <w:t> </w:t>
      </w:r>
      <w:r>
        <w:rPr>
          <w:color w:val="231F20"/>
          <w:w w:val="105"/>
          <w:sz w:val="17"/>
        </w:rPr>
        <w:t>applicable certificate numbers and identification marks;</w:t>
      </w:r>
    </w:p>
    <w:p>
      <w:pPr>
        <w:pStyle w:val="ListParagraph"/>
        <w:numPr>
          <w:ilvl w:val="6"/>
          <w:numId w:val="1"/>
        </w:numPr>
        <w:tabs>
          <w:tab w:pos="3217" w:val="left" w:leader="none"/>
        </w:tabs>
        <w:spacing w:line="240" w:lineRule="auto" w:before="48" w:after="0"/>
        <w:ind w:left="3217" w:right="0" w:hanging="360"/>
        <w:jc w:val="left"/>
        <w:rPr>
          <w:sz w:val="17"/>
        </w:rPr>
      </w:pPr>
      <w:r>
        <w:rPr>
          <w:color w:val="231F20"/>
          <w:w w:val="105"/>
          <w:sz w:val="17"/>
        </w:rPr>
        <w:t>information</w:t>
      </w:r>
      <w:r>
        <w:rPr>
          <w:color w:val="231F20"/>
          <w:spacing w:val="-1"/>
          <w:w w:val="105"/>
          <w:sz w:val="17"/>
        </w:rPr>
        <w:t> </w:t>
      </w:r>
      <w:r>
        <w:rPr>
          <w:color w:val="231F20"/>
          <w:w w:val="105"/>
          <w:sz w:val="17"/>
        </w:rPr>
        <w:t>on the date of</w:t>
      </w:r>
      <w:r>
        <w:rPr>
          <w:color w:val="231F20"/>
          <w:spacing w:val="-1"/>
          <w:w w:val="105"/>
          <w:sz w:val="17"/>
        </w:rPr>
        <w:t> </w:t>
      </w:r>
      <w:r>
        <w:rPr>
          <w:color w:val="231F20"/>
          <w:w w:val="105"/>
          <w:sz w:val="17"/>
        </w:rPr>
        <w:t>shipment, the expected date of</w:t>
      </w:r>
      <w:r>
        <w:rPr>
          <w:color w:val="231F20"/>
          <w:spacing w:val="-1"/>
          <w:w w:val="105"/>
          <w:sz w:val="17"/>
        </w:rPr>
        <w:t> </w:t>
      </w:r>
      <w:r>
        <w:rPr>
          <w:color w:val="231F20"/>
          <w:w w:val="105"/>
          <w:sz w:val="17"/>
        </w:rPr>
        <w:t>arrival and proposed </w:t>
      </w:r>
      <w:r>
        <w:rPr>
          <w:color w:val="231F20"/>
          <w:spacing w:val="-2"/>
          <w:w w:val="105"/>
          <w:sz w:val="17"/>
        </w:rPr>
        <w:t>routeing;</w:t>
      </w:r>
    </w:p>
    <w:p>
      <w:pPr>
        <w:pStyle w:val="ListParagraph"/>
        <w:numPr>
          <w:ilvl w:val="6"/>
          <w:numId w:val="1"/>
        </w:numPr>
        <w:tabs>
          <w:tab w:pos="3217" w:val="left" w:leader="none"/>
        </w:tabs>
        <w:spacing w:line="240" w:lineRule="auto" w:before="60" w:after="0"/>
        <w:ind w:left="3217" w:right="0" w:hanging="360"/>
        <w:jc w:val="left"/>
        <w:rPr>
          <w:sz w:val="17"/>
        </w:rPr>
      </w:pPr>
      <w:r>
        <w:rPr>
          <w:color w:val="231F20"/>
          <w:w w:val="105"/>
          <w:sz w:val="17"/>
        </w:rPr>
        <w:t>the</w:t>
      </w:r>
      <w:r>
        <w:rPr>
          <w:color w:val="231F20"/>
          <w:spacing w:val="-4"/>
          <w:w w:val="105"/>
          <w:sz w:val="17"/>
        </w:rPr>
        <w:t> </w:t>
      </w:r>
      <w:r>
        <w:rPr>
          <w:color w:val="231F20"/>
          <w:w w:val="105"/>
          <w:sz w:val="17"/>
        </w:rPr>
        <w:t>names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radioactive</w:t>
      </w:r>
      <w:r>
        <w:rPr>
          <w:color w:val="231F20"/>
          <w:spacing w:val="-4"/>
          <w:w w:val="105"/>
          <w:sz w:val="17"/>
        </w:rPr>
        <w:t> </w:t>
      </w:r>
      <w:r>
        <w:rPr>
          <w:color w:val="231F20"/>
          <w:w w:val="105"/>
          <w:sz w:val="17"/>
        </w:rPr>
        <w:t>material</w:t>
      </w:r>
      <w:r>
        <w:rPr>
          <w:color w:val="231F20"/>
          <w:spacing w:val="-4"/>
          <w:w w:val="105"/>
          <w:sz w:val="17"/>
        </w:rPr>
        <w:t> </w:t>
      </w:r>
      <w:r>
        <w:rPr>
          <w:color w:val="231F20"/>
          <w:w w:val="105"/>
          <w:sz w:val="17"/>
        </w:rPr>
        <w:t>or</w:t>
      </w:r>
      <w:r>
        <w:rPr>
          <w:color w:val="231F20"/>
          <w:spacing w:val="-4"/>
          <w:w w:val="105"/>
          <w:sz w:val="17"/>
        </w:rPr>
        <w:t> </w:t>
      </w:r>
      <w:r>
        <w:rPr>
          <w:color w:val="231F20"/>
          <w:spacing w:val="-2"/>
          <w:w w:val="105"/>
          <w:sz w:val="17"/>
        </w:rPr>
        <w:t>nuclides;</w:t>
      </w:r>
    </w:p>
    <w:p>
      <w:pPr>
        <w:pStyle w:val="ListParagraph"/>
        <w:numPr>
          <w:ilvl w:val="6"/>
          <w:numId w:val="1"/>
        </w:numPr>
        <w:tabs>
          <w:tab w:pos="3217" w:val="left" w:leader="none"/>
        </w:tabs>
        <w:spacing w:line="256" w:lineRule="auto" w:before="60" w:after="0"/>
        <w:ind w:left="3217" w:right="848" w:hanging="360"/>
        <w:jc w:val="both"/>
        <w:rPr>
          <w:sz w:val="17"/>
        </w:rPr>
      </w:pPr>
      <w:r>
        <w:rPr>
          <w:color w:val="231F20"/>
          <w:w w:val="105"/>
          <w:sz w:val="17"/>
        </w:rPr>
        <w:t>descriptions of the physical and chemical forms of the radioactive material, or whether it is special form radioactive material or low dispersible radioactive material; and</w:t>
      </w:r>
    </w:p>
    <w:p>
      <w:pPr>
        <w:pStyle w:val="ListParagraph"/>
        <w:numPr>
          <w:ilvl w:val="6"/>
          <w:numId w:val="1"/>
        </w:numPr>
        <w:tabs>
          <w:tab w:pos="3215" w:val="left" w:leader="none"/>
          <w:tab w:pos="3217" w:val="left" w:leader="none"/>
        </w:tabs>
        <w:spacing w:line="256" w:lineRule="auto" w:before="47" w:after="0"/>
        <w:ind w:left="3217" w:right="847" w:hanging="360"/>
        <w:jc w:val="both"/>
        <w:rPr>
          <w:sz w:val="17"/>
        </w:rPr>
      </w:pPr>
      <w:r>
        <w:rPr>
          <w:color w:val="231F20"/>
          <w:w w:val="105"/>
          <w:sz w:val="17"/>
        </w:rPr>
        <w:t>the maximum activity of the radioactive contents during transport, expressed in units of becquerels </w:t>
      </w:r>
      <w:r>
        <w:rPr>
          <w:color w:val="231F20"/>
          <w:sz w:val="17"/>
        </w:rPr>
        <w:t>(Bq) with an appropriate SI prefix symbol (see 1.2.2.1). For fissile material, the mass of fissile material </w:t>
      </w:r>
      <w:r>
        <w:rPr>
          <w:color w:val="231F20"/>
          <w:w w:val="105"/>
          <w:sz w:val="17"/>
        </w:rPr>
        <w:t>(or of each fissile nuclide for mixtures when appropriate) in units of grams (g), or multiples thereof, may be used in place of activity.</w:t>
      </w:r>
    </w:p>
    <w:p>
      <w:pPr>
        <w:pStyle w:val="BodyText"/>
        <w:spacing w:before="84"/>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Certificates</w:t>
      </w:r>
      <w:r>
        <w:rPr>
          <w:color w:val="231F20"/>
          <w:spacing w:val="8"/>
          <w:w w:val="105"/>
        </w:rPr>
        <w:t> </w:t>
      </w:r>
      <w:r>
        <w:rPr>
          <w:color w:val="231F20"/>
          <w:w w:val="105"/>
        </w:rPr>
        <w:t>issued</w:t>
      </w:r>
      <w:r>
        <w:rPr>
          <w:color w:val="231F20"/>
          <w:spacing w:val="9"/>
          <w:w w:val="105"/>
        </w:rPr>
        <w:t> </w:t>
      </w:r>
      <w:r>
        <w:rPr>
          <w:color w:val="231F20"/>
          <w:w w:val="105"/>
        </w:rPr>
        <w:t>by</w:t>
      </w:r>
      <w:r>
        <w:rPr>
          <w:color w:val="231F20"/>
          <w:spacing w:val="8"/>
          <w:w w:val="105"/>
        </w:rPr>
        <w:t> </w:t>
      </w:r>
      <w:r>
        <w:rPr>
          <w:color w:val="231F20"/>
          <w:w w:val="105"/>
        </w:rPr>
        <w:t>competent</w:t>
      </w:r>
      <w:r>
        <w:rPr>
          <w:color w:val="231F20"/>
          <w:spacing w:val="9"/>
          <w:w w:val="105"/>
        </w:rPr>
        <w:t> </w:t>
      </w:r>
      <w:r>
        <w:rPr>
          <w:color w:val="231F20"/>
          <w:spacing w:val="-2"/>
          <w:w w:val="105"/>
        </w:rPr>
        <w:t>authority</w:t>
      </w:r>
    </w:p>
    <w:p>
      <w:pPr>
        <w:pStyle w:val="ListParagraph"/>
        <w:numPr>
          <w:ilvl w:val="4"/>
          <w:numId w:val="1"/>
        </w:numPr>
        <w:tabs>
          <w:tab w:pos="2497" w:val="left" w:leader="none"/>
        </w:tabs>
        <w:spacing w:line="240" w:lineRule="auto" w:before="138" w:after="0"/>
        <w:ind w:left="2497" w:right="0" w:hanging="1080"/>
        <w:jc w:val="left"/>
        <w:rPr>
          <w:color w:val="231F20"/>
          <w:sz w:val="17"/>
        </w:rPr>
      </w:pPr>
      <w:r>
        <w:rPr>
          <w:color w:val="231F20"/>
          <w:w w:val="105"/>
          <w:sz w:val="17"/>
        </w:rPr>
        <w:t>Certificates issued by the competent authority are required for the </w:t>
      </w:r>
      <w:r>
        <w:rPr>
          <w:color w:val="231F20"/>
          <w:spacing w:val="-2"/>
          <w:w w:val="105"/>
          <w:sz w:val="17"/>
        </w:rPr>
        <w:t>following:</w:t>
      </w:r>
    </w:p>
    <w:p>
      <w:pPr>
        <w:pStyle w:val="ListParagraph"/>
        <w:numPr>
          <w:ilvl w:val="5"/>
          <w:numId w:val="1"/>
        </w:numPr>
        <w:tabs>
          <w:tab w:pos="2857" w:val="left" w:leader="none"/>
        </w:tabs>
        <w:spacing w:line="240" w:lineRule="auto" w:before="80" w:after="0"/>
        <w:ind w:left="2857" w:right="0" w:hanging="360"/>
        <w:jc w:val="left"/>
        <w:rPr>
          <w:sz w:val="17"/>
        </w:rPr>
      </w:pPr>
      <w:r>
        <w:rPr>
          <w:color w:val="231F20"/>
          <w:w w:val="105"/>
          <w:sz w:val="17"/>
        </w:rPr>
        <w:t>designs</w:t>
      </w:r>
      <w:r>
        <w:rPr>
          <w:color w:val="231F20"/>
          <w:spacing w:val="-2"/>
          <w:w w:val="105"/>
          <w:sz w:val="17"/>
        </w:rPr>
        <w:t> </w:t>
      </w:r>
      <w:r>
        <w:rPr>
          <w:color w:val="231F20"/>
          <w:spacing w:val="-4"/>
          <w:w w:val="105"/>
          <w:sz w:val="17"/>
        </w:rPr>
        <w:t>for:</w:t>
      </w:r>
    </w:p>
    <w:p>
      <w:pPr>
        <w:pStyle w:val="ListParagraph"/>
        <w:numPr>
          <w:ilvl w:val="6"/>
          <w:numId w:val="1"/>
        </w:numPr>
        <w:tabs>
          <w:tab w:pos="3217" w:val="left" w:leader="none"/>
        </w:tabs>
        <w:spacing w:line="240" w:lineRule="auto" w:before="60" w:after="0"/>
        <w:ind w:left="3217" w:right="0" w:hanging="360"/>
        <w:jc w:val="left"/>
        <w:rPr>
          <w:sz w:val="17"/>
        </w:rPr>
      </w:pPr>
      <w:r>
        <w:rPr>
          <w:color w:val="231F20"/>
          <w:w w:val="105"/>
          <w:sz w:val="17"/>
        </w:rPr>
        <w:t>special form radioactive </w:t>
      </w:r>
      <w:r>
        <w:rPr>
          <w:color w:val="231F20"/>
          <w:spacing w:val="-2"/>
          <w:w w:val="105"/>
          <w:sz w:val="17"/>
        </w:rPr>
        <w:t>material;</w:t>
      </w:r>
    </w:p>
    <w:p>
      <w:pPr>
        <w:pStyle w:val="ListParagraph"/>
        <w:numPr>
          <w:ilvl w:val="6"/>
          <w:numId w:val="1"/>
        </w:numPr>
        <w:tabs>
          <w:tab w:pos="3217" w:val="left" w:leader="none"/>
        </w:tabs>
        <w:spacing w:line="240" w:lineRule="auto" w:before="61" w:after="0"/>
        <w:ind w:left="3217" w:right="0" w:hanging="360"/>
        <w:jc w:val="left"/>
        <w:rPr>
          <w:sz w:val="17"/>
        </w:rPr>
      </w:pPr>
      <w:r>
        <w:rPr>
          <w:color w:val="231F20"/>
          <w:w w:val="105"/>
          <w:sz w:val="17"/>
        </w:rPr>
        <w:t>low</w:t>
      </w:r>
      <w:r>
        <w:rPr>
          <w:color w:val="231F20"/>
          <w:spacing w:val="-1"/>
          <w:w w:val="105"/>
          <w:sz w:val="17"/>
        </w:rPr>
        <w:t> </w:t>
      </w:r>
      <w:r>
        <w:rPr>
          <w:color w:val="231F20"/>
          <w:w w:val="105"/>
          <w:sz w:val="17"/>
        </w:rPr>
        <w:t>dispersible radioactive </w:t>
      </w:r>
      <w:r>
        <w:rPr>
          <w:color w:val="231F20"/>
          <w:spacing w:val="-2"/>
          <w:w w:val="105"/>
          <w:sz w:val="17"/>
        </w:rPr>
        <w:t>material;</w:t>
      </w:r>
    </w:p>
    <w:p>
      <w:pPr>
        <w:pStyle w:val="ListParagraph"/>
        <w:numPr>
          <w:ilvl w:val="6"/>
          <w:numId w:val="1"/>
        </w:numPr>
        <w:tabs>
          <w:tab w:pos="3217" w:val="left" w:leader="none"/>
        </w:tabs>
        <w:spacing w:line="240" w:lineRule="auto" w:before="60" w:after="0"/>
        <w:ind w:left="3217" w:right="0" w:hanging="360"/>
        <w:jc w:val="left"/>
        <w:rPr>
          <w:sz w:val="17"/>
        </w:rPr>
      </w:pPr>
      <w:r>
        <w:rPr>
          <w:color w:val="231F20"/>
          <w:w w:val="105"/>
          <w:sz w:val="17"/>
        </w:rPr>
        <w:t>fissile</w:t>
      </w:r>
      <w:r>
        <w:rPr>
          <w:color w:val="231F20"/>
          <w:spacing w:val="-6"/>
          <w:w w:val="105"/>
          <w:sz w:val="17"/>
        </w:rPr>
        <w:t> </w:t>
      </w:r>
      <w:r>
        <w:rPr>
          <w:color w:val="231F20"/>
          <w:w w:val="105"/>
          <w:sz w:val="17"/>
        </w:rPr>
        <w:t>material</w:t>
      </w:r>
      <w:r>
        <w:rPr>
          <w:color w:val="231F20"/>
          <w:spacing w:val="-5"/>
          <w:w w:val="105"/>
          <w:sz w:val="17"/>
        </w:rPr>
        <w:t> </w:t>
      </w:r>
      <w:r>
        <w:rPr>
          <w:color w:val="231F20"/>
          <w:w w:val="105"/>
          <w:sz w:val="17"/>
        </w:rPr>
        <w:t>excepted</w:t>
      </w:r>
      <w:r>
        <w:rPr>
          <w:color w:val="231F20"/>
          <w:spacing w:val="-5"/>
          <w:w w:val="105"/>
          <w:sz w:val="17"/>
        </w:rPr>
        <w:t> </w:t>
      </w:r>
      <w:r>
        <w:rPr>
          <w:color w:val="231F20"/>
          <w:w w:val="105"/>
          <w:sz w:val="17"/>
        </w:rPr>
        <w:t>under</w:t>
      </w:r>
      <w:r>
        <w:rPr>
          <w:color w:val="231F20"/>
          <w:spacing w:val="-5"/>
          <w:w w:val="105"/>
          <w:sz w:val="17"/>
        </w:rPr>
        <w:t> </w:t>
      </w:r>
      <w:r>
        <w:rPr>
          <w:color w:val="231F20"/>
          <w:spacing w:val="-2"/>
          <w:w w:val="105"/>
          <w:sz w:val="17"/>
        </w:rPr>
        <w:t>2.7.2.3.5.6;</w:t>
      </w:r>
    </w:p>
    <w:p>
      <w:pPr>
        <w:pStyle w:val="ListParagraph"/>
        <w:numPr>
          <w:ilvl w:val="6"/>
          <w:numId w:val="1"/>
        </w:numPr>
        <w:tabs>
          <w:tab w:pos="3217" w:val="left" w:leader="none"/>
        </w:tabs>
        <w:spacing w:line="240" w:lineRule="auto" w:before="60" w:after="0"/>
        <w:ind w:left="3217" w:right="0" w:hanging="360"/>
        <w:jc w:val="left"/>
        <w:rPr>
          <w:sz w:val="17"/>
        </w:rPr>
      </w:pPr>
      <w:r>
        <w:rPr>
          <w:color w:val="231F20"/>
          <w:w w:val="105"/>
          <w:sz w:val="17"/>
        </w:rPr>
        <w:t>packages</w:t>
      </w:r>
      <w:r>
        <w:rPr>
          <w:color w:val="231F20"/>
          <w:spacing w:val="-5"/>
          <w:w w:val="105"/>
          <w:sz w:val="17"/>
        </w:rPr>
        <w:t> </w:t>
      </w:r>
      <w:r>
        <w:rPr>
          <w:color w:val="231F20"/>
          <w:w w:val="105"/>
          <w:sz w:val="17"/>
        </w:rPr>
        <w:t>containing</w:t>
      </w:r>
      <w:r>
        <w:rPr>
          <w:color w:val="231F20"/>
          <w:spacing w:val="-4"/>
          <w:w w:val="105"/>
          <w:sz w:val="17"/>
        </w:rPr>
        <w:t> </w:t>
      </w:r>
      <w:r>
        <w:rPr>
          <w:color w:val="231F20"/>
          <w:w w:val="105"/>
          <w:sz w:val="17"/>
        </w:rPr>
        <w:t>0.1</w:t>
      </w:r>
      <w:r>
        <w:rPr>
          <w:color w:val="231F20"/>
          <w:spacing w:val="-5"/>
          <w:w w:val="105"/>
          <w:sz w:val="17"/>
        </w:rPr>
        <w:t> </w:t>
      </w:r>
      <w:r>
        <w:rPr>
          <w:color w:val="231F20"/>
          <w:w w:val="105"/>
          <w:sz w:val="17"/>
        </w:rPr>
        <w:t>kg</w:t>
      </w:r>
      <w:r>
        <w:rPr>
          <w:color w:val="231F20"/>
          <w:spacing w:val="-4"/>
          <w:w w:val="105"/>
          <w:sz w:val="17"/>
        </w:rPr>
        <w:t> </w:t>
      </w:r>
      <w:r>
        <w:rPr>
          <w:color w:val="231F20"/>
          <w:w w:val="105"/>
          <w:sz w:val="17"/>
        </w:rPr>
        <w:t>or</w:t>
      </w:r>
      <w:r>
        <w:rPr>
          <w:color w:val="231F20"/>
          <w:spacing w:val="-5"/>
          <w:w w:val="105"/>
          <w:sz w:val="17"/>
        </w:rPr>
        <w:t> </w:t>
      </w:r>
      <w:r>
        <w:rPr>
          <w:color w:val="231F20"/>
          <w:w w:val="105"/>
          <w:sz w:val="17"/>
        </w:rPr>
        <w:t>more</w:t>
      </w:r>
      <w:r>
        <w:rPr>
          <w:color w:val="231F20"/>
          <w:spacing w:val="-4"/>
          <w:w w:val="105"/>
          <w:sz w:val="17"/>
        </w:rPr>
        <w:t> </w:t>
      </w:r>
      <w:r>
        <w:rPr>
          <w:color w:val="231F20"/>
          <w:w w:val="105"/>
          <w:sz w:val="17"/>
        </w:rPr>
        <w:t>of</w:t>
      </w:r>
      <w:r>
        <w:rPr>
          <w:color w:val="231F20"/>
          <w:spacing w:val="-5"/>
          <w:w w:val="105"/>
          <w:sz w:val="17"/>
        </w:rPr>
        <w:t> </w:t>
      </w:r>
      <w:r>
        <w:rPr>
          <w:color w:val="231F20"/>
          <w:w w:val="105"/>
          <w:sz w:val="17"/>
        </w:rPr>
        <w:t>uranium</w:t>
      </w:r>
      <w:r>
        <w:rPr>
          <w:color w:val="231F20"/>
          <w:spacing w:val="-4"/>
          <w:w w:val="105"/>
          <w:sz w:val="17"/>
        </w:rPr>
        <w:t> </w:t>
      </w:r>
      <w:r>
        <w:rPr>
          <w:color w:val="231F20"/>
          <w:spacing w:val="-2"/>
          <w:w w:val="105"/>
          <w:sz w:val="17"/>
        </w:rPr>
        <w:t>hexafluoride;</w:t>
      </w:r>
    </w:p>
    <w:p>
      <w:pPr>
        <w:pStyle w:val="ListParagraph"/>
        <w:numPr>
          <w:ilvl w:val="6"/>
          <w:numId w:val="1"/>
        </w:numPr>
        <w:tabs>
          <w:tab w:pos="3217" w:val="left" w:leader="none"/>
        </w:tabs>
        <w:spacing w:line="240" w:lineRule="auto" w:before="60" w:after="0"/>
        <w:ind w:left="3217" w:right="0" w:hanging="360"/>
        <w:jc w:val="left"/>
        <w:rPr>
          <w:sz w:val="17"/>
        </w:rPr>
      </w:pPr>
      <w:r>
        <w:rPr>
          <w:sz w:val="17"/>
        </w:rPr>
        <mc:AlternateContent>
          <mc:Choice Requires="wps">
            <w:drawing>
              <wp:anchor distT="0" distB="0" distL="0" distR="0" allowOverlap="1" layoutInCell="1" locked="0" behindDoc="0" simplePos="0" relativeHeight="15730176">
                <wp:simplePos x="0" y="0"/>
                <wp:positionH relativeFrom="page">
                  <wp:posOffset>7199998</wp:posOffset>
                </wp:positionH>
                <wp:positionV relativeFrom="paragraph">
                  <wp:posOffset>123846</wp:posOffset>
                </wp:positionV>
                <wp:extent cx="360045" cy="15303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566.929016pt;margin-top:9.751657pt;width:28.35pt;height:120.5pt;mso-position-horizontal-relative:page;mso-position-vertical-relative:paragraph;z-index:15730176" type="#_x0000_t202" id="docshape23"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spacing w:val="-2"/>
          <w:w w:val="105"/>
          <w:sz w:val="17"/>
        </w:rPr>
        <w:t>packages</w:t>
      </w:r>
      <w:r>
        <w:rPr>
          <w:color w:val="231F20"/>
          <w:w w:val="105"/>
          <w:sz w:val="17"/>
        </w:rPr>
        <w:t> </w:t>
      </w:r>
      <w:r>
        <w:rPr>
          <w:color w:val="231F20"/>
          <w:spacing w:val="-2"/>
          <w:w w:val="105"/>
          <w:sz w:val="17"/>
        </w:rPr>
        <w:t>containing</w:t>
      </w:r>
      <w:r>
        <w:rPr>
          <w:color w:val="231F20"/>
          <w:spacing w:val="1"/>
          <w:w w:val="105"/>
          <w:sz w:val="17"/>
        </w:rPr>
        <w:t> </w:t>
      </w:r>
      <w:r>
        <w:rPr>
          <w:color w:val="231F20"/>
          <w:spacing w:val="-2"/>
          <w:w w:val="105"/>
          <w:sz w:val="17"/>
        </w:rPr>
        <w:t>fissile</w:t>
      </w:r>
      <w:r>
        <w:rPr>
          <w:color w:val="231F20"/>
          <w:w w:val="105"/>
          <w:sz w:val="17"/>
        </w:rPr>
        <w:t> </w:t>
      </w:r>
      <w:r>
        <w:rPr>
          <w:color w:val="231F20"/>
          <w:spacing w:val="-2"/>
          <w:w w:val="105"/>
          <w:sz w:val="17"/>
        </w:rPr>
        <w:t>material</w:t>
      </w:r>
      <w:r>
        <w:rPr>
          <w:color w:val="231F20"/>
          <w:spacing w:val="1"/>
          <w:w w:val="105"/>
          <w:sz w:val="17"/>
        </w:rPr>
        <w:t> </w:t>
      </w:r>
      <w:r>
        <w:rPr>
          <w:color w:val="231F20"/>
          <w:spacing w:val="-2"/>
          <w:w w:val="105"/>
          <w:sz w:val="17"/>
        </w:rPr>
        <w:t>unless</w:t>
      </w:r>
      <w:r>
        <w:rPr>
          <w:color w:val="231F20"/>
          <w:w w:val="105"/>
          <w:sz w:val="17"/>
        </w:rPr>
        <w:t> </w:t>
      </w:r>
      <w:r>
        <w:rPr>
          <w:color w:val="231F20"/>
          <w:spacing w:val="-2"/>
          <w:w w:val="105"/>
          <w:sz w:val="17"/>
        </w:rPr>
        <w:t>excepted</w:t>
      </w:r>
      <w:r>
        <w:rPr>
          <w:color w:val="231F20"/>
          <w:spacing w:val="1"/>
          <w:w w:val="105"/>
          <w:sz w:val="17"/>
        </w:rPr>
        <w:t> </w:t>
      </w:r>
      <w:r>
        <w:rPr>
          <w:color w:val="231F20"/>
          <w:spacing w:val="-2"/>
          <w:w w:val="105"/>
          <w:sz w:val="17"/>
        </w:rPr>
        <w:t>by</w:t>
      </w:r>
      <w:r>
        <w:rPr>
          <w:color w:val="231F20"/>
          <w:w w:val="105"/>
          <w:sz w:val="17"/>
        </w:rPr>
        <w:t> </w:t>
      </w:r>
      <w:r>
        <w:rPr>
          <w:color w:val="231F20"/>
          <w:spacing w:val="-2"/>
          <w:w w:val="105"/>
          <w:sz w:val="17"/>
        </w:rPr>
        <w:t>2.7.2.3.5,</w:t>
      </w:r>
      <w:r>
        <w:rPr>
          <w:color w:val="231F20"/>
          <w:spacing w:val="1"/>
          <w:w w:val="105"/>
          <w:sz w:val="17"/>
        </w:rPr>
        <w:t> </w:t>
      </w:r>
      <w:r>
        <w:rPr>
          <w:color w:val="231F20"/>
          <w:spacing w:val="-2"/>
          <w:w w:val="105"/>
          <w:sz w:val="17"/>
        </w:rPr>
        <w:t>6.4.11.2</w:t>
      </w:r>
      <w:r>
        <w:rPr>
          <w:color w:val="231F20"/>
          <w:w w:val="105"/>
          <w:sz w:val="17"/>
        </w:rPr>
        <w:t> </w:t>
      </w:r>
      <w:r>
        <w:rPr>
          <w:color w:val="231F20"/>
          <w:spacing w:val="-2"/>
          <w:w w:val="105"/>
          <w:sz w:val="17"/>
        </w:rPr>
        <w:t>or</w:t>
      </w:r>
      <w:r>
        <w:rPr>
          <w:color w:val="231F20"/>
          <w:spacing w:val="1"/>
          <w:w w:val="105"/>
          <w:sz w:val="17"/>
        </w:rPr>
        <w:t> </w:t>
      </w:r>
      <w:r>
        <w:rPr>
          <w:color w:val="231F20"/>
          <w:spacing w:val="-2"/>
          <w:w w:val="105"/>
          <w:sz w:val="17"/>
        </w:rPr>
        <w:t>6.4.11.3;</w:t>
      </w:r>
    </w:p>
    <w:p>
      <w:pPr>
        <w:pStyle w:val="ListParagraph"/>
        <w:numPr>
          <w:ilvl w:val="6"/>
          <w:numId w:val="1"/>
        </w:numPr>
        <w:tabs>
          <w:tab w:pos="3217" w:val="left" w:leader="none"/>
        </w:tabs>
        <w:spacing w:line="240" w:lineRule="auto" w:before="60" w:after="0"/>
        <w:ind w:left="3217" w:right="0" w:hanging="360"/>
        <w:jc w:val="left"/>
        <w:rPr>
          <w:sz w:val="17"/>
        </w:rPr>
      </w:pPr>
      <w:r>
        <w:rPr>
          <w:color w:val="231F20"/>
          <w:sz w:val="17"/>
        </w:rPr>
        <w:t>Type</w:t>
      </w:r>
      <w:r>
        <w:rPr>
          <w:color w:val="231F20"/>
          <w:spacing w:val="5"/>
          <w:sz w:val="17"/>
        </w:rPr>
        <w:t> </w:t>
      </w:r>
      <w:r>
        <w:rPr>
          <w:color w:val="231F20"/>
          <w:sz w:val="17"/>
        </w:rPr>
        <w:t>B(U)</w:t>
      </w:r>
      <w:r>
        <w:rPr>
          <w:color w:val="231F20"/>
          <w:spacing w:val="5"/>
          <w:sz w:val="17"/>
        </w:rPr>
        <w:t> </w:t>
      </w:r>
      <w:r>
        <w:rPr>
          <w:color w:val="231F20"/>
          <w:sz w:val="17"/>
        </w:rPr>
        <w:t>packages</w:t>
      </w:r>
      <w:r>
        <w:rPr>
          <w:color w:val="231F20"/>
          <w:spacing w:val="6"/>
          <w:sz w:val="17"/>
        </w:rPr>
        <w:t> </w:t>
      </w:r>
      <w:r>
        <w:rPr>
          <w:color w:val="231F20"/>
          <w:sz w:val="17"/>
        </w:rPr>
        <w:t>and</w:t>
      </w:r>
      <w:r>
        <w:rPr>
          <w:color w:val="231F20"/>
          <w:spacing w:val="5"/>
          <w:sz w:val="17"/>
        </w:rPr>
        <w:t> </w:t>
      </w:r>
      <w:r>
        <w:rPr>
          <w:color w:val="231F20"/>
          <w:sz w:val="17"/>
        </w:rPr>
        <w:t>Type</w:t>
      </w:r>
      <w:r>
        <w:rPr>
          <w:color w:val="231F20"/>
          <w:spacing w:val="6"/>
          <w:sz w:val="17"/>
        </w:rPr>
        <w:t> </w:t>
      </w:r>
      <w:r>
        <w:rPr>
          <w:color w:val="231F20"/>
          <w:sz w:val="17"/>
        </w:rPr>
        <w:t>B(M)</w:t>
      </w:r>
      <w:r>
        <w:rPr>
          <w:color w:val="231F20"/>
          <w:spacing w:val="5"/>
          <w:sz w:val="17"/>
        </w:rPr>
        <w:t> </w:t>
      </w:r>
      <w:r>
        <w:rPr>
          <w:color w:val="231F20"/>
          <w:spacing w:val="-2"/>
          <w:sz w:val="17"/>
        </w:rPr>
        <w:t>packages;</w:t>
      </w:r>
    </w:p>
    <w:p>
      <w:pPr>
        <w:pStyle w:val="ListParagraph"/>
        <w:numPr>
          <w:ilvl w:val="6"/>
          <w:numId w:val="1"/>
        </w:numPr>
        <w:tabs>
          <w:tab w:pos="3217" w:val="left" w:leader="none"/>
        </w:tabs>
        <w:spacing w:line="240" w:lineRule="auto" w:before="61" w:after="0"/>
        <w:ind w:left="3217" w:right="0" w:hanging="360"/>
        <w:jc w:val="left"/>
        <w:rPr>
          <w:sz w:val="17"/>
        </w:rPr>
      </w:pPr>
      <w:r>
        <w:rPr>
          <w:color w:val="231F20"/>
          <w:sz w:val="17"/>
        </w:rPr>
        <w:t>Type C </w:t>
      </w:r>
      <w:r>
        <w:rPr>
          <w:color w:val="231F20"/>
          <w:spacing w:val="-2"/>
          <w:sz w:val="17"/>
        </w:rPr>
        <w:t>packages;</w:t>
      </w:r>
    </w:p>
    <w:p>
      <w:pPr>
        <w:pStyle w:val="ListParagraph"/>
        <w:numPr>
          <w:ilvl w:val="5"/>
          <w:numId w:val="1"/>
        </w:numPr>
        <w:tabs>
          <w:tab w:pos="2857" w:val="left" w:leader="none"/>
        </w:tabs>
        <w:spacing w:line="240" w:lineRule="auto" w:before="80" w:after="0"/>
        <w:ind w:left="2857" w:right="0" w:hanging="360"/>
        <w:jc w:val="left"/>
        <w:rPr>
          <w:sz w:val="17"/>
        </w:rPr>
      </w:pPr>
      <w:r>
        <w:rPr>
          <w:color w:val="231F20"/>
          <w:w w:val="105"/>
          <w:sz w:val="17"/>
        </w:rPr>
        <w:t>special</w:t>
      </w:r>
      <w:r>
        <w:rPr>
          <w:color w:val="231F20"/>
          <w:spacing w:val="1"/>
          <w:w w:val="105"/>
          <w:sz w:val="17"/>
        </w:rPr>
        <w:t> </w:t>
      </w:r>
      <w:r>
        <w:rPr>
          <w:color w:val="231F20"/>
          <w:spacing w:val="-2"/>
          <w:w w:val="105"/>
          <w:sz w:val="17"/>
        </w:rPr>
        <w:t>arrangements;</w:t>
      </w:r>
    </w:p>
    <w:p>
      <w:pPr>
        <w:pStyle w:val="ListParagraph"/>
        <w:numPr>
          <w:ilvl w:val="5"/>
          <w:numId w:val="1"/>
        </w:numPr>
        <w:tabs>
          <w:tab w:pos="2857" w:val="left" w:leader="none"/>
        </w:tabs>
        <w:spacing w:line="240" w:lineRule="auto" w:before="80" w:after="0"/>
        <w:ind w:left="2857" w:right="0" w:hanging="360"/>
        <w:jc w:val="left"/>
        <w:rPr>
          <w:sz w:val="17"/>
        </w:rPr>
      </w:pPr>
      <w:r>
        <w:rPr>
          <w:color w:val="231F20"/>
          <w:sz w:val="17"/>
        </w:rPr>
        <w:t>certain</w:t>
      </w:r>
      <w:r>
        <w:rPr>
          <w:color w:val="231F20"/>
          <w:spacing w:val="23"/>
          <w:sz w:val="17"/>
        </w:rPr>
        <w:t> </w:t>
      </w:r>
      <w:r>
        <w:rPr>
          <w:color w:val="231F20"/>
          <w:sz w:val="17"/>
        </w:rPr>
        <w:t>shipments</w:t>
      </w:r>
      <w:r>
        <w:rPr>
          <w:color w:val="231F20"/>
          <w:spacing w:val="23"/>
          <w:sz w:val="17"/>
        </w:rPr>
        <w:t> </w:t>
      </w:r>
      <w:r>
        <w:rPr>
          <w:color w:val="231F20"/>
          <w:sz w:val="17"/>
        </w:rPr>
        <w:t>(see</w:t>
      </w:r>
      <w:r>
        <w:rPr>
          <w:color w:val="231F20"/>
          <w:spacing w:val="23"/>
          <w:sz w:val="17"/>
        </w:rPr>
        <w:t> </w:t>
      </w:r>
      <w:r>
        <w:rPr>
          <w:color w:val="231F20"/>
          <w:spacing w:val="-2"/>
          <w:sz w:val="17"/>
        </w:rPr>
        <w:t>5.1.5.1.2);</w:t>
      </w:r>
    </w:p>
    <w:p>
      <w:pPr>
        <w:pStyle w:val="ListParagraph"/>
        <w:numPr>
          <w:ilvl w:val="5"/>
          <w:numId w:val="1"/>
        </w:numPr>
        <w:tabs>
          <w:tab w:pos="2857" w:val="left" w:leader="none"/>
        </w:tabs>
        <w:spacing w:line="256" w:lineRule="auto" w:before="80" w:after="0"/>
        <w:ind w:left="2857" w:right="849" w:hanging="360"/>
        <w:jc w:val="left"/>
        <w:rPr>
          <w:sz w:val="17"/>
        </w:rPr>
      </w:pPr>
      <w:r>
        <w:rPr>
          <w:color w:val="231F20"/>
          <w:w w:val="105"/>
          <w:sz w:val="17"/>
        </w:rPr>
        <w:t>determination of the basic radionuclide values referred to in 2.7.2.2.1 for individual radionuclides which are</w:t>
      </w:r>
      <w:r>
        <w:rPr>
          <w:color w:val="231F20"/>
          <w:spacing w:val="-3"/>
          <w:w w:val="105"/>
          <w:sz w:val="17"/>
        </w:rPr>
        <w:t> </w:t>
      </w:r>
      <w:r>
        <w:rPr>
          <w:color w:val="231F20"/>
          <w:w w:val="105"/>
          <w:sz w:val="17"/>
        </w:rPr>
        <w:t>not</w:t>
      </w:r>
      <w:r>
        <w:rPr>
          <w:color w:val="231F20"/>
          <w:spacing w:val="-3"/>
          <w:w w:val="105"/>
          <w:sz w:val="17"/>
        </w:rPr>
        <w:t> </w:t>
      </w:r>
      <w:r>
        <w:rPr>
          <w:color w:val="231F20"/>
          <w:w w:val="105"/>
          <w:sz w:val="17"/>
        </w:rPr>
        <w:t>listed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table</w:t>
      </w:r>
      <w:r>
        <w:rPr>
          <w:color w:val="231F20"/>
          <w:spacing w:val="-3"/>
          <w:w w:val="105"/>
          <w:sz w:val="17"/>
        </w:rPr>
        <w:t> </w:t>
      </w:r>
      <w:r>
        <w:rPr>
          <w:color w:val="231F20"/>
          <w:w w:val="105"/>
          <w:sz w:val="17"/>
        </w:rPr>
        <w:t>2.7.2.2.1</w:t>
      </w:r>
      <w:r>
        <w:rPr>
          <w:color w:val="231F20"/>
          <w:spacing w:val="-3"/>
          <w:w w:val="105"/>
          <w:sz w:val="17"/>
        </w:rPr>
        <w:t> </w:t>
      </w:r>
      <w:r>
        <w:rPr>
          <w:color w:val="231F20"/>
          <w:w w:val="105"/>
          <w:sz w:val="17"/>
        </w:rPr>
        <w:t>(see</w:t>
      </w:r>
      <w:r>
        <w:rPr>
          <w:color w:val="231F20"/>
          <w:spacing w:val="-3"/>
          <w:w w:val="105"/>
          <w:sz w:val="17"/>
        </w:rPr>
        <w:t> </w:t>
      </w:r>
      <w:r>
        <w:rPr>
          <w:color w:val="231F20"/>
          <w:w w:val="105"/>
          <w:sz w:val="17"/>
        </w:rPr>
        <w:t>2.7.2.2.2.1);</w:t>
      </w:r>
    </w:p>
    <w:p>
      <w:pPr>
        <w:pStyle w:val="ListParagraph"/>
        <w:numPr>
          <w:ilvl w:val="5"/>
          <w:numId w:val="1"/>
        </w:numPr>
        <w:tabs>
          <w:tab w:pos="2857" w:val="left" w:leader="none"/>
        </w:tabs>
        <w:spacing w:line="240" w:lineRule="auto" w:before="67" w:after="0"/>
        <w:ind w:left="2857" w:right="0" w:hanging="360"/>
        <w:jc w:val="left"/>
        <w:rPr>
          <w:sz w:val="17"/>
        </w:rPr>
      </w:pPr>
      <w:r>
        <w:rPr>
          <w:color w:val="231F20"/>
          <w:w w:val="105"/>
          <w:sz w:val="17"/>
        </w:rPr>
        <w:t>alternative</w:t>
      </w:r>
      <w:r>
        <w:rPr>
          <w:color w:val="231F20"/>
          <w:spacing w:val="-3"/>
          <w:w w:val="105"/>
          <w:sz w:val="17"/>
        </w:rPr>
        <w:t> </w:t>
      </w:r>
      <w:r>
        <w:rPr>
          <w:color w:val="231F20"/>
          <w:w w:val="105"/>
          <w:sz w:val="17"/>
        </w:rPr>
        <w:t>activity</w:t>
      </w:r>
      <w:r>
        <w:rPr>
          <w:color w:val="231F20"/>
          <w:spacing w:val="-2"/>
          <w:w w:val="105"/>
          <w:sz w:val="17"/>
        </w:rPr>
        <w:t> </w:t>
      </w:r>
      <w:r>
        <w:rPr>
          <w:color w:val="231F20"/>
          <w:w w:val="105"/>
          <w:sz w:val="17"/>
        </w:rPr>
        <w:t>limits</w:t>
      </w:r>
      <w:r>
        <w:rPr>
          <w:color w:val="231F20"/>
          <w:spacing w:val="-2"/>
          <w:w w:val="105"/>
          <w:sz w:val="17"/>
        </w:rPr>
        <w:t> </w:t>
      </w:r>
      <w:r>
        <w:rPr>
          <w:color w:val="231F20"/>
          <w:w w:val="105"/>
          <w:sz w:val="17"/>
        </w:rPr>
        <w:t>for</w:t>
      </w:r>
      <w:r>
        <w:rPr>
          <w:color w:val="231F20"/>
          <w:spacing w:val="-3"/>
          <w:w w:val="105"/>
          <w:sz w:val="17"/>
        </w:rPr>
        <w:t> </w:t>
      </w:r>
      <w:r>
        <w:rPr>
          <w:color w:val="231F20"/>
          <w:w w:val="105"/>
          <w:sz w:val="17"/>
        </w:rPr>
        <w:t>an</w:t>
      </w:r>
      <w:r>
        <w:rPr>
          <w:color w:val="231F20"/>
          <w:spacing w:val="-2"/>
          <w:w w:val="105"/>
          <w:sz w:val="17"/>
        </w:rPr>
        <w:t> </w:t>
      </w:r>
      <w:r>
        <w:rPr>
          <w:color w:val="231F20"/>
          <w:w w:val="105"/>
          <w:sz w:val="17"/>
        </w:rPr>
        <w:t>exempt</w:t>
      </w:r>
      <w:r>
        <w:rPr>
          <w:color w:val="231F20"/>
          <w:spacing w:val="-2"/>
          <w:w w:val="105"/>
          <w:sz w:val="17"/>
        </w:rPr>
        <w:t> </w:t>
      </w:r>
      <w:r>
        <w:rPr>
          <w:color w:val="231F20"/>
          <w:w w:val="105"/>
          <w:sz w:val="17"/>
        </w:rPr>
        <w:t>consignment</w:t>
      </w:r>
      <w:r>
        <w:rPr>
          <w:color w:val="231F20"/>
          <w:spacing w:val="-3"/>
          <w:w w:val="105"/>
          <w:sz w:val="17"/>
        </w:rPr>
        <w:t> </w:t>
      </w:r>
      <w:r>
        <w:rPr>
          <w:color w:val="231F20"/>
          <w:w w:val="105"/>
          <w:sz w:val="17"/>
        </w:rPr>
        <w:t>of</w:t>
      </w:r>
      <w:r>
        <w:rPr>
          <w:color w:val="231F20"/>
          <w:spacing w:val="-2"/>
          <w:w w:val="105"/>
          <w:sz w:val="17"/>
        </w:rPr>
        <w:t> </w:t>
      </w:r>
      <w:r>
        <w:rPr>
          <w:color w:val="231F20"/>
          <w:w w:val="105"/>
          <w:sz w:val="17"/>
        </w:rPr>
        <w:t>instruments</w:t>
      </w:r>
      <w:r>
        <w:rPr>
          <w:color w:val="231F20"/>
          <w:spacing w:val="-2"/>
          <w:w w:val="105"/>
          <w:sz w:val="17"/>
        </w:rPr>
        <w:t> </w:t>
      </w:r>
      <w:r>
        <w:rPr>
          <w:color w:val="231F20"/>
          <w:w w:val="105"/>
          <w:sz w:val="17"/>
        </w:rPr>
        <w:t>or</w:t>
      </w:r>
      <w:r>
        <w:rPr>
          <w:color w:val="231F20"/>
          <w:spacing w:val="-3"/>
          <w:w w:val="105"/>
          <w:sz w:val="17"/>
        </w:rPr>
        <w:t> </w:t>
      </w:r>
      <w:r>
        <w:rPr>
          <w:color w:val="231F20"/>
          <w:w w:val="105"/>
          <w:sz w:val="17"/>
        </w:rPr>
        <w:t>articles</w:t>
      </w:r>
      <w:r>
        <w:rPr>
          <w:color w:val="231F20"/>
          <w:spacing w:val="-2"/>
          <w:w w:val="105"/>
          <w:sz w:val="17"/>
        </w:rPr>
        <w:t> </w:t>
      </w:r>
      <w:r>
        <w:rPr>
          <w:color w:val="231F20"/>
          <w:w w:val="105"/>
          <w:sz w:val="17"/>
        </w:rPr>
        <w:t>(see</w:t>
      </w:r>
      <w:r>
        <w:rPr>
          <w:color w:val="231F20"/>
          <w:spacing w:val="-2"/>
          <w:w w:val="105"/>
          <w:sz w:val="17"/>
        </w:rPr>
        <w:t> 2.7.2.2.2.2).</w:t>
      </w:r>
    </w:p>
    <w:p>
      <w:pPr>
        <w:pStyle w:val="BodyText"/>
        <w:spacing w:line="256" w:lineRule="auto" w:before="140"/>
        <w:ind w:left="2497" w:right="848"/>
      </w:pPr>
      <w:r>
        <w:rPr>
          <w:color w:val="231F20"/>
          <w:w w:val="105"/>
        </w:rPr>
        <w:t>The certificates shall confirm that the applicable provisions are met, and for design approvals shall attribute to the design an identification mark.</w:t>
      </w:r>
    </w:p>
    <w:p>
      <w:pPr>
        <w:pStyle w:val="BodyText"/>
        <w:spacing w:line="412" w:lineRule="auto" w:before="128"/>
        <w:ind w:left="2497" w:right="848"/>
      </w:pPr>
      <w:r>
        <w:rPr>
          <w:color w:val="231F20"/>
          <w:w w:val="105"/>
        </w:rPr>
        <w:t>The</w:t>
      </w:r>
      <w:r>
        <w:rPr>
          <w:color w:val="231F20"/>
          <w:spacing w:val="-13"/>
          <w:w w:val="105"/>
        </w:rPr>
        <w:t> </w:t>
      </w:r>
      <w:r>
        <w:rPr>
          <w:color w:val="231F20"/>
          <w:w w:val="105"/>
        </w:rPr>
        <w:t>certificates</w:t>
      </w:r>
      <w:r>
        <w:rPr>
          <w:color w:val="231F20"/>
          <w:spacing w:val="-13"/>
          <w:w w:val="105"/>
        </w:rPr>
        <w:t> </w:t>
      </w:r>
      <w:r>
        <w:rPr>
          <w:color w:val="231F20"/>
          <w:w w:val="105"/>
        </w:rPr>
        <w:t>of</w:t>
      </w:r>
      <w:r>
        <w:rPr>
          <w:color w:val="231F20"/>
          <w:spacing w:val="-13"/>
          <w:w w:val="105"/>
        </w:rPr>
        <w:t> </w:t>
      </w:r>
      <w:r>
        <w:rPr>
          <w:color w:val="231F20"/>
          <w:w w:val="105"/>
        </w:rPr>
        <w:t>approval</w:t>
      </w:r>
      <w:r>
        <w:rPr>
          <w:color w:val="231F20"/>
          <w:spacing w:val="-13"/>
          <w:w w:val="105"/>
        </w:rPr>
        <w:t> </w:t>
      </w:r>
      <w:r>
        <w:rPr>
          <w:color w:val="231F20"/>
          <w:w w:val="105"/>
        </w:rPr>
        <w:t>for</w:t>
      </w:r>
      <w:r>
        <w:rPr>
          <w:color w:val="231F20"/>
          <w:spacing w:val="-13"/>
          <w:w w:val="105"/>
        </w:rPr>
        <w:t> </w:t>
      </w:r>
      <w:r>
        <w:rPr>
          <w:color w:val="231F20"/>
          <w:w w:val="105"/>
        </w:rPr>
        <w:t>the</w:t>
      </w:r>
      <w:r>
        <w:rPr>
          <w:color w:val="231F20"/>
          <w:spacing w:val="-13"/>
          <w:w w:val="105"/>
        </w:rPr>
        <w:t> </w:t>
      </w:r>
      <w:r>
        <w:rPr>
          <w:color w:val="231F20"/>
          <w:w w:val="105"/>
        </w:rPr>
        <w:t>package</w:t>
      </w:r>
      <w:r>
        <w:rPr>
          <w:color w:val="231F20"/>
          <w:spacing w:val="-13"/>
          <w:w w:val="105"/>
        </w:rPr>
        <w:t> </w:t>
      </w:r>
      <w:r>
        <w:rPr>
          <w:color w:val="231F20"/>
          <w:w w:val="105"/>
        </w:rPr>
        <w:t>design</w:t>
      </w:r>
      <w:r>
        <w:rPr>
          <w:color w:val="231F20"/>
          <w:spacing w:val="-13"/>
          <w:w w:val="105"/>
        </w:rPr>
        <w:t> </w:t>
      </w:r>
      <w:r>
        <w:rPr>
          <w:color w:val="231F20"/>
          <w:w w:val="105"/>
        </w:rPr>
        <w:t>and</w:t>
      </w:r>
      <w:r>
        <w:rPr>
          <w:color w:val="231F20"/>
          <w:spacing w:val="-13"/>
          <w:w w:val="105"/>
        </w:rPr>
        <w:t> </w:t>
      </w:r>
      <w:r>
        <w:rPr>
          <w:color w:val="231F20"/>
          <w:w w:val="105"/>
        </w:rPr>
        <w:t>the</w:t>
      </w:r>
      <w:r>
        <w:rPr>
          <w:color w:val="231F20"/>
          <w:spacing w:val="-13"/>
          <w:w w:val="105"/>
        </w:rPr>
        <w:t> </w:t>
      </w:r>
      <w:r>
        <w:rPr>
          <w:color w:val="231F20"/>
          <w:w w:val="105"/>
        </w:rPr>
        <w:t>shipment</w:t>
      </w:r>
      <w:r>
        <w:rPr>
          <w:color w:val="231F20"/>
          <w:spacing w:val="-13"/>
          <w:w w:val="105"/>
        </w:rPr>
        <w:t> </w:t>
      </w:r>
      <w:r>
        <w:rPr>
          <w:color w:val="231F20"/>
          <w:w w:val="105"/>
        </w:rPr>
        <w:t>may</w:t>
      </w:r>
      <w:r>
        <w:rPr>
          <w:color w:val="231F20"/>
          <w:spacing w:val="-13"/>
          <w:w w:val="105"/>
        </w:rPr>
        <w:t> </w:t>
      </w:r>
      <w:r>
        <w:rPr>
          <w:color w:val="231F20"/>
          <w:w w:val="105"/>
        </w:rPr>
        <w:t>be</w:t>
      </w:r>
      <w:r>
        <w:rPr>
          <w:color w:val="231F20"/>
          <w:spacing w:val="-13"/>
          <w:w w:val="105"/>
        </w:rPr>
        <w:t> </w:t>
      </w:r>
      <w:r>
        <w:rPr>
          <w:color w:val="231F20"/>
          <w:w w:val="105"/>
        </w:rPr>
        <w:t>combined</w:t>
      </w:r>
      <w:r>
        <w:rPr>
          <w:color w:val="231F20"/>
          <w:spacing w:val="-13"/>
          <w:w w:val="105"/>
        </w:rPr>
        <w:t> </w:t>
      </w:r>
      <w:r>
        <w:rPr>
          <w:color w:val="231F20"/>
          <w:w w:val="105"/>
        </w:rPr>
        <w:t>into</w:t>
      </w:r>
      <w:r>
        <w:rPr>
          <w:color w:val="231F20"/>
          <w:spacing w:val="-13"/>
          <w:w w:val="105"/>
        </w:rPr>
        <w:t> </w:t>
      </w:r>
      <w:r>
        <w:rPr>
          <w:color w:val="231F20"/>
          <w:w w:val="105"/>
        </w:rPr>
        <w:t>a</w:t>
      </w:r>
      <w:r>
        <w:rPr>
          <w:color w:val="231F20"/>
          <w:spacing w:val="-13"/>
          <w:w w:val="105"/>
        </w:rPr>
        <w:t> </w:t>
      </w:r>
      <w:r>
        <w:rPr>
          <w:color w:val="231F20"/>
          <w:w w:val="105"/>
        </w:rPr>
        <w:t>single</w:t>
      </w:r>
      <w:r>
        <w:rPr>
          <w:color w:val="231F20"/>
          <w:spacing w:val="-13"/>
          <w:w w:val="105"/>
        </w:rPr>
        <w:t> </w:t>
      </w:r>
      <w:r>
        <w:rPr>
          <w:color w:val="231F20"/>
          <w:w w:val="105"/>
        </w:rPr>
        <w:t>certificate. Certificates and applications for these certificates shall be in accordance with the provisions in 6.4.23.</w:t>
      </w:r>
    </w:p>
    <w:p>
      <w:pPr>
        <w:pStyle w:val="ListParagraph"/>
        <w:numPr>
          <w:ilvl w:val="4"/>
          <w:numId w:val="1"/>
        </w:numPr>
        <w:tabs>
          <w:tab w:pos="2497" w:val="left" w:leader="none"/>
        </w:tabs>
        <w:spacing w:line="194" w:lineRule="exact" w:before="0" w:after="0"/>
        <w:ind w:left="2497" w:right="0" w:hanging="1080"/>
        <w:jc w:val="left"/>
        <w:rPr>
          <w:color w:val="231F20"/>
          <w:sz w:val="17"/>
        </w:rPr>
      </w:pPr>
      <w:r>
        <w:rPr>
          <w:color w:val="231F20"/>
          <w:w w:val="105"/>
          <w:sz w:val="17"/>
        </w:rPr>
        <w:t>The</w:t>
      </w:r>
      <w:r>
        <w:rPr>
          <w:color w:val="231F20"/>
          <w:spacing w:val="-2"/>
          <w:w w:val="105"/>
          <w:sz w:val="17"/>
        </w:rPr>
        <w:t> </w:t>
      </w:r>
      <w:r>
        <w:rPr>
          <w:color w:val="231F20"/>
          <w:w w:val="105"/>
          <w:sz w:val="17"/>
        </w:rPr>
        <w:t>consignor</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w:t>
      </w:r>
      <w:r>
        <w:rPr>
          <w:color w:val="231F20"/>
          <w:spacing w:val="-2"/>
          <w:w w:val="105"/>
          <w:sz w:val="17"/>
        </w:rPr>
        <w:t> </w:t>
      </w:r>
      <w:r>
        <w:rPr>
          <w:color w:val="231F20"/>
          <w:w w:val="105"/>
          <w:sz w:val="17"/>
        </w:rPr>
        <w:t>possession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a</w:t>
      </w:r>
      <w:r>
        <w:rPr>
          <w:color w:val="231F20"/>
          <w:spacing w:val="-2"/>
          <w:w w:val="105"/>
          <w:sz w:val="17"/>
        </w:rPr>
        <w:t> </w:t>
      </w:r>
      <w:r>
        <w:rPr>
          <w:color w:val="231F20"/>
          <w:w w:val="105"/>
          <w:sz w:val="17"/>
        </w:rPr>
        <w:t>copy</w:t>
      </w:r>
      <w:r>
        <w:rPr>
          <w:color w:val="231F20"/>
          <w:spacing w:val="-2"/>
          <w:w w:val="105"/>
          <w:sz w:val="17"/>
        </w:rPr>
        <w:t> </w:t>
      </w:r>
      <w:r>
        <w:rPr>
          <w:color w:val="231F20"/>
          <w:w w:val="105"/>
          <w:sz w:val="17"/>
        </w:rPr>
        <w:t>of</w:t>
      </w:r>
      <w:r>
        <w:rPr>
          <w:color w:val="231F20"/>
          <w:spacing w:val="-2"/>
          <w:w w:val="105"/>
          <w:sz w:val="17"/>
        </w:rPr>
        <w:t> </w:t>
      </w:r>
      <w:r>
        <w:rPr>
          <w:color w:val="231F20"/>
          <w:w w:val="105"/>
          <w:sz w:val="17"/>
        </w:rPr>
        <w:t>each</w:t>
      </w:r>
      <w:r>
        <w:rPr>
          <w:color w:val="231F20"/>
          <w:spacing w:val="-1"/>
          <w:w w:val="105"/>
          <w:sz w:val="17"/>
        </w:rPr>
        <w:t> </w:t>
      </w:r>
      <w:r>
        <w:rPr>
          <w:color w:val="231F20"/>
          <w:w w:val="105"/>
          <w:sz w:val="17"/>
        </w:rPr>
        <w:t>applicable</w:t>
      </w:r>
      <w:r>
        <w:rPr>
          <w:color w:val="231F20"/>
          <w:spacing w:val="-2"/>
          <w:w w:val="105"/>
          <w:sz w:val="17"/>
        </w:rPr>
        <w:t> certificate.</w:t>
      </w:r>
    </w:p>
    <w:p>
      <w:pPr>
        <w:pStyle w:val="ListParagraph"/>
        <w:numPr>
          <w:ilvl w:val="4"/>
          <w:numId w:val="1"/>
        </w:numPr>
        <w:tabs>
          <w:tab w:pos="2491" w:val="left" w:leader="none"/>
          <w:tab w:pos="2497" w:val="left" w:leader="none"/>
        </w:tabs>
        <w:spacing w:line="256" w:lineRule="auto" w:before="140" w:after="0"/>
        <w:ind w:left="2497" w:right="848" w:hanging="1080"/>
        <w:jc w:val="both"/>
        <w:rPr>
          <w:color w:val="231F20"/>
          <w:sz w:val="17"/>
        </w:rPr>
      </w:pPr>
      <w:r>
        <w:rPr>
          <w:color w:val="231F20"/>
          <w:w w:val="105"/>
          <w:sz w:val="17"/>
        </w:rPr>
        <w:t>For package designs where it is not required that a competent authority issue a certificate of approval, the consignor</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on</w:t>
      </w:r>
      <w:r>
        <w:rPr>
          <w:color w:val="231F20"/>
          <w:spacing w:val="-3"/>
          <w:w w:val="105"/>
          <w:sz w:val="17"/>
        </w:rPr>
        <w:t> </w:t>
      </w:r>
      <w:r>
        <w:rPr>
          <w:color w:val="231F20"/>
          <w:w w:val="105"/>
          <w:sz w:val="17"/>
        </w:rPr>
        <w:t>request,</w:t>
      </w:r>
      <w:r>
        <w:rPr>
          <w:color w:val="231F20"/>
          <w:spacing w:val="-3"/>
          <w:w w:val="105"/>
          <w:sz w:val="17"/>
        </w:rPr>
        <w:t> </w:t>
      </w:r>
      <w:r>
        <w:rPr>
          <w:color w:val="231F20"/>
          <w:w w:val="105"/>
          <w:sz w:val="17"/>
        </w:rPr>
        <w:t>make</w:t>
      </w:r>
      <w:r>
        <w:rPr>
          <w:color w:val="231F20"/>
          <w:spacing w:val="-3"/>
          <w:w w:val="105"/>
          <w:sz w:val="17"/>
        </w:rPr>
        <w:t> </w:t>
      </w:r>
      <w:r>
        <w:rPr>
          <w:color w:val="231F20"/>
          <w:w w:val="105"/>
          <w:sz w:val="17"/>
        </w:rPr>
        <w:t>available,</w:t>
      </w:r>
      <w:r>
        <w:rPr>
          <w:color w:val="231F20"/>
          <w:spacing w:val="-3"/>
          <w:w w:val="105"/>
          <w:sz w:val="17"/>
        </w:rPr>
        <w:t> </w:t>
      </w:r>
      <w:r>
        <w:rPr>
          <w:color w:val="231F20"/>
          <w:w w:val="105"/>
          <w:sz w:val="17"/>
        </w:rPr>
        <w:t>for</w:t>
      </w:r>
      <w:r>
        <w:rPr>
          <w:color w:val="231F20"/>
          <w:spacing w:val="-3"/>
          <w:w w:val="105"/>
          <w:sz w:val="17"/>
        </w:rPr>
        <w:t> </w:t>
      </w:r>
      <w:r>
        <w:rPr>
          <w:color w:val="231F20"/>
          <w:w w:val="105"/>
          <w:sz w:val="17"/>
        </w:rPr>
        <w:t>inspection</w:t>
      </w:r>
      <w:r>
        <w:rPr>
          <w:color w:val="231F20"/>
          <w:spacing w:val="-3"/>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relevant</w:t>
      </w:r>
      <w:r>
        <w:rPr>
          <w:color w:val="231F20"/>
          <w:spacing w:val="-3"/>
          <w:w w:val="105"/>
          <w:sz w:val="17"/>
        </w:rPr>
        <w:t> </w:t>
      </w:r>
      <w:r>
        <w:rPr>
          <w:color w:val="231F20"/>
          <w:w w:val="105"/>
          <w:sz w:val="17"/>
        </w:rPr>
        <w:t>competent</w:t>
      </w:r>
      <w:r>
        <w:rPr>
          <w:color w:val="231F20"/>
          <w:spacing w:val="-3"/>
          <w:w w:val="105"/>
          <w:sz w:val="17"/>
        </w:rPr>
        <w:t> </w:t>
      </w:r>
      <w:r>
        <w:rPr>
          <w:color w:val="231F20"/>
          <w:w w:val="105"/>
          <w:sz w:val="17"/>
        </w:rPr>
        <w:t>authority,</w:t>
      </w:r>
      <w:r>
        <w:rPr>
          <w:color w:val="231F20"/>
          <w:spacing w:val="-3"/>
          <w:w w:val="105"/>
          <w:sz w:val="17"/>
        </w:rPr>
        <w:t> </w:t>
      </w:r>
      <w:r>
        <w:rPr>
          <w:color w:val="231F20"/>
          <w:w w:val="105"/>
          <w:sz w:val="17"/>
        </w:rPr>
        <w:t>documentary evidence of the compliance of the package design with all the applicable provisions.</w:t>
      </w:r>
    </w:p>
    <w:p>
      <w:pPr>
        <w:pStyle w:val="BodyText"/>
        <w:spacing w:before="83"/>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Determination</w:t>
      </w:r>
      <w:r>
        <w:rPr>
          <w:color w:val="231F20"/>
          <w:spacing w:val="4"/>
          <w:w w:val="105"/>
        </w:rPr>
        <w:t> </w:t>
      </w:r>
      <w:r>
        <w:rPr>
          <w:color w:val="231F20"/>
          <w:w w:val="105"/>
        </w:rPr>
        <w:t>of</w:t>
      </w:r>
      <w:r>
        <w:rPr>
          <w:color w:val="231F20"/>
          <w:spacing w:val="5"/>
          <w:w w:val="105"/>
        </w:rPr>
        <w:t> </w:t>
      </w:r>
      <w:r>
        <w:rPr>
          <w:color w:val="231F20"/>
          <w:w w:val="105"/>
        </w:rPr>
        <w:t>transport</w:t>
      </w:r>
      <w:r>
        <w:rPr>
          <w:color w:val="231F20"/>
          <w:spacing w:val="5"/>
          <w:w w:val="105"/>
        </w:rPr>
        <w:t> </w:t>
      </w:r>
      <w:r>
        <w:rPr>
          <w:color w:val="231F20"/>
          <w:w w:val="105"/>
        </w:rPr>
        <w:t>index</w:t>
      </w:r>
      <w:r>
        <w:rPr>
          <w:color w:val="231F20"/>
          <w:spacing w:val="5"/>
          <w:w w:val="105"/>
        </w:rPr>
        <w:t> </w:t>
      </w:r>
      <w:r>
        <w:rPr>
          <w:color w:val="231F20"/>
          <w:w w:val="105"/>
        </w:rPr>
        <w:t>(TI)</w:t>
      </w:r>
      <w:r>
        <w:rPr>
          <w:color w:val="231F20"/>
          <w:spacing w:val="5"/>
          <w:w w:val="105"/>
        </w:rPr>
        <w:t> </w:t>
      </w:r>
      <w:r>
        <w:rPr>
          <w:color w:val="231F20"/>
          <w:w w:val="105"/>
        </w:rPr>
        <w:t>and</w:t>
      </w:r>
      <w:r>
        <w:rPr>
          <w:color w:val="231F20"/>
          <w:spacing w:val="5"/>
          <w:w w:val="105"/>
        </w:rPr>
        <w:t> </w:t>
      </w:r>
      <w:r>
        <w:rPr>
          <w:color w:val="231F20"/>
          <w:w w:val="105"/>
        </w:rPr>
        <w:t>criticality</w:t>
      </w:r>
      <w:r>
        <w:rPr>
          <w:color w:val="231F20"/>
          <w:spacing w:val="5"/>
          <w:w w:val="105"/>
        </w:rPr>
        <w:t> </w:t>
      </w:r>
      <w:r>
        <w:rPr>
          <w:color w:val="231F20"/>
          <w:w w:val="105"/>
        </w:rPr>
        <w:t>safety</w:t>
      </w:r>
      <w:r>
        <w:rPr>
          <w:color w:val="231F20"/>
          <w:spacing w:val="5"/>
          <w:w w:val="105"/>
        </w:rPr>
        <w:t> </w:t>
      </w:r>
      <w:r>
        <w:rPr>
          <w:color w:val="231F20"/>
          <w:w w:val="105"/>
        </w:rPr>
        <w:t>index</w:t>
      </w:r>
      <w:r>
        <w:rPr>
          <w:color w:val="231F20"/>
          <w:spacing w:val="5"/>
          <w:w w:val="105"/>
        </w:rPr>
        <w:t> </w:t>
      </w:r>
      <w:r>
        <w:rPr>
          <w:color w:val="231F20"/>
          <w:spacing w:val="-2"/>
          <w:w w:val="105"/>
        </w:rPr>
        <w:t>(CSI)</w:t>
      </w:r>
    </w:p>
    <w:p>
      <w:pPr>
        <w:pStyle w:val="ListParagraph"/>
        <w:numPr>
          <w:ilvl w:val="4"/>
          <w:numId w:val="1"/>
        </w:numPr>
        <w:tabs>
          <w:tab w:pos="2492" w:val="left" w:leader="none"/>
          <w:tab w:pos="2497" w:val="left" w:leader="none"/>
        </w:tabs>
        <w:spacing w:line="256" w:lineRule="auto" w:before="138" w:after="0"/>
        <w:ind w:left="2497" w:right="848" w:hanging="1081"/>
        <w:jc w:val="both"/>
        <w:rPr>
          <w:color w:val="231F20"/>
          <w:sz w:val="17"/>
        </w:rPr>
      </w:pPr>
      <w:r>
        <w:rPr>
          <w:color w:val="231F20"/>
          <w:w w:val="105"/>
          <w:sz w:val="17"/>
        </w:rPr>
        <w:t>The transport index (TI) for a package, overpack or freight container, or for unpackaged LSA-I, SCO-I or SCO-III, shall be the number derived in accordance with the following procedure:</w:t>
      </w:r>
    </w:p>
    <w:p>
      <w:pPr>
        <w:pStyle w:val="ListParagraph"/>
        <w:numPr>
          <w:ilvl w:val="5"/>
          <w:numId w:val="1"/>
        </w:numPr>
        <w:tabs>
          <w:tab w:pos="2857" w:val="left" w:leader="none"/>
        </w:tabs>
        <w:spacing w:line="256" w:lineRule="auto" w:before="67" w:after="0"/>
        <w:ind w:left="2857" w:right="847" w:hanging="360"/>
        <w:jc w:val="left"/>
        <w:rPr>
          <w:sz w:val="17"/>
        </w:rPr>
      </w:pPr>
      <w:r>
        <w:rPr>
          <w:color w:val="231F20"/>
          <w:w w:val="105"/>
          <w:sz w:val="17"/>
        </w:rPr>
        <w:t>determine the dose rate in units of millisieverts per hour (mSv/h) at a distance of 1 m from the external surfaces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package,</w:t>
      </w:r>
      <w:r>
        <w:rPr>
          <w:color w:val="231F20"/>
          <w:spacing w:val="-2"/>
          <w:w w:val="105"/>
          <w:sz w:val="17"/>
        </w:rPr>
        <w:t> </w:t>
      </w:r>
      <w:r>
        <w:rPr>
          <w:color w:val="231F20"/>
          <w:w w:val="105"/>
          <w:sz w:val="17"/>
        </w:rPr>
        <w:t>overpack,</w:t>
      </w:r>
      <w:r>
        <w:rPr>
          <w:color w:val="231F20"/>
          <w:spacing w:val="-2"/>
          <w:w w:val="105"/>
          <w:sz w:val="17"/>
        </w:rPr>
        <w:t> </w:t>
      </w:r>
      <w:r>
        <w:rPr>
          <w:color w:val="231F20"/>
          <w:w w:val="105"/>
          <w:sz w:val="17"/>
        </w:rPr>
        <w:t>freight</w:t>
      </w:r>
      <w:r>
        <w:rPr>
          <w:color w:val="231F20"/>
          <w:spacing w:val="-2"/>
          <w:w w:val="105"/>
          <w:sz w:val="17"/>
        </w:rPr>
        <w:t> </w:t>
      </w:r>
      <w:r>
        <w:rPr>
          <w:color w:val="231F20"/>
          <w:w w:val="105"/>
          <w:sz w:val="17"/>
        </w:rPr>
        <w:t>container,</w:t>
      </w:r>
      <w:r>
        <w:rPr>
          <w:color w:val="231F20"/>
          <w:spacing w:val="-2"/>
          <w:w w:val="105"/>
          <w:sz w:val="17"/>
        </w:rPr>
        <w:t> </w:t>
      </w:r>
      <w:r>
        <w:rPr>
          <w:color w:val="231F20"/>
          <w:w w:val="105"/>
          <w:sz w:val="17"/>
        </w:rPr>
        <w:t>or</w:t>
      </w:r>
      <w:r>
        <w:rPr>
          <w:color w:val="231F20"/>
          <w:spacing w:val="-2"/>
          <w:w w:val="105"/>
          <w:sz w:val="17"/>
        </w:rPr>
        <w:t> </w:t>
      </w:r>
      <w:r>
        <w:rPr>
          <w:color w:val="231F20"/>
          <w:w w:val="105"/>
          <w:sz w:val="17"/>
        </w:rPr>
        <w:t>unpackaged</w:t>
      </w:r>
      <w:r>
        <w:rPr>
          <w:color w:val="231F20"/>
          <w:spacing w:val="-2"/>
          <w:w w:val="105"/>
          <w:sz w:val="17"/>
        </w:rPr>
        <w:t> </w:t>
      </w:r>
      <w:r>
        <w:rPr>
          <w:color w:val="231F20"/>
          <w:w w:val="105"/>
          <w:sz w:val="17"/>
        </w:rPr>
        <w:t>LSA-I,</w:t>
      </w:r>
      <w:r>
        <w:rPr>
          <w:color w:val="231F20"/>
          <w:spacing w:val="-2"/>
          <w:w w:val="105"/>
          <w:sz w:val="17"/>
        </w:rPr>
        <w:t> </w:t>
      </w:r>
      <w:r>
        <w:rPr>
          <w:color w:val="231F20"/>
          <w:w w:val="105"/>
          <w:sz w:val="17"/>
        </w:rPr>
        <w:t>SCO-I</w:t>
      </w:r>
      <w:r>
        <w:rPr>
          <w:color w:val="231F20"/>
          <w:spacing w:val="-2"/>
          <w:w w:val="105"/>
          <w:sz w:val="17"/>
        </w:rPr>
        <w:t> </w:t>
      </w:r>
      <w:r>
        <w:rPr>
          <w:color w:val="231F20"/>
          <w:w w:val="105"/>
          <w:sz w:val="17"/>
        </w:rPr>
        <w:t>or</w:t>
      </w:r>
      <w:r>
        <w:rPr>
          <w:color w:val="231F20"/>
          <w:spacing w:val="-2"/>
          <w:w w:val="105"/>
          <w:sz w:val="17"/>
        </w:rPr>
        <w:t> </w:t>
      </w:r>
      <w:r>
        <w:rPr>
          <w:color w:val="231F20"/>
          <w:w w:val="105"/>
          <w:sz w:val="17"/>
        </w:rPr>
        <w:t>SCO</w:t>
      </w:r>
      <w:r>
        <w:rPr>
          <w:color w:val="231F20"/>
          <w:spacing w:val="-2"/>
          <w:w w:val="105"/>
          <w:sz w:val="17"/>
        </w:rPr>
        <w:t> </w:t>
      </w:r>
      <w:r>
        <w:rPr>
          <w:color w:val="231F20"/>
          <w:w w:val="105"/>
          <w:sz w:val="17"/>
        </w:rPr>
        <w:t>III.</w:t>
      </w:r>
      <w:r>
        <w:rPr>
          <w:color w:val="231F20"/>
          <w:spacing w:val="-2"/>
          <w:w w:val="105"/>
          <w:sz w:val="17"/>
        </w:rPr>
        <w:t> </w:t>
      </w:r>
      <w:r>
        <w:rPr>
          <w:color w:val="231F20"/>
          <w:w w:val="105"/>
          <w:sz w:val="17"/>
        </w:rPr>
        <w:t>The</w:t>
      </w:r>
      <w:r>
        <w:rPr>
          <w:color w:val="231F20"/>
          <w:spacing w:val="-2"/>
          <w:w w:val="105"/>
          <w:sz w:val="17"/>
        </w:rPr>
        <w:t> </w:t>
      </w:r>
      <w:r>
        <w:rPr>
          <w:color w:val="231F20"/>
          <w:w w:val="105"/>
          <w:sz w:val="17"/>
        </w:rPr>
        <w:t>value</w:t>
      </w:r>
    </w:p>
    <w:p>
      <w:pPr>
        <w:pStyle w:val="ListParagraph"/>
        <w:spacing w:after="0" w:line="256" w:lineRule="auto"/>
        <w:jc w:val="left"/>
        <w:rPr>
          <w:sz w:val="17"/>
        </w:rPr>
        <w:sectPr>
          <w:headerReference w:type="even" r:id="rId9"/>
          <w:headerReference w:type="default" r:id="rId10"/>
          <w:footerReference w:type="even" r:id="rId11"/>
          <w:footerReference w:type="default" r:id="rId12"/>
          <w:pgSz w:w="11910" w:h="16840"/>
          <w:pgMar w:header="303" w:footer="570" w:top="1540" w:bottom="760" w:left="0" w:right="0"/>
          <w:pgNumType w:start="282"/>
        </w:sectPr>
      </w:pPr>
    </w:p>
    <w:p>
      <w:pPr>
        <w:pStyle w:val="BodyText"/>
        <w:spacing w:line="256" w:lineRule="auto" w:before="109"/>
        <w:ind w:left="2290" w:right="1414"/>
        <w:jc w:val="both"/>
      </w:pPr>
      <w:r>
        <w:rPr>
          <w:color w:val="231F20"/>
          <w:w w:val="105"/>
        </w:rPr>
        <w:t>determined shall be multiplied by 100 and the resulting number is the transport index. For uranium and thorium ores and their concentrates, the maximum dose rate at any point 1 m from the external surface of the load may be taken as:</w:t>
      </w:r>
    </w:p>
    <w:p>
      <w:pPr>
        <w:pStyle w:val="BodyText"/>
        <w:tabs>
          <w:tab w:pos="3490" w:val="left" w:leader="none"/>
        </w:tabs>
        <w:spacing w:before="62"/>
        <w:ind w:left="2290"/>
      </w:pPr>
      <w:r>
        <w:rPr>
          <w:color w:val="231F20"/>
          <w:w w:val="105"/>
        </w:rPr>
        <w:t>0.4</w:t>
      </w:r>
      <w:r>
        <w:rPr>
          <w:color w:val="231F20"/>
          <w:spacing w:val="-11"/>
          <w:w w:val="105"/>
        </w:rPr>
        <w:t> </w:t>
      </w:r>
      <w:r>
        <w:rPr>
          <w:color w:val="231F20"/>
          <w:spacing w:val="-2"/>
          <w:w w:val="105"/>
        </w:rPr>
        <w:t>mSv/h</w:t>
      </w:r>
      <w:r>
        <w:rPr>
          <w:color w:val="231F20"/>
        </w:rPr>
        <w:tab/>
      </w:r>
      <w:r>
        <w:rPr>
          <w:color w:val="231F20"/>
          <w:w w:val="105"/>
        </w:rPr>
        <w:t>for</w:t>
      </w:r>
      <w:r>
        <w:rPr>
          <w:color w:val="231F20"/>
          <w:spacing w:val="-2"/>
          <w:w w:val="105"/>
        </w:rPr>
        <w:t> </w:t>
      </w:r>
      <w:r>
        <w:rPr>
          <w:color w:val="231F20"/>
          <w:w w:val="105"/>
        </w:rPr>
        <w:t>ores</w:t>
      </w:r>
      <w:r>
        <w:rPr>
          <w:color w:val="231F20"/>
          <w:spacing w:val="-2"/>
          <w:w w:val="105"/>
        </w:rPr>
        <w:t> </w:t>
      </w:r>
      <w:r>
        <w:rPr>
          <w:color w:val="231F20"/>
          <w:w w:val="105"/>
        </w:rPr>
        <w:t>and</w:t>
      </w:r>
      <w:r>
        <w:rPr>
          <w:color w:val="231F20"/>
          <w:spacing w:val="-1"/>
          <w:w w:val="105"/>
        </w:rPr>
        <w:t> </w:t>
      </w:r>
      <w:r>
        <w:rPr>
          <w:color w:val="231F20"/>
          <w:w w:val="105"/>
        </w:rPr>
        <w:t>physical</w:t>
      </w:r>
      <w:r>
        <w:rPr>
          <w:color w:val="231F20"/>
          <w:spacing w:val="-2"/>
          <w:w w:val="105"/>
        </w:rPr>
        <w:t> </w:t>
      </w:r>
      <w:r>
        <w:rPr>
          <w:color w:val="231F20"/>
          <w:w w:val="105"/>
        </w:rPr>
        <w:t>concentrates</w:t>
      </w:r>
      <w:r>
        <w:rPr>
          <w:color w:val="231F20"/>
          <w:spacing w:val="-2"/>
          <w:w w:val="105"/>
        </w:rPr>
        <w:t> </w:t>
      </w:r>
      <w:r>
        <w:rPr>
          <w:color w:val="231F20"/>
          <w:w w:val="105"/>
        </w:rPr>
        <w:t>of</w:t>
      </w:r>
      <w:r>
        <w:rPr>
          <w:color w:val="231F20"/>
          <w:spacing w:val="-1"/>
          <w:w w:val="105"/>
        </w:rPr>
        <w:t> </w:t>
      </w:r>
      <w:r>
        <w:rPr>
          <w:color w:val="231F20"/>
          <w:w w:val="105"/>
        </w:rPr>
        <w:t>uranium</w:t>
      </w:r>
      <w:r>
        <w:rPr>
          <w:color w:val="231F20"/>
          <w:spacing w:val="-2"/>
          <w:w w:val="105"/>
        </w:rPr>
        <w:t> </w:t>
      </w:r>
      <w:r>
        <w:rPr>
          <w:color w:val="231F20"/>
          <w:w w:val="105"/>
        </w:rPr>
        <w:t>and</w:t>
      </w:r>
      <w:r>
        <w:rPr>
          <w:color w:val="231F20"/>
          <w:spacing w:val="-2"/>
          <w:w w:val="105"/>
        </w:rPr>
        <w:t> thorium;</w:t>
      </w:r>
    </w:p>
    <w:p>
      <w:pPr>
        <w:pStyle w:val="BodyText"/>
        <w:tabs>
          <w:tab w:pos="3490" w:val="left" w:leader="none"/>
        </w:tabs>
        <w:spacing w:before="75"/>
        <w:ind w:left="2290"/>
      </w:pPr>
      <w:r>
        <w:rPr>
          <w:color w:val="231F20"/>
          <w:w w:val="105"/>
        </w:rPr>
        <w:t>0.3</w:t>
      </w:r>
      <w:r>
        <w:rPr>
          <w:color w:val="231F20"/>
          <w:spacing w:val="-8"/>
          <w:w w:val="105"/>
        </w:rPr>
        <w:t> </w:t>
      </w:r>
      <w:r>
        <w:rPr>
          <w:color w:val="231F20"/>
          <w:spacing w:val="-2"/>
          <w:w w:val="105"/>
        </w:rPr>
        <w:t>mSv/h</w:t>
      </w:r>
      <w:r>
        <w:rPr>
          <w:color w:val="231F20"/>
        </w:rPr>
        <w:tab/>
      </w:r>
      <w:r>
        <w:rPr>
          <w:color w:val="231F20"/>
          <w:w w:val="105"/>
        </w:rPr>
        <w:t>for</w:t>
      </w:r>
      <w:r>
        <w:rPr>
          <w:color w:val="231F20"/>
          <w:spacing w:val="2"/>
          <w:w w:val="105"/>
        </w:rPr>
        <w:t> </w:t>
      </w:r>
      <w:r>
        <w:rPr>
          <w:color w:val="231F20"/>
          <w:w w:val="105"/>
        </w:rPr>
        <w:t>chemical</w:t>
      </w:r>
      <w:r>
        <w:rPr>
          <w:color w:val="231F20"/>
          <w:spacing w:val="3"/>
          <w:w w:val="105"/>
        </w:rPr>
        <w:t> </w:t>
      </w:r>
      <w:r>
        <w:rPr>
          <w:color w:val="231F20"/>
          <w:w w:val="105"/>
        </w:rPr>
        <w:t>concentrates</w:t>
      </w:r>
      <w:r>
        <w:rPr>
          <w:color w:val="231F20"/>
          <w:spacing w:val="2"/>
          <w:w w:val="105"/>
        </w:rPr>
        <w:t> </w:t>
      </w:r>
      <w:r>
        <w:rPr>
          <w:color w:val="231F20"/>
          <w:w w:val="105"/>
        </w:rPr>
        <w:t>of</w:t>
      </w:r>
      <w:r>
        <w:rPr>
          <w:color w:val="231F20"/>
          <w:spacing w:val="3"/>
          <w:w w:val="105"/>
        </w:rPr>
        <w:t> </w:t>
      </w:r>
      <w:r>
        <w:rPr>
          <w:color w:val="231F20"/>
          <w:spacing w:val="-2"/>
          <w:w w:val="105"/>
        </w:rPr>
        <w:t>thorium;</w:t>
      </w:r>
    </w:p>
    <w:p>
      <w:pPr>
        <w:pStyle w:val="BodyText"/>
        <w:tabs>
          <w:tab w:pos="3490" w:val="left" w:leader="none"/>
        </w:tabs>
        <w:spacing w:before="74"/>
        <w:ind w:left="2290"/>
      </w:pPr>
      <w:r>
        <w:rPr>
          <w:color w:val="231F20"/>
          <w:w w:val="105"/>
        </w:rPr>
        <w:t>0.02</w:t>
      </w:r>
      <w:r>
        <w:rPr>
          <w:color w:val="231F20"/>
          <w:spacing w:val="-11"/>
          <w:w w:val="105"/>
        </w:rPr>
        <w:t> </w:t>
      </w:r>
      <w:r>
        <w:rPr>
          <w:color w:val="231F20"/>
          <w:spacing w:val="-2"/>
          <w:w w:val="105"/>
        </w:rPr>
        <w:t>mSv/h</w:t>
      </w:r>
      <w:r>
        <w:rPr>
          <w:color w:val="231F20"/>
        </w:rPr>
        <w:tab/>
      </w:r>
      <w:r>
        <w:rPr>
          <w:color w:val="231F20"/>
          <w:w w:val="105"/>
        </w:rPr>
        <w:t>for</w:t>
      </w:r>
      <w:r>
        <w:rPr>
          <w:color w:val="231F20"/>
          <w:spacing w:val="-3"/>
          <w:w w:val="105"/>
        </w:rPr>
        <w:t> </w:t>
      </w:r>
      <w:r>
        <w:rPr>
          <w:color w:val="231F20"/>
          <w:w w:val="105"/>
        </w:rPr>
        <w:t>chemical</w:t>
      </w:r>
      <w:r>
        <w:rPr>
          <w:color w:val="231F20"/>
          <w:spacing w:val="-2"/>
          <w:w w:val="105"/>
        </w:rPr>
        <w:t> </w:t>
      </w:r>
      <w:r>
        <w:rPr>
          <w:color w:val="231F20"/>
          <w:w w:val="105"/>
        </w:rPr>
        <w:t>concentrates</w:t>
      </w:r>
      <w:r>
        <w:rPr>
          <w:color w:val="231F20"/>
          <w:spacing w:val="-2"/>
          <w:w w:val="105"/>
        </w:rPr>
        <w:t> </w:t>
      </w:r>
      <w:r>
        <w:rPr>
          <w:color w:val="231F20"/>
          <w:w w:val="105"/>
        </w:rPr>
        <w:t>of</w:t>
      </w:r>
      <w:r>
        <w:rPr>
          <w:color w:val="231F20"/>
          <w:spacing w:val="-3"/>
          <w:w w:val="105"/>
        </w:rPr>
        <w:t> </w:t>
      </w:r>
      <w:r>
        <w:rPr>
          <w:color w:val="231F20"/>
          <w:w w:val="105"/>
        </w:rPr>
        <w:t>uranium,</w:t>
      </w:r>
      <w:r>
        <w:rPr>
          <w:color w:val="231F20"/>
          <w:spacing w:val="-2"/>
          <w:w w:val="105"/>
        </w:rPr>
        <w:t> </w:t>
      </w:r>
      <w:r>
        <w:rPr>
          <w:color w:val="231F20"/>
          <w:w w:val="105"/>
        </w:rPr>
        <w:t>other</w:t>
      </w:r>
      <w:r>
        <w:rPr>
          <w:color w:val="231F20"/>
          <w:spacing w:val="-2"/>
          <w:w w:val="105"/>
        </w:rPr>
        <w:t> </w:t>
      </w:r>
      <w:r>
        <w:rPr>
          <w:color w:val="231F20"/>
          <w:w w:val="105"/>
        </w:rPr>
        <w:t>than</w:t>
      </w:r>
      <w:r>
        <w:rPr>
          <w:color w:val="231F20"/>
          <w:spacing w:val="-2"/>
          <w:w w:val="105"/>
        </w:rPr>
        <w:t> </w:t>
      </w:r>
      <w:r>
        <w:rPr>
          <w:color w:val="231F20"/>
          <w:w w:val="105"/>
        </w:rPr>
        <w:t>uranium</w:t>
      </w:r>
      <w:r>
        <w:rPr>
          <w:color w:val="231F20"/>
          <w:spacing w:val="-3"/>
          <w:w w:val="105"/>
        </w:rPr>
        <w:t> </w:t>
      </w:r>
      <w:r>
        <w:rPr>
          <w:color w:val="231F20"/>
          <w:spacing w:val="-2"/>
          <w:w w:val="105"/>
        </w:rPr>
        <w:t>hexafluoride;</w:t>
      </w:r>
    </w:p>
    <w:p>
      <w:pPr>
        <w:pStyle w:val="ListParagraph"/>
        <w:numPr>
          <w:ilvl w:val="5"/>
          <w:numId w:val="1"/>
        </w:numPr>
        <w:tabs>
          <w:tab w:pos="2288" w:val="left" w:leader="none"/>
          <w:tab w:pos="2290" w:val="left" w:leader="none"/>
        </w:tabs>
        <w:spacing w:line="256" w:lineRule="auto" w:before="95" w:after="0"/>
        <w:ind w:left="2290" w:right="1415" w:hanging="360"/>
        <w:jc w:val="both"/>
        <w:rPr>
          <w:sz w:val="17"/>
        </w:rPr>
      </w:pPr>
      <w:r>
        <w:rPr>
          <w:color w:val="231F20"/>
          <w:sz w:val="17"/>
        </w:rPr>
        <w:t>for tanks, freight containers and unpackaged LSA-I, SCO-I and SCO-III, the value determined in 5.1.5.3.1.1 </w:t>
      </w:r>
      <w:r>
        <w:rPr>
          <w:color w:val="231F20"/>
          <w:w w:val="105"/>
          <w:sz w:val="17"/>
        </w:rPr>
        <w:t>above shall be multiplied by the appropriate factor from table 5.1.5.3.1;</w:t>
      </w:r>
    </w:p>
    <w:p>
      <w:pPr>
        <w:pStyle w:val="ListParagraph"/>
        <w:numPr>
          <w:ilvl w:val="5"/>
          <w:numId w:val="1"/>
        </w:numPr>
        <w:tabs>
          <w:tab w:pos="2287" w:val="left" w:leader="none"/>
          <w:tab w:pos="2290" w:val="left" w:leader="none"/>
        </w:tabs>
        <w:spacing w:line="256" w:lineRule="auto" w:before="81" w:after="0"/>
        <w:ind w:left="2290" w:right="1414" w:hanging="361"/>
        <w:jc w:val="both"/>
        <w:rPr>
          <w:sz w:val="17"/>
        </w:rPr>
      </w:pPr>
      <w:r>
        <w:rPr>
          <w:color w:val="231F20"/>
          <w:w w:val="105"/>
          <w:sz w:val="17"/>
        </w:rPr>
        <w:t>the</w:t>
      </w:r>
      <w:r>
        <w:rPr>
          <w:color w:val="231F20"/>
          <w:w w:val="105"/>
          <w:sz w:val="17"/>
        </w:rPr>
        <w:t> value</w:t>
      </w:r>
      <w:r>
        <w:rPr>
          <w:color w:val="231F20"/>
          <w:w w:val="105"/>
          <w:sz w:val="17"/>
        </w:rPr>
        <w:t> obtained</w:t>
      </w:r>
      <w:r>
        <w:rPr>
          <w:color w:val="231F20"/>
          <w:w w:val="105"/>
          <w:sz w:val="17"/>
        </w:rPr>
        <w:t> in</w:t>
      </w:r>
      <w:r>
        <w:rPr>
          <w:color w:val="231F20"/>
          <w:w w:val="105"/>
          <w:sz w:val="17"/>
        </w:rPr>
        <w:t> 5.1.5.3.1.1</w:t>
      </w:r>
      <w:r>
        <w:rPr>
          <w:color w:val="231F20"/>
          <w:w w:val="105"/>
          <w:sz w:val="17"/>
        </w:rPr>
        <w:t> and</w:t>
      </w:r>
      <w:r>
        <w:rPr>
          <w:color w:val="231F20"/>
          <w:w w:val="105"/>
          <w:sz w:val="17"/>
        </w:rPr>
        <w:t> 5.1.5.3.1.2</w:t>
      </w:r>
      <w:r>
        <w:rPr>
          <w:color w:val="231F20"/>
          <w:w w:val="105"/>
          <w:sz w:val="17"/>
        </w:rPr>
        <w:t> above</w:t>
      </w:r>
      <w:r>
        <w:rPr>
          <w:color w:val="231F20"/>
          <w:w w:val="105"/>
          <w:sz w:val="17"/>
        </w:rPr>
        <w:t> shall</w:t>
      </w:r>
      <w:r>
        <w:rPr>
          <w:color w:val="231F20"/>
          <w:w w:val="105"/>
          <w:sz w:val="17"/>
        </w:rPr>
        <w:t> be</w:t>
      </w:r>
      <w:r>
        <w:rPr>
          <w:color w:val="231F20"/>
          <w:w w:val="105"/>
          <w:sz w:val="17"/>
        </w:rPr>
        <w:t> rounded</w:t>
      </w:r>
      <w:r>
        <w:rPr>
          <w:color w:val="231F20"/>
          <w:w w:val="105"/>
          <w:sz w:val="17"/>
        </w:rPr>
        <w:t> up</w:t>
      </w:r>
      <w:r>
        <w:rPr>
          <w:color w:val="231F20"/>
          <w:w w:val="105"/>
          <w:sz w:val="17"/>
        </w:rPr>
        <w:t> to</w:t>
      </w:r>
      <w:r>
        <w:rPr>
          <w:color w:val="231F20"/>
          <w:w w:val="105"/>
          <w:sz w:val="17"/>
        </w:rPr>
        <w:t> the</w:t>
      </w:r>
      <w:r>
        <w:rPr>
          <w:color w:val="231F20"/>
          <w:w w:val="105"/>
          <w:sz w:val="17"/>
        </w:rPr>
        <w:t> first</w:t>
      </w:r>
      <w:r>
        <w:rPr>
          <w:color w:val="231F20"/>
          <w:w w:val="105"/>
          <w:sz w:val="17"/>
        </w:rPr>
        <w:t> decimal</w:t>
      </w:r>
      <w:r>
        <w:rPr>
          <w:color w:val="231F20"/>
          <w:w w:val="105"/>
          <w:sz w:val="17"/>
        </w:rPr>
        <w:t> place (e.g.</w:t>
      </w:r>
      <w:r>
        <w:rPr>
          <w:color w:val="231F20"/>
          <w:spacing w:val="-3"/>
          <w:w w:val="105"/>
          <w:sz w:val="17"/>
        </w:rPr>
        <w:t> </w:t>
      </w:r>
      <w:r>
        <w:rPr>
          <w:color w:val="231F20"/>
          <w:w w:val="105"/>
          <w:sz w:val="17"/>
        </w:rPr>
        <w:t>1.13</w:t>
      </w:r>
      <w:r>
        <w:rPr>
          <w:color w:val="231F20"/>
          <w:spacing w:val="-3"/>
          <w:w w:val="105"/>
          <w:sz w:val="17"/>
        </w:rPr>
        <w:t> </w:t>
      </w:r>
      <w:r>
        <w:rPr>
          <w:color w:val="231F20"/>
          <w:w w:val="105"/>
          <w:sz w:val="17"/>
        </w:rPr>
        <w:t>becomes</w:t>
      </w:r>
      <w:r>
        <w:rPr>
          <w:color w:val="231F20"/>
          <w:spacing w:val="-3"/>
          <w:w w:val="105"/>
          <w:sz w:val="17"/>
        </w:rPr>
        <w:t> </w:t>
      </w:r>
      <w:r>
        <w:rPr>
          <w:color w:val="231F20"/>
          <w:w w:val="105"/>
          <w:sz w:val="17"/>
        </w:rPr>
        <w:t>1.2),</w:t>
      </w:r>
      <w:r>
        <w:rPr>
          <w:color w:val="231F20"/>
          <w:spacing w:val="-3"/>
          <w:w w:val="105"/>
          <w:sz w:val="17"/>
        </w:rPr>
        <w:t> </w:t>
      </w:r>
      <w:r>
        <w:rPr>
          <w:color w:val="231F20"/>
          <w:w w:val="105"/>
          <w:sz w:val="17"/>
        </w:rPr>
        <w:t>except</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a</w:t>
      </w:r>
      <w:r>
        <w:rPr>
          <w:color w:val="231F20"/>
          <w:spacing w:val="-3"/>
          <w:w w:val="105"/>
          <w:sz w:val="17"/>
        </w:rPr>
        <w:t> </w:t>
      </w:r>
      <w:r>
        <w:rPr>
          <w:color w:val="231F20"/>
          <w:w w:val="105"/>
          <w:sz w:val="17"/>
        </w:rPr>
        <w:t>value</w:t>
      </w:r>
      <w:r>
        <w:rPr>
          <w:color w:val="231F20"/>
          <w:spacing w:val="-3"/>
          <w:w w:val="105"/>
          <w:sz w:val="17"/>
        </w:rPr>
        <w:t> </w:t>
      </w:r>
      <w:r>
        <w:rPr>
          <w:color w:val="231F20"/>
          <w:w w:val="105"/>
          <w:sz w:val="17"/>
        </w:rPr>
        <w:t>of</w:t>
      </w:r>
      <w:r>
        <w:rPr>
          <w:color w:val="231F20"/>
          <w:spacing w:val="-3"/>
          <w:w w:val="105"/>
          <w:sz w:val="17"/>
        </w:rPr>
        <w:t> </w:t>
      </w:r>
      <w:r>
        <w:rPr>
          <w:color w:val="231F20"/>
          <w:w w:val="105"/>
          <w:sz w:val="17"/>
        </w:rPr>
        <w:t>0.05</w:t>
      </w:r>
      <w:r>
        <w:rPr>
          <w:color w:val="231F20"/>
          <w:spacing w:val="-3"/>
          <w:w w:val="105"/>
          <w:sz w:val="17"/>
        </w:rPr>
        <w:t> </w:t>
      </w:r>
      <w:r>
        <w:rPr>
          <w:color w:val="231F20"/>
          <w:w w:val="105"/>
          <w:sz w:val="17"/>
        </w:rPr>
        <w:t>or</w:t>
      </w:r>
      <w:r>
        <w:rPr>
          <w:color w:val="231F20"/>
          <w:spacing w:val="-3"/>
          <w:w w:val="105"/>
          <w:sz w:val="17"/>
        </w:rPr>
        <w:t> </w:t>
      </w:r>
      <w:r>
        <w:rPr>
          <w:color w:val="231F20"/>
          <w:w w:val="105"/>
          <w:sz w:val="17"/>
        </w:rPr>
        <w:t>less</w:t>
      </w:r>
      <w:r>
        <w:rPr>
          <w:color w:val="231F20"/>
          <w:spacing w:val="-3"/>
          <w:w w:val="105"/>
          <w:sz w:val="17"/>
        </w:rPr>
        <w:t> </w:t>
      </w:r>
      <w:r>
        <w:rPr>
          <w:color w:val="231F20"/>
          <w:w w:val="105"/>
          <w:sz w:val="17"/>
        </w:rPr>
        <w:t>may</w:t>
      </w:r>
      <w:r>
        <w:rPr>
          <w:color w:val="231F20"/>
          <w:spacing w:val="-3"/>
          <w:w w:val="105"/>
          <w:sz w:val="17"/>
        </w:rPr>
        <w:t> </w:t>
      </w:r>
      <w:r>
        <w:rPr>
          <w:color w:val="231F20"/>
          <w:w w:val="105"/>
          <w:sz w:val="17"/>
        </w:rPr>
        <w:t>be</w:t>
      </w:r>
      <w:r>
        <w:rPr>
          <w:color w:val="231F20"/>
          <w:spacing w:val="-3"/>
          <w:w w:val="105"/>
          <w:sz w:val="17"/>
        </w:rPr>
        <w:t> </w:t>
      </w:r>
      <w:r>
        <w:rPr>
          <w:color w:val="231F20"/>
          <w:w w:val="105"/>
          <w:sz w:val="17"/>
        </w:rPr>
        <w:t>considered</w:t>
      </w:r>
      <w:r>
        <w:rPr>
          <w:color w:val="231F20"/>
          <w:spacing w:val="-3"/>
          <w:w w:val="105"/>
          <w:sz w:val="17"/>
        </w:rPr>
        <w:t> </w:t>
      </w:r>
      <w:r>
        <w:rPr>
          <w:color w:val="231F20"/>
          <w:w w:val="105"/>
          <w:sz w:val="17"/>
        </w:rPr>
        <w:t>as</w:t>
      </w:r>
      <w:r>
        <w:rPr>
          <w:color w:val="231F20"/>
          <w:spacing w:val="-3"/>
          <w:w w:val="105"/>
          <w:sz w:val="17"/>
        </w:rPr>
        <w:t> </w:t>
      </w:r>
      <w:r>
        <w:rPr>
          <w:color w:val="231F20"/>
          <w:w w:val="105"/>
          <w:sz w:val="17"/>
        </w:rPr>
        <w:t>zero</w:t>
      </w:r>
      <w:r>
        <w:rPr>
          <w:color w:val="231F20"/>
          <w:spacing w:val="-3"/>
          <w:w w:val="105"/>
          <w:sz w:val="17"/>
        </w:rPr>
        <w:t> </w:t>
      </w:r>
      <w:r>
        <w:rPr>
          <w:color w:val="231F20"/>
          <w:w w:val="105"/>
          <w:sz w:val="17"/>
        </w:rPr>
        <w:t>and</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resulting number is the TI value (without unit).</w:t>
      </w:r>
    </w:p>
    <w:p>
      <w:pPr>
        <w:pStyle w:val="BodyText"/>
        <w:spacing w:before="77"/>
      </w:pPr>
    </w:p>
    <w:p>
      <w:pPr>
        <w:spacing w:line="295" w:lineRule="auto" w:before="0"/>
        <w:ind w:left="4510" w:right="2846" w:hanging="917"/>
        <w:jc w:val="left"/>
        <w:rPr>
          <w:rFonts w:ascii="Arial" w:hAnsi="Arial"/>
          <w:i/>
          <w:sz w:val="17"/>
        </w:rPr>
      </w:pPr>
      <w:r>
        <w:rPr>
          <w:color w:val="231F20"/>
          <w:w w:val="105"/>
          <w:sz w:val="17"/>
        </w:rPr>
        <w:t>Table</w:t>
      </w:r>
      <w:r>
        <w:rPr>
          <w:color w:val="231F20"/>
          <w:spacing w:val="-2"/>
          <w:w w:val="105"/>
          <w:sz w:val="17"/>
        </w:rPr>
        <w:t> </w:t>
      </w:r>
      <w:r>
        <w:rPr>
          <w:color w:val="231F20"/>
          <w:w w:val="105"/>
          <w:sz w:val="17"/>
        </w:rPr>
        <w:t>5.1.5.3.1</w:t>
      </w:r>
      <w:r>
        <w:rPr>
          <w:color w:val="231F20"/>
          <w:spacing w:val="-2"/>
          <w:w w:val="105"/>
          <w:sz w:val="17"/>
        </w:rPr>
        <w:t> </w:t>
      </w:r>
      <w:r>
        <w:rPr>
          <w:color w:val="231F20"/>
          <w:w w:val="105"/>
          <w:sz w:val="17"/>
        </w:rPr>
        <w:t>–</w:t>
      </w:r>
      <w:r>
        <w:rPr>
          <w:color w:val="231F20"/>
          <w:spacing w:val="-2"/>
          <w:w w:val="105"/>
          <w:sz w:val="17"/>
        </w:rPr>
        <w:t> </w:t>
      </w:r>
      <w:r>
        <w:rPr>
          <w:rFonts w:ascii="Arial" w:hAnsi="Arial"/>
          <w:i/>
          <w:color w:val="231F20"/>
          <w:w w:val="105"/>
          <w:sz w:val="17"/>
        </w:rPr>
        <w:t>Multiplication</w:t>
      </w:r>
      <w:r>
        <w:rPr>
          <w:rFonts w:ascii="Arial" w:hAnsi="Arial"/>
          <w:i/>
          <w:color w:val="231F20"/>
          <w:spacing w:val="-2"/>
          <w:w w:val="105"/>
          <w:sz w:val="17"/>
        </w:rPr>
        <w:t> </w:t>
      </w:r>
      <w:r>
        <w:rPr>
          <w:rFonts w:ascii="Arial" w:hAnsi="Arial"/>
          <w:i/>
          <w:color w:val="231F20"/>
          <w:w w:val="105"/>
          <w:sz w:val="17"/>
        </w:rPr>
        <w:t>factors</w:t>
      </w:r>
      <w:r>
        <w:rPr>
          <w:rFonts w:ascii="Arial" w:hAnsi="Arial"/>
          <w:i/>
          <w:color w:val="231F20"/>
          <w:spacing w:val="-2"/>
          <w:w w:val="105"/>
          <w:sz w:val="17"/>
        </w:rPr>
        <w:t> </w:t>
      </w:r>
      <w:r>
        <w:rPr>
          <w:rFonts w:ascii="Arial" w:hAnsi="Arial"/>
          <w:i/>
          <w:color w:val="231F20"/>
          <w:w w:val="105"/>
          <w:sz w:val="17"/>
        </w:rPr>
        <w:t>for</w:t>
      </w:r>
      <w:r>
        <w:rPr>
          <w:rFonts w:ascii="Arial" w:hAnsi="Arial"/>
          <w:i/>
          <w:color w:val="231F20"/>
          <w:spacing w:val="-2"/>
          <w:w w:val="105"/>
          <w:sz w:val="17"/>
        </w:rPr>
        <w:t> </w:t>
      </w:r>
      <w:r>
        <w:rPr>
          <w:rFonts w:ascii="Arial" w:hAnsi="Arial"/>
          <w:i/>
          <w:color w:val="231F20"/>
          <w:w w:val="105"/>
          <w:sz w:val="17"/>
        </w:rPr>
        <w:t>tanks,</w:t>
      </w:r>
      <w:r>
        <w:rPr>
          <w:rFonts w:ascii="Arial" w:hAnsi="Arial"/>
          <w:i/>
          <w:color w:val="231F20"/>
          <w:spacing w:val="-2"/>
          <w:w w:val="105"/>
          <w:sz w:val="17"/>
        </w:rPr>
        <w:t> </w:t>
      </w:r>
      <w:r>
        <w:rPr>
          <w:rFonts w:ascii="Arial" w:hAnsi="Arial"/>
          <w:i/>
          <w:color w:val="231F20"/>
          <w:w w:val="105"/>
          <w:sz w:val="17"/>
        </w:rPr>
        <w:t>freight</w:t>
      </w:r>
      <w:r>
        <w:rPr>
          <w:rFonts w:ascii="Arial" w:hAnsi="Arial"/>
          <w:i/>
          <w:color w:val="231F20"/>
          <w:spacing w:val="-2"/>
          <w:w w:val="105"/>
          <w:sz w:val="17"/>
        </w:rPr>
        <w:t> </w:t>
      </w:r>
      <w:r>
        <w:rPr>
          <w:rFonts w:ascii="Arial" w:hAnsi="Arial"/>
          <w:i/>
          <w:color w:val="231F20"/>
          <w:w w:val="105"/>
          <w:sz w:val="17"/>
        </w:rPr>
        <w:t>containers and unpackaged LSA-I, SCO-I and SCO-III</w:t>
      </w:r>
    </w:p>
    <w:p>
      <w:pPr>
        <w:pStyle w:val="BodyText"/>
        <w:spacing w:before="7"/>
        <w:rPr>
          <w:rFonts w:ascii="Arial"/>
          <w:i/>
          <w:sz w:val="8"/>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274"/>
        <w:gridCol w:w="4274"/>
      </w:tblGrid>
      <w:tr>
        <w:trPr>
          <w:trHeight w:val="240" w:hRule="atLeast"/>
        </w:trPr>
        <w:tc>
          <w:tcPr>
            <w:tcW w:w="4274" w:type="dxa"/>
          </w:tcPr>
          <w:p>
            <w:pPr>
              <w:pStyle w:val="TableParagraph"/>
              <w:spacing w:before="25"/>
              <w:ind w:right="2"/>
              <w:jc w:val="center"/>
              <w:rPr>
                <w:sz w:val="15"/>
              </w:rPr>
            </w:pPr>
            <w:r>
              <w:rPr>
                <w:color w:val="231F20"/>
                <w:sz w:val="15"/>
              </w:rPr>
              <w:t>Size</w:t>
            </w:r>
            <w:r>
              <w:rPr>
                <w:color w:val="231F20"/>
                <w:spacing w:val="16"/>
                <w:sz w:val="15"/>
              </w:rPr>
              <w:t> </w:t>
            </w:r>
            <w:r>
              <w:rPr>
                <w:color w:val="231F20"/>
                <w:sz w:val="15"/>
              </w:rPr>
              <w:t>of</w:t>
            </w:r>
            <w:r>
              <w:rPr>
                <w:color w:val="231F20"/>
                <w:spacing w:val="16"/>
                <w:sz w:val="15"/>
              </w:rPr>
              <w:t> </w:t>
            </w:r>
            <w:r>
              <w:rPr>
                <w:color w:val="231F20"/>
                <w:spacing w:val="-2"/>
                <w:sz w:val="15"/>
              </w:rPr>
              <w:t>load</w:t>
            </w:r>
            <w:r>
              <w:rPr>
                <w:color w:val="231F20"/>
                <w:spacing w:val="-2"/>
                <w:sz w:val="15"/>
                <w:vertAlign w:val="superscript"/>
              </w:rPr>
              <w:t>a</w:t>
            </w:r>
          </w:p>
        </w:tc>
        <w:tc>
          <w:tcPr>
            <w:tcW w:w="4274" w:type="dxa"/>
          </w:tcPr>
          <w:p>
            <w:pPr>
              <w:pStyle w:val="TableParagraph"/>
              <w:spacing w:before="25"/>
              <w:ind w:right="2"/>
              <w:jc w:val="center"/>
              <w:rPr>
                <w:sz w:val="15"/>
              </w:rPr>
            </w:pPr>
            <w:r>
              <w:rPr>
                <w:color w:val="231F20"/>
                <w:w w:val="110"/>
                <w:sz w:val="15"/>
              </w:rPr>
              <w:t>Multiplication</w:t>
            </w:r>
            <w:r>
              <w:rPr>
                <w:color w:val="231F20"/>
                <w:spacing w:val="27"/>
                <w:w w:val="110"/>
                <w:sz w:val="15"/>
              </w:rPr>
              <w:t> </w:t>
            </w:r>
            <w:r>
              <w:rPr>
                <w:color w:val="231F20"/>
                <w:spacing w:val="-2"/>
                <w:w w:val="110"/>
                <w:sz w:val="15"/>
              </w:rPr>
              <w:t>factor</w:t>
            </w:r>
          </w:p>
        </w:tc>
      </w:tr>
      <w:tr>
        <w:trPr>
          <w:trHeight w:val="311" w:hRule="atLeast"/>
        </w:trPr>
        <w:tc>
          <w:tcPr>
            <w:tcW w:w="4274" w:type="dxa"/>
            <w:tcBorders>
              <w:bottom w:val="nil"/>
            </w:tcBorders>
            <w:shd w:val="clear" w:color="auto" w:fill="E6E7E8"/>
          </w:tcPr>
          <w:p>
            <w:pPr>
              <w:pStyle w:val="TableParagraph"/>
              <w:ind w:right="2"/>
              <w:jc w:val="center"/>
              <w:rPr>
                <w:sz w:val="15"/>
              </w:rPr>
            </w:pPr>
            <w:r>
              <w:rPr>
                <w:color w:val="231F20"/>
                <w:w w:val="110"/>
                <w:sz w:val="15"/>
              </w:rPr>
              <w:t>size</w:t>
            </w:r>
            <w:r>
              <w:rPr>
                <w:color w:val="231F20"/>
                <w:spacing w:val="-7"/>
                <w:w w:val="110"/>
                <w:sz w:val="15"/>
              </w:rPr>
              <w:t> </w:t>
            </w:r>
            <w:r>
              <w:rPr>
                <w:color w:val="231F20"/>
                <w:w w:val="110"/>
                <w:sz w:val="15"/>
              </w:rPr>
              <w:t>of</w:t>
            </w:r>
            <w:r>
              <w:rPr>
                <w:color w:val="231F20"/>
                <w:spacing w:val="-7"/>
                <w:w w:val="110"/>
                <w:sz w:val="15"/>
              </w:rPr>
              <w:t> </w:t>
            </w:r>
            <w:r>
              <w:rPr>
                <w:color w:val="231F20"/>
                <w:w w:val="110"/>
                <w:sz w:val="15"/>
              </w:rPr>
              <w:t>load</w:t>
            </w:r>
            <w:r>
              <w:rPr>
                <w:color w:val="231F20"/>
                <w:spacing w:val="-7"/>
                <w:w w:val="110"/>
                <w:sz w:val="15"/>
              </w:rPr>
              <w:t> </w:t>
            </w:r>
            <w:r>
              <w:rPr>
                <w:color w:val="231F20"/>
                <w:w w:val="120"/>
                <w:sz w:val="15"/>
              </w:rPr>
              <w:t>≤</w:t>
            </w:r>
            <w:r>
              <w:rPr>
                <w:color w:val="231F20"/>
                <w:spacing w:val="-10"/>
                <w:w w:val="120"/>
                <w:sz w:val="15"/>
              </w:rPr>
              <w:t> </w:t>
            </w:r>
            <w:r>
              <w:rPr>
                <w:color w:val="231F20"/>
                <w:w w:val="110"/>
                <w:sz w:val="15"/>
              </w:rPr>
              <w:t>1</w:t>
            </w:r>
            <w:r>
              <w:rPr>
                <w:color w:val="231F20"/>
                <w:spacing w:val="-7"/>
                <w:w w:val="110"/>
                <w:sz w:val="15"/>
              </w:rPr>
              <w:t> </w:t>
            </w:r>
            <w:r>
              <w:rPr>
                <w:color w:val="231F20"/>
                <w:spacing w:val="-5"/>
                <w:w w:val="110"/>
                <w:sz w:val="15"/>
              </w:rPr>
              <w:t>m</w:t>
            </w:r>
            <w:r>
              <w:rPr>
                <w:color w:val="231F20"/>
                <w:spacing w:val="-5"/>
                <w:w w:val="110"/>
                <w:sz w:val="15"/>
                <w:vertAlign w:val="superscript"/>
              </w:rPr>
              <w:t>2</w:t>
            </w:r>
          </w:p>
        </w:tc>
        <w:tc>
          <w:tcPr>
            <w:tcW w:w="4274" w:type="dxa"/>
            <w:tcBorders>
              <w:bottom w:val="nil"/>
            </w:tcBorders>
            <w:shd w:val="clear" w:color="auto" w:fill="E6E7E8"/>
          </w:tcPr>
          <w:p>
            <w:pPr>
              <w:pStyle w:val="TableParagraph"/>
              <w:spacing w:before="45"/>
              <w:ind w:right="2"/>
              <w:jc w:val="center"/>
              <w:rPr>
                <w:sz w:val="15"/>
              </w:rPr>
            </w:pPr>
            <w:r>
              <w:rPr>
                <w:color w:val="231F20"/>
                <w:spacing w:val="-10"/>
                <w:w w:val="105"/>
                <w:sz w:val="15"/>
              </w:rPr>
              <w:t>1</w:t>
            </w:r>
          </w:p>
        </w:tc>
      </w:tr>
      <w:tr>
        <w:trPr>
          <w:trHeight w:val="316" w:hRule="atLeast"/>
        </w:trPr>
        <w:tc>
          <w:tcPr>
            <w:tcW w:w="4274" w:type="dxa"/>
            <w:tcBorders>
              <w:top w:val="nil"/>
              <w:bottom w:val="nil"/>
            </w:tcBorders>
          </w:tcPr>
          <w:p>
            <w:pPr>
              <w:pStyle w:val="TableParagraph"/>
              <w:spacing w:before="55"/>
              <w:ind w:right="2"/>
              <w:jc w:val="center"/>
              <w:rPr>
                <w:sz w:val="15"/>
              </w:rPr>
            </w:pPr>
            <w:r>
              <w:rPr>
                <w:color w:val="231F20"/>
                <w:w w:val="110"/>
                <w:sz w:val="15"/>
              </w:rPr>
              <w:t>1</w:t>
            </w:r>
            <w:r>
              <w:rPr>
                <w:color w:val="231F20"/>
                <w:spacing w:val="-3"/>
                <w:w w:val="110"/>
                <w:sz w:val="15"/>
              </w:rPr>
              <w:t> </w:t>
            </w:r>
            <w:r>
              <w:rPr>
                <w:color w:val="231F20"/>
                <w:w w:val="110"/>
                <w:sz w:val="15"/>
              </w:rPr>
              <w:t>m</w:t>
            </w:r>
            <w:r>
              <w:rPr>
                <w:color w:val="231F20"/>
                <w:w w:val="110"/>
                <w:sz w:val="15"/>
                <w:vertAlign w:val="superscript"/>
              </w:rPr>
              <w:t>2</w:t>
            </w:r>
            <w:r>
              <w:rPr>
                <w:color w:val="231F20"/>
                <w:spacing w:val="-2"/>
                <w:w w:val="110"/>
                <w:sz w:val="15"/>
                <w:vertAlign w:val="baseline"/>
              </w:rPr>
              <w:t> </w:t>
            </w:r>
            <w:r>
              <w:rPr>
                <w:color w:val="231F20"/>
                <w:w w:val="110"/>
                <w:sz w:val="15"/>
                <w:vertAlign w:val="baseline"/>
              </w:rPr>
              <w:t>&lt;</w:t>
            </w:r>
            <w:r>
              <w:rPr>
                <w:color w:val="231F20"/>
                <w:spacing w:val="-3"/>
                <w:w w:val="110"/>
                <w:sz w:val="15"/>
                <w:vertAlign w:val="baseline"/>
              </w:rPr>
              <w:t> </w:t>
            </w:r>
            <w:r>
              <w:rPr>
                <w:color w:val="231F20"/>
                <w:w w:val="110"/>
                <w:sz w:val="15"/>
                <w:vertAlign w:val="baseline"/>
              </w:rPr>
              <w:t>size</w:t>
            </w:r>
            <w:r>
              <w:rPr>
                <w:color w:val="231F20"/>
                <w:spacing w:val="-2"/>
                <w:w w:val="110"/>
                <w:sz w:val="15"/>
                <w:vertAlign w:val="baseline"/>
              </w:rPr>
              <w:t> </w:t>
            </w:r>
            <w:r>
              <w:rPr>
                <w:color w:val="231F20"/>
                <w:w w:val="110"/>
                <w:sz w:val="15"/>
                <w:vertAlign w:val="baseline"/>
              </w:rPr>
              <w:t>of</w:t>
            </w:r>
            <w:r>
              <w:rPr>
                <w:color w:val="231F20"/>
                <w:spacing w:val="-3"/>
                <w:w w:val="110"/>
                <w:sz w:val="15"/>
                <w:vertAlign w:val="baseline"/>
              </w:rPr>
              <w:t> </w:t>
            </w:r>
            <w:r>
              <w:rPr>
                <w:color w:val="231F20"/>
                <w:w w:val="110"/>
                <w:sz w:val="15"/>
                <w:vertAlign w:val="baseline"/>
              </w:rPr>
              <w:t>load</w:t>
            </w:r>
            <w:r>
              <w:rPr>
                <w:color w:val="231F20"/>
                <w:spacing w:val="-2"/>
                <w:w w:val="110"/>
                <w:sz w:val="15"/>
                <w:vertAlign w:val="baseline"/>
              </w:rPr>
              <w:t> </w:t>
            </w:r>
            <w:r>
              <w:rPr>
                <w:color w:val="231F20"/>
                <w:w w:val="110"/>
                <w:sz w:val="15"/>
                <w:vertAlign w:val="baseline"/>
              </w:rPr>
              <w:t>≤</w:t>
            </w:r>
            <w:r>
              <w:rPr>
                <w:color w:val="231F20"/>
                <w:spacing w:val="-3"/>
                <w:w w:val="110"/>
                <w:sz w:val="15"/>
                <w:vertAlign w:val="baseline"/>
              </w:rPr>
              <w:t> </w:t>
            </w:r>
            <w:r>
              <w:rPr>
                <w:color w:val="231F20"/>
                <w:w w:val="110"/>
                <w:sz w:val="15"/>
                <w:vertAlign w:val="baseline"/>
              </w:rPr>
              <w:t>5</w:t>
            </w:r>
            <w:r>
              <w:rPr>
                <w:color w:val="231F20"/>
                <w:spacing w:val="-2"/>
                <w:w w:val="110"/>
                <w:sz w:val="15"/>
                <w:vertAlign w:val="baseline"/>
              </w:rPr>
              <w:t> </w:t>
            </w:r>
            <w:r>
              <w:rPr>
                <w:color w:val="231F20"/>
                <w:spacing w:val="-5"/>
                <w:w w:val="110"/>
                <w:sz w:val="15"/>
                <w:vertAlign w:val="baseline"/>
              </w:rPr>
              <w:t>m</w:t>
            </w:r>
            <w:r>
              <w:rPr>
                <w:color w:val="231F20"/>
                <w:spacing w:val="-5"/>
                <w:w w:val="110"/>
                <w:sz w:val="15"/>
                <w:vertAlign w:val="superscript"/>
              </w:rPr>
              <w:t>2</w:t>
            </w:r>
          </w:p>
        </w:tc>
        <w:tc>
          <w:tcPr>
            <w:tcW w:w="4274" w:type="dxa"/>
            <w:tcBorders>
              <w:top w:val="nil"/>
              <w:bottom w:val="nil"/>
            </w:tcBorders>
          </w:tcPr>
          <w:p>
            <w:pPr>
              <w:pStyle w:val="TableParagraph"/>
              <w:ind w:right="2"/>
              <w:jc w:val="center"/>
              <w:rPr>
                <w:sz w:val="15"/>
              </w:rPr>
            </w:pPr>
            <w:r>
              <w:rPr>
                <w:color w:val="231F20"/>
                <w:spacing w:val="-10"/>
                <w:w w:val="105"/>
                <w:sz w:val="15"/>
              </w:rPr>
              <w:t>2</w:t>
            </w:r>
          </w:p>
        </w:tc>
      </w:tr>
      <w:tr>
        <w:trPr>
          <w:trHeight w:val="316" w:hRule="atLeast"/>
        </w:trPr>
        <w:tc>
          <w:tcPr>
            <w:tcW w:w="4274" w:type="dxa"/>
            <w:tcBorders>
              <w:top w:val="nil"/>
              <w:bottom w:val="nil"/>
            </w:tcBorders>
            <w:shd w:val="clear" w:color="auto" w:fill="E6E7E8"/>
          </w:tcPr>
          <w:p>
            <w:pPr>
              <w:pStyle w:val="TableParagraph"/>
              <w:spacing w:before="55"/>
              <w:ind w:right="2"/>
              <w:jc w:val="center"/>
              <w:rPr>
                <w:sz w:val="15"/>
              </w:rPr>
            </w:pPr>
            <w:r>
              <w:rPr>
                <w:color w:val="231F20"/>
                <w:w w:val="110"/>
                <w:sz w:val="15"/>
              </w:rPr>
              <w:t>5</w:t>
            </w:r>
            <w:r>
              <w:rPr>
                <w:color w:val="231F20"/>
                <w:spacing w:val="-4"/>
                <w:w w:val="110"/>
                <w:sz w:val="15"/>
              </w:rPr>
              <w:t> </w:t>
            </w:r>
            <w:r>
              <w:rPr>
                <w:color w:val="231F20"/>
                <w:w w:val="110"/>
                <w:sz w:val="15"/>
              </w:rPr>
              <w:t>m</w:t>
            </w:r>
            <w:r>
              <w:rPr>
                <w:color w:val="231F20"/>
                <w:w w:val="110"/>
                <w:sz w:val="15"/>
                <w:vertAlign w:val="superscript"/>
              </w:rPr>
              <w:t>2</w:t>
            </w:r>
            <w:r>
              <w:rPr>
                <w:color w:val="231F20"/>
                <w:spacing w:val="-3"/>
                <w:w w:val="110"/>
                <w:sz w:val="15"/>
                <w:vertAlign w:val="baseline"/>
              </w:rPr>
              <w:t> </w:t>
            </w:r>
            <w:r>
              <w:rPr>
                <w:color w:val="231F20"/>
                <w:w w:val="110"/>
                <w:sz w:val="15"/>
                <w:vertAlign w:val="baseline"/>
              </w:rPr>
              <w:t>&lt;</w:t>
            </w:r>
            <w:r>
              <w:rPr>
                <w:color w:val="231F20"/>
                <w:spacing w:val="-3"/>
                <w:w w:val="110"/>
                <w:sz w:val="15"/>
                <w:vertAlign w:val="baseline"/>
              </w:rPr>
              <w:t> </w:t>
            </w:r>
            <w:r>
              <w:rPr>
                <w:color w:val="231F20"/>
                <w:w w:val="110"/>
                <w:sz w:val="15"/>
                <w:vertAlign w:val="baseline"/>
              </w:rPr>
              <w:t>size</w:t>
            </w:r>
            <w:r>
              <w:rPr>
                <w:color w:val="231F20"/>
                <w:spacing w:val="-3"/>
                <w:w w:val="110"/>
                <w:sz w:val="15"/>
                <w:vertAlign w:val="baseline"/>
              </w:rPr>
              <w:t> </w:t>
            </w:r>
            <w:r>
              <w:rPr>
                <w:color w:val="231F20"/>
                <w:w w:val="110"/>
                <w:sz w:val="15"/>
                <w:vertAlign w:val="baseline"/>
              </w:rPr>
              <w:t>of</w:t>
            </w:r>
            <w:r>
              <w:rPr>
                <w:color w:val="231F20"/>
                <w:spacing w:val="-3"/>
                <w:w w:val="110"/>
                <w:sz w:val="15"/>
                <w:vertAlign w:val="baseline"/>
              </w:rPr>
              <w:t> </w:t>
            </w:r>
            <w:r>
              <w:rPr>
                <w:color w:val="231F20"/>
                <w:w w:val="110"/>
                <w:sz w:val="15"/>
                <w:vertAlign w:val="baseline"/>
              </w:rPr>
              <w:t>load</w:t>
            </w:r>
            <w:r>
              <w:rPr>
                <w:color w:val="231F20"/>
                <w:spacing w:val="-3"/>
                <w:w w:val="110"/>
                <w:sz w:val="15"/>
                <w:vertAlign w:val="baseline"/>
              </w:rPr>
              <w:t> </w:t>
            </w:r>
            <w:r>
              <w:rPr>
                <w:color w:val="231F20"/>
                <w:w w:val="110"/>
                <w:sz w:val="15"/>
                <w:vertAlign w:val="baseline"/>
              </w:rPr>
              <w:t>≤</w:t>
            </w:r>
            <w:r>
              <w:rPr>
                <w:color w:val="231F20"/>
                <w:spacing w:val="-4"/>
                <w:w w:val="110"/>
                <w:sz w:val="15"/>
                <w:vertAlign w:val="baseline"/>
              </w:rPr>
              <w:t> </w:t>
            </w:r>
            <w:r>
              <w:rPr>
                <w:color w:val="231F20"/>
                <w:w w:val="110"/>
                <w:sz w:val="15"/>
                <w:vertAlign w:val="baseline"/>
              </w:rPr>
              <w:t>20</w:t>
            </w:r>
            <w:r>
              <w:rPr>
                <w:color w:val="231F20"/>
                <w:spacing w:val="-3"/>
                <w:w w:val="110"/>
                <w:sz w:val="15"/>
                <w:vertAlign w:val="baseline"/>
              </w:rPr>
              <w:t> </w:t>
            </w:r>
            <w:r>
              <w:rPr>
                <w:color w:val="231F20"/>
                <w:spacing w:val="-5"/>
                <w:w w:val="110"/>
                <w:sz w:val="15"/>
                <w:vertAlign w:val="baseline"/>
              </w:rPr>
              <w:t>m</w:t>
            </w:r>
            <w:r>
              <w:rPr>
                <w:color w:val="231F20"/>
                <w:spacing w:val="-5"/>
                <w:w w:val="110"/>
                <w:sz w:val="15"/>
                <w:vertAlign w:val="superscript"/>
              </w:rPr>
              <w:t>2</w:t>
            </w:r>
          </w:p>
        </w:tc>
        <w:tc>
          <w:tcPr>
            <w:tcW w:w="4274" w:type="dxa"/>
            <w:tcBorders>
              <w:top w:val="nil"/>
              <w:bottom w:val="nil"/>
            </w:tcBorders>
            <w:shd w:val="clear" w:color="auto" w:fill="E6E7E8"/>
          </w:tcPr>
          <w:p>
            <w:pPr>
              <w:pStyle w:val="TableParagraph"/>
              <w:ind w:right="2"/>
              <w:jc w:val="center"/>
              <w:rPr>
                <w:sz w:val="15"/>
              </w:rPr>
            </w:pPr>
            <w:r>
              <w:rPr>
                <w:color w:val="231F20"/>
                <w:spacing w:val="-10"/>
                <w:w w:val="105"/>
                <w:sz w:val="15"/>
              </w:rPr>
              <w:t>3</w:t>
            </w:r>
          </w:p>
        </w:tc>
      </w:tr>
      <w:tr>
        <w:trPr>
          <w:trHeight w:val="311" w:hRule="atLeast"/>
        </w:trPr>
        <w:tc>
          <w:tcPr>
            <w:tcW w:w="4274" w:type="dxa"/>
            <w:tcBorders>
              <w:top w:val="nil"/>
            </w:tcBorders>
          </w:tcPr>
          <w:p>
            <w:pPr>
              <w:pStyle w:val="TableParagraph"/>
              <w:spacing w:before="55"/>
              <w:jc w:val="center"/>
              <w:rPr>
                <w:sz w:val="15"/>
              </w:rPr>
            </w:pPr>
            <w:r>
              <w:rPr>
                <w:color w:val="231F20"/>
                <w:w w:val="110"/>
                <w:sz w:val="15"/>
              </w:rPr>
              <w:t>20</w:t>
            </w:r>
            <w:r>
              <w:rPr>
                <w:color w:val="231F20"/>
                <w:spacing w:val="-7"/>
                <w:w w:val="110"/>
                <w:sz w:val="15"/>
              </w:rPr>
              <w:t> </w:t>
            </w:r>
            <w:r>
              <w:rPr>
                <w:color w:val="231F20"/>
                <w:w w:val="110"/>
                <w:sz w:val="15"/>
              </w:rPr>
              <w:t>m</w:t>
            </w:r>
            <w:r>
              <w:rPr>
                <w:color w:val="231F20"/>
                <w:w w:val="110"/>
                <w:sz w:val="15"/>
                <w:vertAlign w:val="superscript"/>
              </w:rPr>
              <w:t>2</w:t>
            </w:r>
            <w:r>
              <w:rPr>
                <w:color w:val="231F20"/>
                <w:spacing w:val="-6"/>
                <w:w w:val="110"/>
                <w:sz w:val="15"/>
                <w:vertAlign w:val="baseline"/>
              </w:rPr>
              <w:t> </w:t>
            </w:r>
            <w:r>
              <w:rPr>
                <w:color w:val="231F20"/>
                <w:w w:val="110"/>
                <w:sz w:val="15"/>
                <w:vertAlign w:val="baseline"/>
              </w:rPr>
              <w:t>&lt;</w:t>
            </w:r>
            <w:r>
              <w:rPr>
                <w:color w:val="231F20"/>
                <w:spacing w:val="-6"/>
                <w:w w:val="110"/>
                <w:sz w:val="15"/>
                <w:vertAlign w:val="baseline"/>
              </w:rPr>
              <w:t> </w:t>
            </w:r>
            <w:r>
              <w:rPr>
                <w:color w:val="231F20"/>
                <w:w w:val="110"/>
                <w:sz w:val="15"/>
                <w:vertAlign w:val="baseline"/>
              </w:rPr>
              <w:t>size</w:t>
            </w:r>
            <w:r>
              <w:rPr>
                <w:color w:val="231F20"/>
                <w:spacing w:val="-6"/>
                <w:w w:val="110"/>
                <w:sz w:val="15"/>
                <w:vertAlign w:val="baseline"/>
              </w:rPr>
              <w:t> </w:t>
            </w:r>
            <w:r>
              <w:rPr>
                <w:color w:val="231F20"/>
                <w:w w:val="110"/>
                <w:sz w:val="15"/>
                <w:vertAlign w:val="baseline"/>
              </w:rPr>
              <w:t>of</w:t>
            </w:r>
            <w:r>
              <w:rPr>
                <w:color w:val="231F20"/>
                <w:spacing w:val="-6"/>
                <w:w w:val="110"/>
                <w:sz w:val="15"/>
                <w:vertAlign w:val="baseline"/>
              </w:rPr>
              <w:t> </w:t>
            </w:r>
            <w:r>
              <w:rPr>
                <w:color w:val="231F20"/>
                <w:spacing w:val="-4"/>
                <w:w w:val="110"/>
                <w:sz w:val="15"/>
                <w:vertAlign w:val="baseline"/>
              </w:rPr>
              <w:t>load</w:t>
            </w:r>
          </w:p>
        </w:tc>
        <w:tc>
          <w:tcPr>
            <w:tcW w:w="4274" w:type="dxa"/>
            <w:tcBorders>
              <w:top w:val="nil"/>
            </w:tcBorders>
          </w:tcPr>
          <w:p>
            <w:pPr>
              <w:pStyle w:val="TableParagraph"/>
              <w:ind w:right="8"/>
              <w:jc w:val="center"/>
              <w:rPr>
                <w:sz w:val="15"/>
              </w:rPr>
            </w:pPr>
            <w:r>
              <w:rPr>
                <w:color w:val="231F20"/>
                <w:spacing w:val="-5"/>
                <w:w w:val="105"/>
                <w:sz w:val="15"/>
              </w:rPr>
              <w:t>10</w:t>
            </w:r>
          </w:p>
        </w:tc>
      </w:tr>
    </w:tbl>
    <w:p>
      <w:pPr>
        <w:spacing w:before="91"/>
        <w:ind w:left="1935" w:right="0" w:firstLine="0"/>
        <w:jc w:val="both"/>
        <w:rPr>
          <w:sz w:val="13"/>
        </w:rPr>
      </w:pPr>
      <w:r>
        <w:rPr>
          <w:color w:val="231F20"/>
          <w:w w:val="105"/>
          <w:sz w:val="13"/>
          <w:vertAlign w:val="superscript"/>
        </w:rPr>
        <w:t>a</w:t>
      </w:r>
      <w:r>
        <w:rPr>
          <w:color w:val="231F20"/>
          <w:spacing w:val="-5"/>
          <w:w w:val="105"/>
          <w:sz w:val="13"/>
          <w:vertAlign w:val="baseline"/>
        </w:rPr>
        <w:t> </w:t>
      </w:r>
      <w:r>
        <w:rPr>
          <w:color w:val="231F20"/>
          <w:w w:val="105"/>
          <w:sz w:val="13"/>
          <w:vertAlign w:val="baseline"/>
        </w:rPr>
        <w:t>Largest</w:t>
      </w:r>
      <w:r>
        <w:rPr>
          <w:color w:val="231F20"/>
          <w:spacing w:val="8"/>
          <w:w w:val="105"/>
          <w:sz w:val="13"/>
          <w:vertAlign w:val="baseline"/>
        </w:rPr>
        <w:t> </w:t>
      </w:r>
      <w:r>
        <w:rPr>
          <w:color w:val="231F20"/>
          <w:w w:val="105"/>
          <w:sz w:val="13"/>
          <w:vertAlign w:val="baseline"/>
        </w:rPr>
        <w:t>cross-sectional</w:t>
      </w:r>
      <w:r>
        <w:rPr>
          <w:color w:val="231F20"/>
          <w:spacing w:val="9"/>
          <w:w w:val="105"/>
          <w:sz w:val="13"/>
          <w:vertAlign w:val="baseline"/>
        </w:rPr>
        <w:t> </w:t>
      </w:r>
      <w:r>
        <w:rPr>
          <w:color w:val="231F20"/>
          <w:w w:val="105"/>
          <w:sz w:val="13"/>
          <w:vertAlign w:val="baseline"/>
        </w:rPr>
        <w:t>area</w:t>
      </w:r>
      <w:r>
        <w:rPr>
          <w:color w:val="231F20"/>
          <w:spacing w:val="9"/>
          <w:w w:val="105"/>
          <w:sz w:val="13"/>
          <w:vertAlign w:val="baseline"/>
        </w:rPr>
        <w:t> </w:t>
      </w:r>
      <w:r>
        <w:rPr>
          <w:color w:val="231F20"/>
          <w:w w:val="105"/>
          <w:sz w:val="13"/>
          <w:vertAlign w:val="baseline"/>
        </w:rPr>
        <w:t>of</w:t>
      </w:r>
      <w:r>
        <w:rPr>
          <w:color w:val="231F20"/>
          <w:spacing w:val="9"/>
          <w:w w:val="105"/>
          <w:sz w:val="13"/>
          <w:vertAlign w:val="baseline"/>
        </w:rPr>
        <w:t> </w:t>
      </w:r>
      <w:r>
        <w:rPr>
          <w:color w:val="231F20"/>
          <w:w w:val="105"/>
          <w:sz w:val="13"/>
          <w:vertAlign w:val="baseline"/>
        </w:rPr>
        <w:t>the</w:t>
      </w:r>
      <w:r>
        <w:rPr>
          <w:color w:val="231F20"/>
          <w:spacing w:val="9"/>
          <w:w w:val="105"/>
          <w:sz w:val="13"/>
          <w:vertAlign w:val="baseline"/>
        </w:rPr>
        <w:t> </w:t>
      </w:r>
      <w:r>
        <w:rPr>
          <w:color w:val="231F20"/>
          <w:w w:val="105"/>
          <w:sz w:val="13"/>
          <w:vertAlign w:val="baseline"/>
        </w:rPr>
        <w:t>load</w:t>
      </w:r>
      <w:r>
        <w:rPr>
          <w:color w:val="231F20"/>
          <w:spacing w:val="9"/>
          <w:w w:val="105"/>
          <w:sz w:val="13"/>
          <w:vertAlign w:val="baseline"/>
        </w:rPr>
        <w:t> </w:t>
      </w:r>
      <w:r>
        <w:rPr>
          <w:color w:val="231F20"/>
          <w:w w:val="105"/>
          <w:sz w:val="13"/>
          <w:vertAlign w:val="baseline"/>
        </w:rPr>
        <w:t>being</w:t>
      </w:r>
      <w:r>
        <w:rPr>
          <w:color w:val="231F20"/>
          <w:spacing w:val="9"/>
          <w:w w:val="105"/>
          <w:sz w:val="13"/>
          <w:vertAlign w:val="baseline"/>
        </w:rPr>
        <w:t> </w:t>
      </w:r>
      <w:r>
        <w:rPr>
          <w:color w:val="231F20"/>
          <w:spacing w:val="-2"/>
          <w:w w:val="105"/>
          <w:sz w:val="13"/>
          <w:vertAlign w:val="baseline"/>
        </w:rPr>
        <w:t>measured.</w:t>
      </w:r>
    </w:p>
    <w:p>
      <w:pPr>
        <w:pStyle w:val="BodyText"/>
        <w:rPr>
          <w:sz w:val="13"/>
        </w:rPr>
      </w:pPr>
    </w:p>
    <w:p>
      <w:pPr>
        <w:pStyle w:val="BodyText"/>
        <w:spacing w:before="64"/>
        <w:rPr>
          <w:sz w:val="13"/>
        </w:rPr>
      </w:pPr>
    </w:p>
    <w:p>
      <w:pPr>
        <w:pStyle w:val="ListParagraph"/>
        <w:numPr>
          <w:ilvl w:val="4"/>
          <w:numId w:val="1"/>
        </w:numPr>
        <w:tabs>
          <w:tab w:pos="1925" w:val="left" w:leader="none"/>
          <w:tab w:pos="1930" w:val="left" w:leader="none"/>
        </w:tabs>
        <w:spacing w:line="256" w:lineRule="auto" w:before="0" w:after="0"/>
        <w:ind w:left="1930" w:right="1414" w:hanging="1080"/>
        <w:jc w:val="both"/>
        <w:rPr>
          <w:color w:val="231F20"/>
          <w:sz w:val="17"/>
        </w:rPr>
      </w:pPr>
      <w:r>
        <w:rPr>
          <w:color w:val="231F20"/>
          <w:w w:val="105"/>
          <w:sz w:val="17"/>
        </w:rPr>
        <w:t>The TI for each rigid overpack, freight container or conveyance shall be determined as the sum of the TIs of all</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packages</w:t>
      </w:r>
      <w:r>
        <w:rPr>
          <w:color w:val="231F20"/>
          <w:spacing w:val="-5"/>
          <w:w w:val="105"/>
          <w:sz w:val="17"/>
        </w:rPr>
        <w:t> </w:t>
      </w:r>
      <w:r>
        <w:rPr>
          <w:color w:val="231F20"/>
          <w:w w:val="105"/>
          <w:sz w:val="17"/>
        </w:rPr>
        <w:t>contained</w:t>
      </w:r>
      <w:r>
        <w:rPr>
          <w:color w:val="231F20"/>
          <w:spacing w:val="-5"/>
          <w:w w:val="105"/>
          <w:sz w:val="17"/>
        </w:rPr>
        <w:t> </w:t>
      </w:r>
      <w:r>
        <w:rPr>
          <w:color w:val="231F20"/>
          <w:w w:val="105"/>
          <w:sz w:val="17"/>
        </w:rPr>
        <w:t>therein.</w:t>
      </w:r>
      <w:r>
        <w:rPr>
          <w:color w:val="231F20"/>
          <w:spacing w:val="-5"/>
          <w:w w:val="105"/>
          <w:sz w:val="17"/>
        </w:rPr>
        <w:t> </w:t>
      </w:r>
      <w:r>
        <w:rPr>
          <w:color w:val="231F20"/>
          <w:w w:val="105"/>
          <w:sz w:val="17"/>
        </w:rPr>
        <w:t>For</w:t>
      </w:r>
      <w:r>
        <w:rPr>
          <w:color w:val="231F20"/>
          <w:spacing w:val="-5"/>
          <w:w w:val="105"/>
          <w:sz w:val="17"/>
        </w:rPr>
        <w:t> </w:t>
      </w:r>
      <w:r>
        <w:rPr>
          <w:color w:val="231F20"/>
          <w:w w:val="105"/>
          <w:sz w:val="17"/>
        </w:rPr>
        <w:t>a</w:t>
      </w:r>
      <w:r>
        <w:rPr>
          <w:color w:val="231F20"/>
          <w:spacing w:val="-5"/>
          <w:w w:val="105"/>
          <w:sz w:val="17"/>
        </w:rPr>
        <w:t> </w:t>
      </w:r>
      <w:r>
        <w:rPr>
          <w:color w:val="231F20"/>
          <w:w w:val="105"/>
          <w:sz w:val="17"/>
        </w:rPr>
        <w:t>shipment</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a</w:t>
      </w:r>
      <w:r>
        <w:rPr>
          <w:color w:val="231F20"/>
          <w:spacing w:val="-5"/>
          <w:w w:val="105"/>
          <w:sz w:val="17"/>
        </w:rPr>
        <w:t> </w:t>
      </w:r>
      <w:r>
        <w:rPr>
          <w:color w:val="231F20"/>
          <w:w w:val="105"/>
          <w:sz w:val="17"/>
        </w:rPr>
        <w:t>single</w:t>
      </w:r>
      <w:r>
        <w:rPr>
          <w:color w:val="231F20"/>
          <w:spacing w:val="-5"/>
          <w:w w:val="105"/>
          <w:sz w:val="17"/>
        </w:rPr>
        <w:t> </w:t>
      </w:r>
      <w:r>
        <w:rPr>
          <w:color w:val="231F20"/>
          <w:w w:val="105"/>
          <w:sz w:val="17"/>
        </w:rPr>
        <w:t>consignor,</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consignor</w:t>
      </w:r>
      <w:r>
        <w:rPr>
          <w:color w:val="231F20"/>
          <w:spacing w:val="-5"/>
          <w:w w:val="105"/>
          <w:sz w:val="17"/>
        </w:rPr>
        <w:t> </w:t>
      </w:r>
      <w:r>
        <w:rPr>
          <w:color w:val="231F20"/>
          <w:w w:val="105"/>
          <w:sz w:val="17"/>
        </w:rPr>
        <w:t>may</w:t>
      </w:r>
      <w:r>
        <w:rPr>
          <w:color w:val="231F20"/>
          <w:spacing w:val="-5"/>
          <w:w w:val="105"/>
          <w:sz w:val="17"/>
        </w:rPr>
        <w:t> </w:t>
      </w:r>
      <w:r>
        <w:rPr>
          <w:color w:val="231F20"/>
          <w:w w:val="105"/>
          <w:sz w:val="17"/>
        </w:rPr>
        <w:t>determine</w:t>
      </w:r>
      <w:r>
        <w:rPr>
          <w:color w:val="231F20"/>
          <w:spacing w:val="-5"/>
          <w:w w:val="105"/>
          <w:sz w:val="17"/>
        </w:rPr>
        <w:t> </w:t>
      </w:r>
      <w:r>
        <w:rPr>
          <w:color w:val="231F20"/>
          <w:w w:val="105"/>
          <w:sz w:val="17"/>
        </w:rPr>
        <w:t>the TI by direct measurement of dose rate.</w:t>
      </w:r>
    </w:p>
    <w:p>
      <w:pPr>
        <w:pStyle w:val="BodyText"/>
        <w:spacing w:line="256" w:lineRule="auto" w:before="162"/>
        <w:ind w:left="1930" w:right="1414"/>
        <w:jc w:val="both"/>
      </w:pPr>
      <w:r>
        <w:rPr>
          <w:color w:val="231F20"/>
          <w:w w:val="105"/>
        </w:rPr>
        <w:t>The TI for a non-rigid overpack shall be determined only as the sum of the TIs of all the packages within the </w:t>
      </w:r>
      <w:r>
        <w:rPr>
          <w:color w:val="231F20"/>
          <w:spacing w:val="-2"/>
          <w:w w:val="105"/>
        </w:rPr>
        <w:t>overpack.</w:t>
      </w:r>
    </w:p>
    <w:p>
      <w:pPr>
        <w:pStyle w:val="ListParagraph"/>
        <w:numPr>
          <w:ilvl w:val="4"/>
          <w:numId w:val="1"/>
        </w:numPr>
        <w:tabs>
          <w:tab w:pos="1923" w:val="left" w:leader="none"/>
          <w:tab w:pos="1930" w:val="left" w:leader="none"/>
        </w:tabs>
        <w:spacing w:line="256" w:lineRule="auto" w:before="162" w:after="0"/>
        <w:ind w:left="1930" w:right="1414" w:hanging="1081"/>
        <w:jc w:val="both"/>
        <w:rPr>
          <w:color w:val="231F20"/>
          <w:sz w:val="17"/>
        </w:rPr>
      </w:pPr>
      <w:r>
        <w:rPr>
          <w:color w:val="231F20"/>
          <w:w w:val="105"/>
          <w:sz w:val="17"/>
        </w:rPr>
        <w:t>The criticality safety index for each overpack or freight container shall be determined as the sum of the CSIs of</w:t>
      </w:r>
      <w:r>
        <w:rPr>
          <w:color w:val="231F20"/>
          <w:spacing w:val="-9"/>
          <w:w w:val="105"/>
          <w:sz w:val="17"/>
        </w:rPr>
        <w:t> </w:t>
      </w:r>
      <w:r>
        <w:rPr>
          <w:color w:val="231F20"/>
          <w:w w:val="105"/>
          <w:sz w:val="17"/>
        </w:rPr>
        <w:t>all</w:t>
      </w:r>
      <w:r>
        <w:rPr>
          <w:color w:val="231F20"/>
          <w:spacing w:val="-9"/>
          <w:w w:val="105"/>
          <w:sz w:val="17"/>
        </w:rPr>
        <w:t> </w:t>
      </w:r>
      <w:r>
        <w:rPr>
          <w:color w:val="231F20"/>
          <w:w w:val="105"/>
          <w:sz w:val="17"/>
        </w:rPr>
        <w:t>the</w:t>
      </w:r>
      <w:r>
        <w:rPr>
          <w:color w:val="231F20"/>
          <w:spacing w:val="-9"/>
          <w:w w:val="105"/>
          <w:sz w:val="17"/>
        </w:rPr>
        <w:t> </w:t>
      </w:r>
      <w:r>
        <w:rPr>
          <w:color w:val="231F20"/>
          <w:w w:val="105"/>
          <w:sz w:val="17"/>
        </w:rPr>
        <w:t>packages</w:t>
      </w:r>
      <w:r>
        <w:rPr>
          <w:color w:val="231F20"/>
          <w:spacing w:val="-9"/>
          <w:w w:val="105"/>
          <w:sz w:val="17"/>
        </w:rPr>
        <w:t> </w:t>
      </w:r>
      <w:r>
        <w:rPr>
          <w:color w:val="231F20"/>
          <w:w w:val="105"/>
          <w:sz w:val="17"/>
        </w:rPr>
        <w:t>contained.</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same</w:t>
      </w:r>
      <w:r>
        <w:rPr>
          <w:color w:val="231F20"/>
          <w:spacing w:val="-9"/>
          <w:w w:val="105"/>
          <w:sz w:val="17"/>
        </w:rPr>
        <w:t> </w:t>
      </w:r>
      <w:r>
        <w:rPr>
          <w:color w:val="231F20"/>
          <w:w w:val="105"/>
          <w:sz w:val="17"/>
        </w:rPr>
        <w:t>procedure</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followed</w:t>
      </w:r>
      <w:r>
        <w:rPr>
          <w:color w:val="231F20"/>
          <w:spacing w:val="-9"/>
          <w:w w:val="105"/>
          <w:sz w:val="17"/>
        </w:rPr>
        <w:t> </w:t>
      </w:r>
      <w:r>
        <w:rPr>
          <w:color w:val="231F20"/>
          <w:w w:val="105"/>
          <w:sz w:val="17"/>
        </w:rPr>
        <w:t>for</w:t>
      </w:r>
      <w:r>
        <w:rPr>
          <w:color w:val="231F20"/>
          <w:spacing w:val="-9"/>
          <w:w w:val="105"/>
          <w:sz w:val="17"/>
        </w:rPr>
        <w:t> </w:t>
      </w:r>
      <w:r>
        <w:rPr>
          <w:color w:val="231F20"/>
          <w:w w:val="105"/>
          <w:sz w:val="17"/>
        </w:rPr>
        <w:t>determining</w:t>
      </w:r>
      <w:r>
        <w:rPr>
          <w:color w:val="231F20"/>
          <w:spacing w:val="-9"/>
          <w:w w:val="105"/>
          <w:sz w:val="17"/>
        </w:rPr>
        <w:t> </w:t>
      </w:r>
      <w:r>
        <w:rPr>
          <w:color w:val="231F20"/>
          <w:w w:val="105"/>
          <w:sz w:val="17"/>
        </w:rPr>
        <w:t>the</w:t>
      </w:r>
      <w:r>
        <w:rPr>
          <w:color w:val="231F20"/>
          <w:spacing w:val="-9"/>
          <w:w w:val="105"/>
          <w:sz w:val="17"/>
        </w:rPr>
        <w:t> </w:t>
      </w:r>
      <w:r>
        <w:rPr>
          <w:color w:val="231F20"/>
          <w:w w:val="105"/>
          <w:sz w:val="17"/>
        </w:rPr>
        <w:t>total</w:t>
      </w:r>
      <w:r>
        <w:rPr>
          <w:color w:val="231F20"/>
          <w:spacing w:val="-9"/>
          <w:w w:val="105"/>
          <w:sz w:val="17"/>
        </w:rPr>
        <w:t> </w:t>
      </w:r>
      <w:r>
        <w:rPr>
          <w:color w:val="231F20"/>
          <w:w w:val="105"/>
          <w:sz w:val="17"/>
        </w:rPr>
        <w:t>sum</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CSIs in a consignment or aboard a conveyance.</w:t>
      </w:r>
    </w:p>
    <w:p>
      <w:pPr>
        <w:pStyle w:val="ListParagraph"/>
        <w:numPr>
          <w:ilvl w:val="4"/>
          <w:numId w:val="1"/>
        </w:numPr>
        <w:tabs>
          <w:tab w:pos="1925" w:val="left" w:leader="none"/>
          <w:tab w:pos="1930" w:val="left" w:leader="none"/>
        </w:tabs>
        <w:spacing w:line="256" w:lineRule="auto" w:before="162" w:after="0"/>
        <w:ind w:left="1930" w:right="1414" w:hanging="1080"/>
        <w:jc w:val="both"/>
        <w:rPr>
          <w:color w:val="231F20"/>
          <w:sz w:val="17"/>
        </w:rPr>
      </w:pPr>
      <w:r>
        <w:rPr>
          <w:sz w:val="17"/>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ragraph">
                  <wp:posOffset>211518</wp:posOffset>
                </wp:positionV>
                <wp:extent cx="360045" cy="15303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0.0pt;margin-top:16.65501pt;width:28.35pt;height:120.5pt;mso-position-horizontal-relative:page;mso-position-vertical-relative:paragraph;z-index:15730688" type="#_x0000_t202" id="docshape24"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sz w:val="17"/>
        </w:rPr>
        <w:t>Packages,</w:t>
      </w:r>
      <w:r>
        <w:rPr>
          <w:color w:val="231F20"/>
          <w:spacing w:val="-1"/>
          <w:w w:val="105"/>
          <w:sz w:val="17"/>
        </w:rPr>
        <w:t> </w:t>
      </w:r>
      <w:r>
        <w:rPr>
          <w:color w:val="231F20"/>
          <w:w w:val="105"/>
          <w:sz w:val="17"/>
        </w:rPr>
        <w:t>overpacks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freight</w:t>
      </w:r>
      <w:r>
        <w:rPr>
          <w:color w:val="231F20"/>
          <w:spacing w:val="-1"/>
          <w:w w:val="105"/>
          <w:sz w:val="17"/>
        </w:rPr>
        <w:t> </w:t>
      </w:r>
      <w:r>
        <w:rPr>
          <w:color w:val="231F20"/>
          <w:w w:val="105"/>
          <w:sz w:val="17"/>
        </w:rPr>
        <w:t>containers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assigned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either</w:t>
      </w:r>
      <w:r>
        <w:rPr>
          <w:color w:val="231F20"/>
          <w:spacing w:val="-1"/>
          <w:w w:val="105"/>
          <w:sz w:val="17"/>
        </w:rPr>
        <w:t> </w:t>
      </w:r>
      <w:r>
        <w:rPr>
          <w:color w:val="231F20"/>
          <w:w w:val="105"/>
          <w:sz w:val="17"/>
        </w:rPr>
        <w:t>category</w:t>
      </w:r>
      <w:r>
        <w:rPr>
          <w:color w:val="231F20"/>
          <w:spacing w:val="-1"/>
          <w:w w:val="105"/>
          <w:sz w:val="17"/>
        </w:rPr>
        <w:t> </w:t>
      </w:r>
      <w:r>
        <w:rPr>
          <w:color w:val="231F20"/>
          <w:w w:val="105"/>
          <w:sz w:val="17"/>
        </w:rPr>
        <w:t>I</w:t>
      </w:r>
      <w:r>
        <w:rPr>
          <w:color w:val="231F20"/>
          <w:spacing w:val="-1"/>
          <w:w w:val="105"/>
          <w:sz w:val="17"/>
        </w:rPr>
        <w:t> </w:t>
      </w:r>
      <w:r>
        <w:rPr>
          <w:color w:val="231F20"/>
          <w:w w:val="105"/>
          <w:sz w:val="17"/>
        </w:rPr>
        <w:t>–</w:t>
      </w:r>
      <w:r>
        <w:rPr>
          <w:color w:val="231F20"/>
          <w:spacing w:val="-1"/>
          <w:w w:val="105"/>
          <w:sz w:val="17"/>
        </w:rPr>
        <w:t> </w:t>
      </w:r>
      <w:r>
        <w:rPr>
          <w:color w:val="231F20"/>
          <w:w w:val="105"/>
          <w:sz w:val="17"/>
        </w:rPr>
        <w:t>WHITE,</w:t>
      </w:r>
      <w:r>
        <w:rPr>
          <w:color w:val="231F20"/>
          <w:spacing w:val="-1"/>
          <w:w w:val="105"/>
          <w:sz w:val="17"/>
        </w:rPr>
        <w:t> </w:t>
      </w:r>
      <w:r>
        <w:rPr>
          <w:color w:val="231F20"/>
          <w:w w:val="105"/>
          <w:sz w:val="17"/>
        </w:rPr>
        <w:t>II</w:t>
      </w:r>
      <w:r>
        <w:rPr>
          <w:color w:val="231F20"/>
          <w:spacing w:val="-1"/>
          <w:w w:val="105"/>
          <w:sz w:val="17"/>
        </w:rPr>
        <w:t> </w:t>
      </w:r>
      <w:r>
        <w:rPr>
          <w:color w:val="231F20"/>
          <w:w w:val="105"/>
          <w:sz w:val="17"/>
        </w:rPr>
        <w:t>–</w:t>
      </w:r>
      <w:r>
        <w:rPr>
          <w:color w:val="231F20"/>
          <w:spacing w:val="-1"/>
          <w:w w:val="105"/>
          <w:sz w:val="17"/>
        </w:rPr>
        <w:t> </w:t>
      </w:r>
      <w:r>
        <w:rPr>
          <w:color w:val="231F20"/>
          <w:w w:val="105"/>
          <w:sz w:val="17"/>
        </w:rPr>
        <w:t>YELLOW</w:t>
      </w:r>
      <w:r>
        <w:rPr>
          <w:color w:val="231F20"/>
          <w:spacing w:val="-1"/>
          <w:w w:val="105"/>
          <w:sz w:val="17"/>
        </w:rPr>
        <w:t> </w:t>
      </w:r>
      <w:r>
        <w:rPr>
          <w:color w:val="231F20"/>
          <w:w w:val="105"/>
          <w:sz w:val="17"/>
        </w:rPr>
        <w:t>or </w:t>
      </w:r>
      <w:r>
        <w:rPr>
          <w:color w:val="231F20"/>
          <w:sz w:val="17"/>
        </w:rPr>
        <w:t>III – YELLOW in accordance with the conditions specified in table 5.1.5.3.4 and with the following requirements:</w:t>
      </w:r>
    </w:p>
    <w:p>
      <w:pPr>
        <w:pStyle w:val="ListParagraph"/>
        <w:numPr>
          <w:ilvl w:val="5"/>
          <w:numId w:val="1"/>
        </w:numPr>
        <w:tabs>
          <w:tab w:pos="2290" w:val="left" w:leader="none"/>
        </w:tabs>
        <w:spacing w:line="256" w:lineRule="auto" w:before="82" w:after="0"/>
        <w:ind w:left="2290" w:right="1414" w:hanging="360"/>
        <w:jc w:val="both"/>
        <w:rPr>
          <w:sz w:val="17"/>
        </w:rPr>
      </w:pPr>
      <w:r>
        <w:rPr>
          <w:color w:val="231F20"/>
          <w:sz w:val="17"/>
        </w:rPr>
        <w:t>for a package, overpack or freight container, both the transport index and the surface dose rate conditions </w:t>
      </w:r>
      <w:r>
        <w:rPr>
          <w:color w:val="231F20"/>
          <w:w w:val="105"/>
          <w:sz w:val="17"/>
        </w:rPr>
        <w:t>shall be taken into account in determining which is the appropriate category. Where the transport index satisfies the condition for one category but the surface dose rate satisfies the condition for a different category, the package, overpack or freight container shall be assigned to the higher category. For this purpose, category I – WHITE shall be regarded as the lowest category;</w:t>
      </w:r>
    </w:p>
    <w:p>
      <w:pPr>
        <w:pStyle w:val="ListParagraph"/>
        <w:numPr>
          <w:ilvl w:val="5"/>
          <w:numId w:val="1"/>
        </w:numPr>
        <w:tabs>
          <w:tab w:pos="2288" w:val="left" w:leader="none"/>
        </w:tabs>
        <w:spacing w:line="240" w:lineRule="auto" w:before="84" w:after="0"/>
        <w:ind w:left="2288" w:right="0" w:hanging="358"/>
        <w:jc w:val="both"/>
        <w:rPr>
          <w:sz w:val="17"/>
        </w:rPr>
      </w:pPr>
      <w:r>
        <w:rPr>
          <w:color w:val="231F20"/>
          <w:w w:val="105"/>
          <w:sz w:val="17"/>
        </w:rPr>
        <w:t>the</w:t>
      </w:r>
      <w:r>
        <w:rPr>
          <w:color w:val="231F20"/>
          <w:spacing w:val="-7"/>
          <w:w w:val="105"/>
          <w:sz w:val="17"/>
        </w:rPr>
        <w:t> </w:t>
      </w:r>
      <w:r>
        <w:rPr>
          <w:color w:val="231F20"/>
          <w:w w:val="105"/>
          <w:sz w:val="17"/>
        </w:rPr>
        <w:t>TI</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determined</w:t>
      </w:r>
      <w:r>
        <w:rPr>
          <w:color w:val="231F20"/>
          <w:spacing w:val="-7"/>
          <w:w w:val="105"/>
          <w:sz w:val="17"/>
        </w:rPr>
        <w:t> </w:t>
      </w:r>
      <w:r>
        <w:rPr>
          <w:color w:val="231F20"/>
          <w:w w:val="105"/>
          <w:sz w:val="17"/>
        </w:rPr>
        <w:t>following</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procedures</w:t>
      </w:r>
      <w:r>
        <w:rPr>
          <w:color w:val="231F20"/>
          <w:spacing w:val="-7"/>
          <w:w w:val="105"/>
          <w:sz w:val="17"/>
        </w:rPr>
        <w:t> </w:t>
      </w:r>
      <w:r>
        <w:rPr>
          <w:color w:val="231F20"/>
          <w:w w:val="105"/>
          <w:sz w:val="17"/>
        </w:rPr>
        <w:t>specified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5.1.5.3.1</w:t>
      </w:r>
      <w:r>
        <w:rPr>
          <w:color w:val="231F20"/>
          <w:spacing w:val="-7"/>
          <w:w w:val="105"/>
          <w:sz w:val="17"/>
        </w:rPr>
        <w:t> </w:t>
      </w:r>
      <w:r>
        <w:rPr>
          <w:color w:val="231F20"/>
          <w:w w:val="105"/>
          <w:sz w:val="17"/>
        </w:rPr>
        <w:t>and</w:t>
      </w:r>
      <w:r>
        <w:rPr>
          <w:color w:val="231F20"/>
          <w:spacing w:val="-7"/>
          <w:w w:val="105"/>
          <w:sz w:val="17"/>
        </w:rPr>
        <w:t> </w:t>
      </w:r>
      <w:r>
        <w:rPr>
          <w:color w:val="231F20"/>
          <w:spacing w:val="-2"/>
          <w:w w:val="105"/>
          <w:sz w:val="17"/>
        </w:rPr>
        <w:t>5.1.5.3.2;</w:t>
      </w:r>
    </w:p>
    <w:p>
      <w:pPr>
        <w:pStyle w:val="ListParagraph"/>
        <w:numPr>
          <w:ilvl w:val="5"/>
          <w:numId w:val="1"/>
        </w:numPr>
        <w:tabs>
          <w:tab w:pos="2290" w:val="left" w:leader="none"/>
        </w:tabs>
        <w:spacing w:line="256" w:lineRule="auto" w:before="95" w:after="0"/>
        <w:ind w:left="2290" w:right="1417" w:hanging="361"/>
        <w:jc w:val="left"/>
        <w:rPr>
          <w:sz w:val="17"/>
        </w:rPr>
      </w:pPr>
      <w:r>
        <w:rPr>
          <w:color w:val="231F20"/>
          <w:w w:val="105"/>
          <w:sz w:val="17"/>
        </w:rPr>
        <w:t>if the surface dose rate is greater than 2 mSv/h, the package or overpack shall be transported under</w:t>
      </w:r>
      <w:r>
        <w:rPr>
          <w:color w:val="231F20"/>
          <w:spacing w:val="80"/>
          <w:w w:val="105"/>
          <w:sz w:val="17"/>
        </w:rPr>
        <w:t> </w:t>
      </w:r>
      <w:r>
        <w:rPr>
          <w:color w:val="231F20"/>
          <w:w w:val="105"/>
          <w:sz w:val="17"/>
        </w:rPr>
        <w:t>exclusive</w:t>
      </w:r>
      <w:r>
        <w:rPr>
          <w:color w:val="231F20"/>
          <w:spacing w:val="-2"/>
          <w:w w:val="105"/>
          <w:sz w:val="17"/>
        </w:rPr>
        <w:t> </w:t>
      </w:r>
      <w:r>
        <w:rPr>
          <w:color w:val="231F20"/>
          <w:w w:val="105"/>
          <w:sz w:val="17"/>
        </w:rPr>
        <w:t>use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under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7.1.4.5.6</w:t>
      </w:r>
      <w:r>
        <w:rPr>
          <w:color w:val="231F20"/>
          <w:spacing w:val="-2"/>
          <w:w w:val="105"/>
          <w:sz w:val="17"/>
        </w:rPr>
        <w:t> </w:t>
      </w:r>
      <w:r>
        <w:rPr>
          <w:color w:val="231F20"/>
          <w:w w:val="105"/>
          <w:sz w:val="17"/>
        </w:rPr>
        <w:t>or</w:t>
      </w:r>
      <w:r>
        <w:rPr>
          <w:color w:val="231F20"/>
          <w:spacing w:val="-2"/>
          <w:w w:val="105"/>
          <w:sz w:val="17"/>
        </w:rPr>
        <w:t> </w:t>
      </w:r>
      <w:r>
        <w:rPr>
          <w:color w:val="231F20"/>
          <w:w w:val="105"/>
          <w:sz w:val="17"/>
        </w:rPr>
        <w:t>7.1.4.5.7,</w:t>
      </w:r>
      <w:r>
        <w:rPr>
          <w:color w:val="231F20"/>
          <w:spacing w:val="-2"/>
          <w:w w:val="105"/>
          <w:sz w:val="17"/>
        </w:rPr>
        <w:t> </w:t>
      </w:r>
      <w:r>
        <w:rPr>
          <w:color w:val="231F20"/>
          <w:w w:val="105"/>
          <w:sz w:val="17"/>
        </w:rPr>
        <w:t>as</w:t>
      </w:r>
      <w:r>
        <w:rPr>
          <w:color w:val="231F20"/>
          <w:spacing w:val="-2"/>
          <w:w w:val="105"/>
          <w:sz w:val="17"/>
        </w:rPr>
        <w:t> </w:t>
      </w:r>
      <w:r>
        <w:rPr>
          <w:color w:val="231F20"/>
          <w:w w:val="105"/>
          <w:sz w:val="17"/>
        </w:rPr>
        <w:t>appropriate;</w:t>
      </w:r>
    </w:p>
    <w:p>
      <w:pPr>
        <w:pStyle w:val="ListParagraph"/>
        <w:numPr>
          <w:ilvl w:val="5"/>
          <w:numId w:val="1"/>
        </w:numPr>
        <w:tabs>
          <w:tab w:pos="2290" w:val="left" w:leader="none"/>
        </w:tabs>
        <w:spacing w:line="256" w:lineRule="auto" w:before="81" w:after="0"/>
        <w:ind w:left="2290" w:right="1415" w:hanging="360"/>
        <w:jc w:val="left"/>
        <w:rPr>
          <w:sz w:val="17"/>
        </w:rPr>
      </w:pPr>
      <w:r>
        <w:rPr>
          <w:color w:val="231F20"/>
          <w:w w:val="105"/>
          <w:sz w:val="17"/>
        </w:rPr>
        <w:t>a</w:t>
      </w:r>
      <w:r>
        <w:rPr>
          <w:color w:val="231F20"/>
          <w:spacing w:val="-1"/>
          <w:w w:val="105"/>
          <w:sz w:val="17"/>
        </w:rPr>
        <w:t> </w:t>
      </w:r>
      <w:r>
        <w:rPr>
          <w:color w:val="231F20"/>
          <w:w w:val="105"/>
          <w:sz w:val="17"/>
        </w:rPr>
        <w:t>package</w:t>
      </w:r>
      <w:r>
        <w:rPr>
          <w:color w:val="231F20"/>
          <w:spacing w:val="-1"/>
          <w:w w:val="105"/>
          <w:sz w:val="17"/>
        </w:rPr>
        <w:t> </w:t>
      </w:r>
      <w:r>
        <w:rPr>
          <w:color w:val="231F20"/>
          <w:w w:val="105"/>
          <w:sz w:val="17"/>
        </w:rPr>
        <w:t>transported</w:t>
      </w:r>
      <w:r>
        <w:rPr>
          <w:color w:val="231F20"/>
          <w:spacing w:val="-1"/>
          <w:w w:val="105"/>
          <w:sz w:val="17"/>
        </w:rPr>
        <w:t> </w:t>
      </w:r>
      <w:r>
        <w:rPr>
          <w:color w:val="231F20"/>
          <w:w w:val="105"/>
          <w:sz w:val="17"/>
        </w:rPr>
        <w:t>under</w:t>
      </w:r>
      <w:r>
        <w:rPr>
          <w:color w:val="231F20"/>
          <w:spacing w:val="-1"/>
          <w:w w:val="105"/>
          <w:sz w:val="17"/>
        </w:rPr>
        <w:t> </w:t>
      </w:r>
      <w:r>
        <w:rPr>
          <w:color w:val="231F20"/>
          <w:w w:val="105"/>
          <w:sz w:val="17"/>
        </w:rPr>
        <w:t>a</w:t>
      </w:r>
      <w:r>
        <w:rPr>
          <w:color w:val="231F20"/>
          <w:spacing w:val="-1"/>
          <w:w w:val="105"/>
          <w:sz w:val="17"/>
        </w:rPr>
        <w:t> </w:t>
      </w:r>
      <w:r>
        <w:rPr>
          <w:color w:val="231F20"/>
          <w:w w:val="105"/>
          <w:sz w:val="17"/>
        </w:rPr>
        <w:t>special</w:t>
      </w:r>
      <w:r>
        <w:rPr>
          <w:color w:val="231F20"/>
          <w:spacing w:val="-1"/>
          <w:w w:val="105"/>
          <w:sz w:val="17"/>
        </w:rPr>
        <w:t> </w:t>
      </w:r>
      <w:r>
        <w:rPr>
          <w:color w:val="231F20"/>
          <w:w w:val="105"/>
          <w:sz w:val="17"/>
        </w:rPr>
        <w:t>arrangement</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assigned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category</w:t>
      </w:r>
      <w:r>
        <w:rPr>
          <w:color w:val="231F20"/>
          <w:spacing w:val="-1"/>
          <w:w w:val="105"/>
          <w:sz w:val="17"/>
        </w:rPr>
        <w:t> </w:t>
      </w:r>
      <w:r>
        <w:rPr>
          <w:color w:val="231F20"/>
          <w:w w:val="105"/>
          <w:sz w:val="17"/>
        </w:rPr>
        <w:t>III</w:t>
      </w:r>
      <w:r>
        <w:rPr>
          <w:color w:val="231F20"/>
          <w:spacing w:val="-1"/>
          <w:w w:val="105"/>
          <w:sz w:val="17"/>
        </w:rPr>
        <w:t> </w:t>
      </w:r>
      <w:r>
        <w:rPr>
          <w:color w:val="231F20"/>
          <w:w w:val="105"/>
          <w:sz w:val="17"/>
        </w:rPr>
        <w:t>–</w:t>
      </w:r>
      <w:r>
        <w:rPr>
          <w:color w:val="231F20"/>
          <w:spacing w:val="-1"/>
          <w:w w:val="105"/>
          <w:sz w:val="17"/>
        </w:rPr>
        <w:t> </w:t>
      </w:r>
      <w:r>
        <w:rPr>
          <w:color w:val="231F20"/>
          <w:w w:val="105"/>
          <w:sz w:val="17"/>
        </w:rPr>
        <w:t>YELLOW</w:t>
      </w:r>
      <w:r>
        <w:rPr>
          <w:color w:val="231F20"/>
          <w:spacing w:val="-1"/>
          <w:w w:val="105"/>
          <w:sz w:val="17"/>
        </w:rPr>
        <w:t> </w:t>
      </w:r>
      <w:r>
        <w:rPr>
          <w:color w:val="231F20"/>
          <w:w w:val="105"/>
          <w:sz w:val="17"/>
        </w:rPr>
        <w:t>except under the provisions of 5.1.5.3.5;</w:t>
      </w:r>
    </w:p>
    <w:p>
      <w:pPr>
        <w:pStyle w:val="ListParagraph"/>
        <w:numPr>
          <w:ilvl w:val="5"/>
          <w:numId w:val="1"/>
        </w:numPr>
        <w:tabs>
          <w:tab w:pos="2290" w:val="left" w:leader="none"/>
        </w:tabs>
        <w:spacing w:line="256" w:lineRule="auto" w:before="82" w:after="0"/>
        <w:ind w:left="2290" w:right="1414" w:hanging="360"/>
        <w:jc w:val="left"/>
        <w:rPr>
          <w:sz w:val="17"/>
        </w:rPr>
      </w:pPr>
      <w:r>
        <w:rPr>
          <w:color w:val="231F20"/>
          <w:w w:val="105"/>
          <w:sz w:val="17"/>
        </w:rPr>
        <w:t>an overpack or freight container which contains packages transported under special arrangement shall be assigned to category III – YELLOW except under the provisions of 5.1.5.3.5.</w:t>
      </w:r>
    </w:p>
    <w:p>
      <w:pPr>
        <w:pStyle w:val="ListParagraph"/>
        <w:spacing w:after="0" w:line="256" w:lineRule="auto"/>
        <w:jc w:val="left"/>
        <w:rPr>
          <w:sz w:val="17"/>
        </w:rPr>
        <w:sectPr>
          <w:pgSz w:w="11910" w:h="16840"/>
          <w:pgMar w:header="303" w:footer="570" w:top="1540" w:bottom="760" w:left="0" w:right="0"/>
        </w:sectPr>
      </w:pPr>
    </w:p>
    <w:p>
      <w:pPr>
        <w:spacing w:before="109"/>
        <w:ind w:left="3812" w:right="0" w:firstLine="0"/>
        <w:jc w:val="left"/>
        <w:rPr>
          <w:rFonts w:ascii="Arial" w:hAnsi="Arial"/>
          <w:i/>
          <w:sz w:val="17"/>
        </w:rPr>
      </w:pPr>
      <w:r>
        <w:rPr>
          <w:color w:val="231F20"/>
          <w:sz w:val="17"/>
        </w:rPr>
        <w:t>Table</w:t>
      </w:r>
      <w:r>
        <w:rPr>
          <w:color w:val="231F20"/>
          <w:spacing w:val="18"/>
          <w:sz w:val="17"/>
        </w:rPr>
        <w:t> </w:t>
      </w:r>
      <w:r>
        <w:rPr>
          <w:color w:val="231F20"/>
          <w:sz w:val="17"/>
        </w:rPr>
        <w:t>5.1.5.3.4</w:t>
      </w:r>
      <w:r>
        <w:rPr>
          <w:color w:val="231F20"/>
          <w:spacing w:val="19"/>
          <w:sz w:val="17"/>
        </w:rPr>
        <w:t> </w:t>
      </w:r>
      <w:r>
        <w:rPr>
          <w:color w:val="231F20"/>
          <w:sz w:val="17"/>
        </w:rPr>
        <w:t>–</w:t>
      </w:r>
      <w:r>
        <w:rPr>
          <w:color w:val="231F20"/>
          <w:spacing w:val="19"/>
          <w:sz w:val="17"/>
        </w:rPr>
        <w:t> </w:t>
      </w:r>
      <w:r>
        <w:rPr>
          <w:rFonts w:ascii="Arial" w:hAnsi="Arial"/>
          <w:i/>
          <w:color w:val="231F20"/>
          <w:sz w:val="17"/>
        </w:rPr>
        <w:t>Categories</w:t>
      </w:r>
      <w:r>
        <w:rPr>
          <w:rFonts w:ascii="Arial" w:hAnsi="Arial"/>
          <w:i/>
          <w:color w:val="231F20"/>
          <w:spacing w:val="19"/>
          <w:sz w:val="17"/>
        </w:rPr>
        <w:t> </w:t>
      </w:r>
      <w:r>
        <w:rPr>
          <w:rFonts w:ascii="Arial" w:hAnsi="Arial"/>
          <w:i/>
          <w:color w:val="231F20"/>
          <w:sz w:val="17"/>
        </w:rPr>
        <w:t>of</w:t>
      </w:r>
      <w:r>
        <w:rPr>
          <w:rFonts w:ascii="Arial" w:hAnsi="Arial"/>
          <w:i/>
          <w:color w:val="231F20"/>
          <w:spacing w:val="19"/>
          <w:sz w:val="17"/>
        </w:rPr>
        <w:t> </w:t>
      </w:r>
      <w:r>
        <w:rPr>
          <w:rFonts w:ascii="Arial" w:hAnsi="Arial"/>
          <w:i/>
          <w:color w:val="231F20"/>
          <w:sz w:val="17"/>
        </w:rPr>
        <w:t>packages,</w:t>
      </w:r>
      <w:r>
        <w:rPr>
          <w:rFonts w:ascii="Arial" w:hAnsi="Arial"/>
          <w:i/>
          <w:color w:val="231F20"/>
          <w:spacing w:val="19"/>
          <w:sz w:val="17"/>
        </w:rPr>
        <w:t> </w:t>
      </w:r>
      <w:r>
        <w:rPr>
          <w:rFonts w:ascii="Arial" w:hAnsi="Arial"/>
          <w:i/>
          <w:color w:val="231F20"/>
          <w:sz w:val="17"/>
        </w:rPr>
        <w:t>overpacks</w:t>
      </w:r>
      <w:r>
        <w:rPr>
          <w:rFonts w:ascii="Arial" w:hAnsi="Arial"/>
          <w:i/>
          <w:color w:val="231F20"/>
          <w:spacing w:val="19"/>
          <w:sz w:val="17"/>
        </w:rPr>
        <w:t> </w:t>
      </w:r>
      <w:r>
        <w:rPr>
          <w:rFonts w:ascii="Arial" w:hAnsi="Arial"/>
          <w:i/>
          <w:color w:val="231F20"/>
          <w:sz w:val="17"/>
        </w:rPr>
        <w:t>and</w:t>
      </w:r>
      <w:r>
        <w:rPr>
          <w:rFonts w:ascii="Arial" w:hAnsi="Arial"/>
          <w:i/>
          <w:color w:val="231F20"/>
          <w:spacing w:val="18"/>
          <w:sz w:val="17"/>
        </w:rPr>
        <w:t> </w:t>
      </w:r>
      <w:r>
        <w:rPr>
          <w:rFonts w:ascii="Arial" w:hAnsi="Arial"/>
          <w:i/>
          <w:color w:val="231F20"/>
          <w:sz w:val="17"/>
        </w:rPr>
        <w:t>freight</w:t>
      </w:r>
      <w:r>
        <w:rPr>
          <w:rFonts w:ascii="Arial" w:hAnsi="Arial"/>
          <w:i/>
          <w:color w:val="231F20"/>
          <w:spacing w:val="19"/>
          <w:sz w:val="17"/>
        </w:rPr>
        <w:t> </w:t>
      </w:r>
      <w:r>
        <w:rPr>
          <w:rFonts w:ascii="Arial" w:hAnsi="Arial"/>
          <w:i/>
          <w:color w:val="231F20"/>
          <w:spacing w:val="-2"/>
          <w:sz w:val="17"/>
        </w:rPr>
        <w:t>containers</w:t>
      </w:r>
    </w:p>
    <w:p>
      <w:pPr>
        <w:pStyle w:val="BodyText"/>
        <w:spacing w:before="5" w:after="1"/>
        <w:rPr>
          <w:rFonts w:ascii="Arial"/>
          <w:i/>
          <w:sz w:val="12"/>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3969"/>
        <w:gridCol w:w="1745"/>
      </w:tblGrid>
      <w:tr>
        <w:trPr>
          <w:trHeight w:val="240" w:hRule="atLeast"/>
        </w:trPr>
        <w:tc>
          <w:tcPr>
            <w:tcW w:w="8549" w:type="dxa"/>
            <w:gridSpan w:val="3"/>
          </w:tcPr>
          <w:p>
            <w:pPr>
              <w:pStyle w:val="TableParagraph"/>
              <w:spacing w:before="25"/>
              <w:jc w:val="center"/>
              <w:rPr>
                <w:sz w:val="15"/>
              </w:rPr>
            </w:pPr>
            <w:r>
              <w:rPr>
                <w:color w:val="231F20"/>
                <w:spacing w:val="-2"/>
                <w:w w:val="110"/>
                <w:sz w:val="15"/>
              </w:rPr>
              <w:t>Conditions</w:t>
            </w:r>
          </w:p>
        </w:tc>
      </w:tr>
      <w:tr>
        <w:trPr>
          <w:trHeight w:val="430" w:hRule="atLeast"/>
        </w:trPr>
        <w:tc>
          <w:tcPr>
            <w:tcW w:w="2835" w:type="dxa"/>
          </w:tcPr>
          <w:p>
            <w:pPr>
              <w:pStyle w:val="TableParagraph"/>
              <w:spacing w:before="120"/>
              <w:ind w:left="840"/>
              <w:rPr>
                <w:sz w:val="15"/>
              </w:rPr>
            </w:pPr>
            <w:r>
              <w:rPr>
                <w:color w:val="231F20"/>
                <w:spacing w:val="4"/>
                <w:sz w:val="15"/>
              </w:rPr>
              <w:t>Transport</w:t>
            </w:r>
            <w:r>
              <w:rPr>
                <w:color w:val="231F20"/>
                <w:spacing w:val="26"/>
                <w:sz w:val="15"/>
              </w:rPr>
              <w:t> </w:t>
            </w:r>
            <w:r>
              <w:rPr>
                <w:color w:val="231F20"/>
                <w:spacing w:val="-2"/>
                <w:sz w:val="15"/>
              </w:rPr>
              <w:t>index</w:t>
            </w:r>
          </w:p>
        </w:tc>
        <w:tc>
          <w:tcPr>
            <w:tcW w:w="3969" w:type="dxa"/>
          </w:tcPr>
          <w:p>
            <w:pPr>
              <w:pStyle w:val="TableParagraph"/>
              <w:spacing w:line="264" w:lineRule="auto" w:before="25"/>
              <w:ind w:left="1276" w:right="669" w:hanging="473"/>
              <w:rPr>
                <w:sz w:val="15"/>
              </w:rPr>
            </w:pPr>
            <w:r>
              <w:rPr>
                <w:color w:val="231F20"/>
                <w:w w:val="110"/>
                <w:sz w:val="15"/>
              </w:rPr>
              <w:t>Maximum</w:t>
            </w:r>
            <w:r>
              <w:rPr>
                <w:color w:val="231F20"/>
                <w:spacing w:val="-5"/>
                <w:w w:val="110"/>
                <w:sz w:val="15"/>
              </w:rPr>
              <w:t> </w:t>
            </w:r>
            <w:r>
              <w:rPr>
                <w:color w:val="231F20"/>
                <w:w w:val="110"/>
                <w:sz w:val="15"/>
              </w:rPr>
              <w:t>dose</w:t>
            </w:r>
            <w:r>
              <w:rPr>
                <w:color w:val="231F20"/>
                <w:spacing w:val="-5"/>
                <w:w w:val="110"/>
                <w:sz w:val="15"/>
              </w:rPr>
              <w:t> </w:t>
            </w:r>
            <w:r>
              <w:rPr>
                <w:color w:val="231F20"/>
                <w:w w:val="110"/>
                <w:sz w:val="15"/>
              </w:rPr>
              <w:t>rate</w:t>
            </w:r>
            <w:r>
              <w:rPr>
                <w:color w:val="231F20"/>
                <w:spacing w:val="-5"/>
                <w:w w:val="110"/>
                <w:sz w:val="15"/>
              </w:rPr>
              <w:t> </w:t>
            </w:r>
            <w:r>
              <w:rPr>
                <w:color w:val="231F20"/>
                <w:w w:val="110"/>
                <w:sz w:val="15"/>
              </w:rPr>
              <w:t>at</w:t>
            </w:r>
            <w:r>
              <w:rPr>
                <w:color w:val="231F20"/>
                <w:spacing w:val="-5"/>
                <w:w w:val="110"/>
                <w:sz w:val="15"/>
              </w:rPr>
              <w:t> </w:t>
            </w:r>
            <w:r>
              <w:rPr>
                <w:color w:val="231F20"/>
                <w:w w:val="110"/>
                <w:sz w:val="15"/>
              </w:rPr>
              <w:t>any</w:t>
            </w:r>
            <w:r>
              <w:rPr>
                <w:color w:val="231F20"/>
                <w:spacing w:val="-5"/>
                <w:w w:val="110"/>
                <w:sz w:val="15"/>
              </w:rPr>
              <w:t> </w:t>
            </w:r>
            <w:r>
              <w:rPr>
                <w:color w:val="231F20"/>
                <w:w w:val="110"/>
                <w:sz w:val="15"/>
              </w:rPr>
              <w:t>point on external surface</w:t>
            </w:r>
          </w:p>
        </w:tc>
        <w:tc>
          <w:tcPr>
            <w:tcW w:w="1745" w:type="dxa"/>
          </w:tcPr>
          <w:p>
            <w:pPr>
              <w:pStyle w:val="TableParagraph"/>
              <w:spacing w:before="120"/>
              <w:ind w:left="532"/>
              <w:rPr>
                <w:sz w:val="15"/>
              </w:rPr>
            </w:pPr>
            <w:r>
              <w:rPr>
                <w:color w:val="231F20"/>
                <w:spacing w:val="-2"/>
                <w:w w:val="110"/>
                <w:sz w:val="15"/>
              </w:rPr>
              <w:t>Category</w:t>
            </w:r>
          </w:p>
        </w:tc>
      </w:tr>
      <w:tr>
        <w:trPr>
          <w:trHeight w:val="305" w:hRule="atLeast"/>
        </w:trPr>
        <w:tc>
          <w:tcPr>
            <w:tcW w:w="2835" w:type="dxa"/>
            <w:tcBorders>
              <w:bottom w:val="nil"/>
            </w:tcBorders>
            <w:shd w:val="clear" w:color="auto" w:fill="E6E7E8"/>
          </w:tcPr>
          <w:p>
            <w:pPr>
              <w:pStyle w:val="TableParagraph"/>
              <w:spacing w:before="20"/>
              <w:ind w:left="79"/>
              <w:rPr>
                <w:sz w:val="11"/>
              </w:rPr>
            </w:pPr>
            <w:r>
              <w:rPr>
                <w:color w:val="231F20"/>
                <w:spacing w:val="-5"/>
                <w:position w:val="-5"/>
                <w:sz w:val="15"/>
              </w:rPr>
              <w:t>0</w:t>
            </w:r>
            <w:r>
              <w:rPr>
                <w:color w:val="231F20"/>
                <w:spacing w:val="-5"/>
                <w:sz w:val="11"/>
              </w:rPr>
              <w:t>a</w:t>
            </w:r>
          </w:p>
        </w:tc>
        <w:tc>
          <w:tcPr>
            <w:tcW w:w="3969" w:type="dxa"/>
            <w:tcBorders>
              <w:bottom w:val="nil"/>
            </w:tcBorders>
            <w:shd w:val="clear" w:color="auto" w:fill="E6E7E8"/>
          </w:tcPr>
          <w:p>
            <w:pPr>
              <w:pStyle w:val="TableParagraph"/>
              <w:spacing w:before="45"/>
              <w:ind w:left="79"/>
              <w:rPr>
                <w:sz w:val="15"/>
              </w:rPr>
            </w:pPr>
            <w:r>
              <w:rPr>
                <w:color w:val="231F20"/>
                <w:w w:val="105"/>
                <w:sz w:val="15"/>
              </w:rPr>
              <w:t>Not more</w:t>
            </w:r>
            <w:r>
              <w:rPr>
                <w:color w:val="231F20"/>
                <w:spacing w:val="1"/>
                <w:w w:val="105"/>
                <w:sz w:val="15"/>
              </w:rPr>
              <w:t> </w:t>
            </w:r>
            <w:r>
              <w:rPr>
                <w:color w:val="231F20"/>
                <w:w w:val="105"/>
                <w:sz w:val="15"/>
              </w:rPr>
              <w:t>than 0.005</w:t>
            </w:r>
            <w:r>
              <w:rPr>
                <w:color w:val="231F20"/>
                <w:spacing w:val="1"/>
                <w:w w:val="105"/>
                <w:sz w:val="15"/>
              </w:rPr>
              <w:t> </w:t>
            </w:r>
            <w:r>
              <w:rPr>
                <w:color w:val="231F20"/>
                <w:spacing w:val="-4"/>
                <w:w w:val="105"/>
                <w:sz w:val="15"/>
              </w:rPr>
              <w:t>mSv/h</w:t>
            </w:r>
          </w:p>
        </w:tc>
        <w:tc>
          <w:tcPr>
            <w:tcW w:w="1745" w:type="dxa"/>
            <w:tcBorders>
              <w:bottom w:val="nil"/>
            </w:tcBorders>
            <w:shd w:val="clear" w:color="auto" w:fill="E6E7E8"/>
          </w:tcPr>
          <w:p>
            <w:pPr>
              <w:pStyle w:val="TableParagraph"/>
              <w:spacing w:before="45"/>
              <w:ind w:left="79"/>
              <w:rPr>
                <w:sz w:val="15"/>
              </w:rPr>
            </w:pPr>
            <w:r>
              <w:rPr>
                <w:color w:val="231F20"/>
                <w:sz w:val="15"/>
              </w:rPr>
              <w:t>I</w:t>
            </w:r>
            <w:r>
              <w:rPr>
                <w:color w:val="231F20"/>
                <w:spacing w:val="-4"/>
                <w:sz w:val="15"/>
              </w:rPr>
              <w:t> </w:t>
            </w:r>
            <w:r>
              <w:rPr>
                <w:color w:val="231F20"/>
                <w:sz w:val="15"/>
              </w:rPr>
              <w:t>–</w:t>
            </w:r>
            <w:r>
              <w:rPr>
                <w:color w:val="231F20"/>
                <w:spacing w:val="-3"/>
                <w:sz w:val="15"/>
              </w:rPr>
              <w:t> </w:t>
            </w:r>
            <w:r>
              <w:rPr>
                <w:color w:val="231F20"/>
                <w:spacing w:val="-2"/>
                <w:sz w:val="15"/>
              </w:rPr>
              <w:t>WHITE</w:t>
            </w:r>
          </w:p>
        </w:tc>
      </w:tr>
      <w:tr>
        <w:trPr>
          <w:trHeight w:val="310" w:hRule="atLeast"/>
        </w:trPr>
        <w:tc>
          <w:tcPr>
            <w:tcW w:w="2835" w:type="dxa"/>
            <w:tcBorders>
              <w:top w:val="nil"/>
              <w:bottom w:val="nil"/>
            </w:tcBorders>
          </w:tcPr>
          <w:p>
            <w:pPr>
              <w:pStyle w:val="TableParagraph"/>
              <w:ind w:left="80"/>
              <w:rPr>
                <w:sz w:val="15"/>
              </w:rPr>
            </w:pPr>
            <w:r>
              <w:rPr>
                <w:color w:val="231F20"/>
                <w:w w:val="105"/>
                <w:sz w:val="15"/>
              </w:rPr>
              <w:t>More</w:t>
            </w:r>
            <w:r>
              <w:rPr>
                <w:color w:val="231F20"/>
                <w:spacing w:val="2"/>
                <w:w w:val="105"/>
                <w:sz w:val="15"/>
              </w:rPr>
              <w:t> </w:t>
            </w:r>
            <w:r>
              <w:rPr>
                <w:color w:val="231F20"/>
                <w:w w:val="105"/>
                <w:sz w:val="15"/>
              </w:rPr>
              <w:t>than</w:t>
            </w:r>
            <w:r>
              <w:rPr>
                <w:color w:val="231F20"/>
                <w:spacing w:val="2"/>
                <w:w w:val="105"/>
                <w:sz w:val="15"/>
              </w:rPr>
              <w:t> </w:t>
            </w:r>
            <w:r>
              <w:rPr>
                <w:color w:val="231F20"/>
                <w:w w:val="105"/>
                <w:sz w:val="15"/>
              </w:rPr>
              <w:t>0</w:t>
            </w:r>
            <w:r>
              <w:rPr>
                <w:color w:val="231F20"/>
                <w:spacing w:val="2"/>
                <w:w w:val="105"/>
                <w:sz w:val="15"/>
              </w:rPr>
              <w:t> </w:t>
            </w:r>
            <w:r>
              <w:rPr>
                <w:color w:val="231F20"/>
                <w:w w:val="105"/>
                <w:sz w:val="15"/>
              </w:rPr>
              <w:t>but</w:t>
            </w:r>
            <w:r>
              <w:rPr>
                <w:color w:val="231F20"/>
                <w:spacing w:val="3"/>
                <w:w w:val="105"/>
                <w:sz w:val="15"/>
              </w:rPr>
              <w:t> </w:t>
            </w:r>
            <w:r>
              <w:rPr>
                <w:color w:val="231F20"/>
                <w:w w:val="105"/>
                <w:sz w:val="15"/>
              </w:rPr>
              <w:t>not</w:t>
            </w:r>
            <w:r>
              <w:rPr>
                <w:color w:val="231F20"/>
                <w:spacing w:val="2"/>
                <w:w w:val="105"/>
                <w:sz w:val="15"/>
              </w:rPr>
              <w:t> </w:t>
            </w:r>
            <w:r>
              <w:rPr>
                <w:color w:val="231F20"/>
                <w:w w:val="105"/>
                <w:sz w:val="15"/>
              </w:rPr>
              <w:t>more</w:t>
            </w:r>
            <w:r>
              <w:rPr>
                <w:color w:val="231F20"/>
                <w:spacing w:val="2"/>
                <w:w w:val="105"/>
                <w:sz w:val="15"/>
              </w:rPr>
              <w:t> </w:t>
            </w:r>
            <w:r>
              <w:rPr>
                <w:color w:val="231F20"/>
                <w:w w:val="105"/>
                <w:sz w:val="15"/>
              </w:rPr>
              <w:t>than</w:t>
            </w:r>
            <w:r>
              <w:rPr>
                <w:color w:val="231F20"/>
                <w:spacing w:val="3"/>
                <w:w w:val="105"/>
                <w:sz w:val="15"/>
              </w:rPr>
              <w:t> </w:t>
            </w:r>
            <w:r>
              <w:rPr>
                <w:color w:val="231F20"/>
                <w:spacing w:val="-5"/>
                <w:w w:val="105"/>
                <w:sz w:val="15"/>
              </w:rPr>
              <w:t>1</w:t>
            </w:r>
            <w:r>
              <w:rPr>
                <w:color w:val="231F20"/>
                <w:spacing w:val="-5"/>
                <w:w w:val="105"/>
                <w:sz w:val="15"/>
                <w:vertAlign w:val="superscript"/>
              </w:rPr>
              <w:t>a</w:t>
            </w:r>
          </w:p>
        </w:tc>
        <w:tc>
          <w:tcPr>
            <w:tcW w:w="3969" w:type="dxa"/>
            <w:tcBorders>
              <w:top w:val="nil"/>
              <w:bottom w:val="nil"/>
            </w:tcBorders>
          </w:tcPr>
          <w:p>
            <w:pPr>
              <w:pStyle w:val="TableParagraph"/>
              <w:ind w:left="79"/>
              <w:rPr>
                <w:sz w:val="15"/>
              </w:rPr>
            </w:pPr>
            <w:r>
              <w:rPr>
                <w:color w:val="231F20"/>
                <w:w w:val="105"/>
                <w:sz w:val="15"/>
              </w:rPr>
              <w:t>More</w:t>
            </w:r>
            <w:r>
              <w:rPr>
                <w:color w:val="231F20"/>
                <w:spacing w:val="1"/>
                <w:w w:val="105"/>
                <w:sz w:val="15"/>
              </w:rPr>
              <w:t> </w:t>
            </w:r>
            <w:r>
              <w:rPr>
                <w:color w:val="231F20"/>
                <w:w w:val="105"/>
                <w:sz w:val="15"/>
              </w:rPr>
              <w:t>than</w:t>
            </w:r>
            <w:r>
              <w:rPr>
                <w:color w:val="231F20"/>
                <w:spacing w:val="2"/>
                <w:w w:val="105"/>
                <w:sz w:val="15"/>
              </w:rPr>
              <w:t> </w:t>
            </w:r>
            <w:r>
              <w:rPr>
                <w:color w:val="231F20"/>
                <w:w w:val="105"/>
                <w:sz w:val="15"/>
              </w:rPr>
              <w:t>0.005</w:t>
            </w:r>
            <w:r>
              <w:rPr>
                <w:color w:val="231F20"/>
                <w:spacing w:val="2"/>
                <w:w w:val="105"/>
                <w:sz w:val="15"/>
              </w:rPr>
              <w:t> </w:t>
            </w:r>
            <w:r>
              <w:rPr>
                <w:color w:val="231F20"/>
                <w:w w:val="105"/>
                <w:sz w:val="15"/>
              </w:rPr>
              <w:t>mSv/h</w:t>
            </w:r>
            <w:r>
              <w:rPr>
                <w:color w:val="231F20"/>
                <w:spacing w:val="1"/>
                <w:w w:val="105"/>
                <w:sz w:val="15"/>
              </w:rPr>
              <w:t> </w:t>
            </w:r>
            <w:r>
              <w:rPr>
                <w:color w:val="231F20"/>
                <w:w w:val="105"/>
                <w:sz w:val="15"/>
              </w:rPr>
              <w:t>but</w:t>
            </w:r>
            <w:r>
              <w:rPr>
                <w:color w:val="231F20"/>
                <w:spacing w:val="2"/>
                <w:w w:val="105"/>
                <w:sz w:val="15"/>
              </w:rPr>
              <w:t> </w:t>
            </w:r>
            <w:r>
              <w:rPr>
                <w:color w:val="231F20"/>
                <w:w w:val="105"/>
                <w:sz w:val="15"/>
              </w:rPr>
              <w:t>not</w:t>
            </w:r>
            <w:r>
              <w:rPr>
                <w:color w:val="231F20"/>
                <w:spacing w:val="2"/>
                <w:w w:val="105"/>
                <w:sz w:val="15"/>
              </w:rPr>
              <w:t> </w:t>
            </w:r>
            <w:r>
              <w:rPr>
                <w:color w:val="231F20"/>
                <w:w w:val="105"/>
                <w:sz w:val="15"/>
              </w:rPr>
              <w:t>more</w:t>
            </w:r>
            <w:r>
              <w:rPr>
                <w:color w:val="231F20"/>
                <w:spacing w:val="1"/>
                <w:w w:val="105"/>
                <w:sz w:val="15"/>
              </w:rPr>
              <w:t> </w:t>
            </w:r>
            <w:r>
              <w:rPr>
                <w:color w:val="231F20"/>
                <w:w w:val="105"/>
                <w:sz w:val="15"/>
              </w:rPr>
              <w:t>than</w:t>
            </w:r>
            <w:r>
              <w:rPr>
                <w:color w:val="231F20"/>
                <w:spacing w:val="2"/>
                <w:w w:val="105"/>
                <w:sz w:val="15"/>
              </w:rPr>
              <w:t> </w:t>
            </w:r>
            <w:r>
              <w:rPr>
                <w:color w:val="231F20"/>
                <w:w w:val="105"/>
                <w:sz w:val="15"/>
              </w:rPr>
              <w:t>0.5</w:t>
            </w:r>
            <w:r>
              <w:rPr>
                <w:color w:val="231F20"/>
                <w:spacing w:val="2"/>
                <w:w w:val="105"/>
                <w:sz w:val="15"/>
              </w:rPr>
              <w:t> </w:t>
            </w:r>
            <w:r>
              <w:rPr>
                <w:color w:val="231F20"/>
                <w:spacing w:val="-4"/>
                <w:w w:val="105"/>
                <w:sz w:val="15"/>
              </w:rPr>
              <w:t>mSv/h</w:t>
            </w:r>
          </w:p>
        </w:tc>
        <w:tc>
          <w:tcPr>
            <w:tcW w:w="1745" w:type="dxa"/>
            <w:tcBorders>
              <w:top w:val="nil"/>
              <w:bottom w:val="nil"/>
            </w:tcBorders>
          </w:tcPr>
          <w:p>
            <w:pPr>
              <w:pStyle w:val="TableParagraph"/>
              <w:ind w:left="79"/>
              <w:rPr>
                <w:sz w:val="15"/>
              </w:rPr>
            </w:pPr>
            <w:r>
              <w:rPr>
                <w:color w:val="231F20"/>
                <w:sz w:val="15"/>
              </w:rPr>
              <w:t>II</w:t>
            </w:r>
            <w:r>
              <w:rPr>
                <w:color w:val="231F20"/>
                <w:spacing w:val="-6"/>
                <w:sz w:val="15"/>
              </w:rPr>
              <w:t> </w:t>
            </w:r>
            <w:r>
              <w:rPr>
                <w:color w:val="231F20"/>
                <w:sz w:val="15"/>
              </w:rPr>
              <w:t>–</w:t>
            </w:r>
            <w:r>
              <w:rPr>
                <w:color w:val="231F20"/>
                <w:spacing w:val="-4"/>
                <w:sz w:val="15"/>
              </w:rPr>
              <w:t> </w:t>
            </w:r>
            <w:r>
              <w:rPr>
                <w:color w:val="231F20"/>
                <w:spacing w:val="-2"/>
                <w:sz w:val="15"/>
              </w:rPr>
              <w:t>YELLOW</w:t>
            </w:r>
          </w:p>
        </w:tc>
      </w:tr>
      <w:tr>
        <w:trPr>
          <w:trHeight w:val="310" w:hRule="atLeast"/>
        </w:trPr>
        <w:tc>
          <w:tcPr>
            <w:tcW w:w="2835" w:type="dxa"/>
            <w:tcBorders>
              <w:top w:val="nil"/>
              <w:bottom w:val="nil"/>
            </w:tcBorders>
            <w:shd w:val="clear" w:color="auto" w:fill="E6E7E8"/>
          </w:tcPr>
          <w:p>
            <w:pPr>
              <w:pStyle w:val="TableParagraph"/>
              <w:ind w:left="80"/>
              <w:rPr>
                <w:sz w:val="15"/>
              </w:rPr>
            </w:pPr>
            <w:r>
              <w:rPr>
                <w:color w:val="231F20"/>
                <w:w w:val="105"/>
                <w:sz w:val="15"/>
              </w:rPr>
              <w:t>More</w:t>
            </w:r>
            <w:r>
              <w:rPr>
                <w:color w:val="231F20"/>
                <w:spacing w:val="2"/>
                <w:w w:val="105"/>
                <w:sz w:val="15"/>
              </w:rPr>
              <w:t> </w:t>
            </w:r>
            <w:r>
              <w:rPr>
                <w:color w:val="231F20"/>
                <w:w w:val="105"/>
                <w:sz w:val="15"/>
              </w:rPr>
              <w:t>than</w:t>
            </w:r>
            <w:r>
              <w:rPr>
                <w:color w:val="231F20"/>
                <w:spacing w:val="2"/>
                <w:w w:val="105"/>
                <w:sz w:val="15"/>
              </w:rPr>
              <w:t> </w:t>
            </w:r>
            <w:r>
              <w:rPr>
                <w:color w:val="231F20"/>
                <w:w w:val="105"/>
                <w:sz w:val="15"/>
              </w:rPr>
              <w:t>1</w:t>
            </w:r>
            <w:r>
              <w:rPr>
                <w:color w:val="231F20"/>
                <w:spacing w:val="2"/>
                <w:w w:val="105"/>
                <w:sz w:val="15"/>
              </w:rPr>
              <w:t> </w:t>
            </w:r>
            <w:r>
              <w:rPr>
                <w:color w:val="231F20"/>
                <w:w w:val="105"/>
                <w:sz w:val="15"/>
              </w:rPr>
              <w:t>but</w:t>
            </w:r>
            <w:r>
              <w:rPr>
                <w:color w:val="231F20"/>
                <w:spacing w:val="3"/>
                <w:w w:val="105"/>
                <w:sz w:val="15"/>
              </w:rPr>
              <w:t> </w:t>
            </w:r>
            <w:r>
              <w:rPr>
                <w:color w:val="231F20"/>
                <w:w w:val="105"/>
                <w:sz w:val="15"/>
              </w:rPr>
              <w:t>not</w:t>
            </w:r>
            <w:r>
              <w:rPr>
                <w:color w:val="231F20"/>
                <w:spacing w:val="2"/>
                <w:w w:val="105"/>
                <w:sz w:val="15"/>
              </w:rPr>
              <w:t> </w:t>
            </w:r>
            <w:r>
              <w:rPr>
                <w:color w:val="231F20"/>
                <w:w w:val="105"/>
                <w:sz w:val="15"/>
              </w:rPr>
              <w:t>more</w:t>
            </w:r>
            <w:r>
              <w:rPr>
                <w:color w:val="231F20"/>
                <w:spacing w:val="2"/>
                <w:w w:val="105"/>
                <w:sz w:val="15"/>
              </w:rPr>
              <w:t> </w:t>
            </w:r>
            <w:r>
              <w:rPr>
                <w:color w:val="231F20"/>
                <w:w w:val="105"/>
                <w:sz w:val="15"/>
              </w:rPr>
              <w:t>than</w:t>
            </w:r>
            <w:r>
              <w:rPr>
                <w:color w:val="231F20"/>
                <w:spacing w:val="3"/>
                <w:w w:val="105"/>
                <w:sz w:val="15"/>
              </w:rPr>
              <w:t> </w:t>
            </w:r>
            <w:r>
              <w:rPr>
                <w:color w:val="231F20"/>
                <w:spacing w:val="-5"/>
                <w:w w:val="105"/>
                <w:sz w:val="15"/>
              </w:rPr>
              <w:t>10</w:t>
            </w:r>
          </w:p>
        </w:tc>
        <w:tc>
          <w:tcPr>
            <w:tcW w:w="3969" w:type="dxa"/>
            <w:tcBorders>
              <w:top w:val="nil"/>
              <w:bottom w:val="nil"/>
            </w:tcBorders>
            <w:shd w:val="clear" w:color="auto" w:fill="E6E7E8"/>
          </w:tcPr>
          <w:p>
            <w:pPr>
              <w:pStyle w:val="TableParagraph"/>
              <w:ind w:left="79"/>
              <w:rPr>
                <w:sz w:val="15"/>
              </w:rPr>
            </w:pPr>
            <w:r>
              <w:rPr>
                <w:color w:val="231F20"/>
                <w:w w:val="105"/>
                <w:sz w:val="15"/>
              </w:rPr>
              <w:t>More</w:t>
            </w:r>
            <w:r>
              <w:rPr>
                <w:color w:val="231F20"/>
                <w:spacing w:val="1"/>
                <w:w w:val="105"/>
                <w:sz w:val="15"/>
              </w:rPr>
              <w:t> </w:t>
            </w:r>
            <w:r>
              <w:rPr>
                <w:color w:val="231F20"/>
                <w:w w:val="105"/>
                <w:sz w:val="15"/>
              </w:rPr>
              <w:t>than</w:t>
            </w:r>
            <w:r>
              <w:rPr>
                <w:color w:val="231F20"/>
                <w:spacing w:val="2"/>
                <w:w w:val="105"/>
                <w:sz w:val="15"/>
              </w:rPr>
              <w:t> </w:t>
            </w:r>
            <w:r>
              <w:rPr>
                <w:color w:val="231F20"/>
                <w:w w:val="105"/>
                <w:sz w:val="15"/>
              </w:rPr>
              <w:t>0.5</w:t>
            </w:r>
            <w:r>
              <w:rPr>
                <w:color w:val="231F20"/>
                <w:spacing w:val="2"/>
                <w:w w:val="105"/>
                <w:sz w:val="15"/>
              </w:rPr>
              <w:t> </w:t>
            </w:r>
            <w:r>
              <w:rPr>
                <w:color w:val="231F20"/>
                <w:w w:val="105"/>
                <w:sz w:val="15"/>
              </w:rPr>
              <w:t>mSv/h</w:t>
            </w:r>
            <w:r>
              <w:rPr>
                <w:color w:val="231F20"/>
                <w:spacing w:val="1"/>
                <w:w w:val="105"/>
                <w:sz w:val="15"/>
              </w:rPr>
              <w:t> </w:t>
            </w:r>
            <w:r>
              <w:rPr>
                <w:color w:val="231F20"/>
                <w:w w:val="105"/>
                <w:sz w:val="15"/>
              </w:rPr>
              <w:t>but</w:t>
            </w:r>
            <w:r>
              <w:rPr>
                <w:color w:val="231F20"/>
                <w:spacing w:val="2"/>
                <w:w w:val="105"/>
                <w:sz w:val="15"/>
              </w:rPr>
              <w:t> </w:t>
            </w:r>
            <w:r>
              <w:rPr>
                <w:color w:val="231F20"/>
                <w:w w:val="105"/>
                <w:sz w:val="15"/>
              </w:rPr>
              <w:t>not</w:t>
            </w:r>
            <w:r>
              <w:rPr>
                <w:color w:val="231F20"/>
                <w:spacing w:val="2"/>
                <w:w w:val="105"/>
                <w:sz w:val="15"/>
              </w:rPr>
              <w:t> </w:t>
            </w:r>
            <w:r>
              <w:rPr>
                <w:color w:val="231F20"/>
                <w:w w:val="105"/>
                <w:sz w:val="15"/>
              </w:rPr>
              <w:t>more</w:t>
            </w:r>
            <w:r>
              <w:rPr>
                <w:color w:val="231F20"/>
                <w:spacing w:val="1"/>
                <w:w w:val="105"/>
                <w:sz w:val="15"/>
              </w:rPr>
              <w:t> </w:t>
            </w:r>
            <w:r>
              <w:rPr>
                <w:color w:val="231F20"/>
                <w:w w:val="105"/>
                <w:sz w:val="15"/>
              </w:rPr>
              <w:t>than</w:t>
            </w:r>
            <w:r>
              <w:rPr>
                <w:color w:val="231F20"/>
                <w:spacing w:val="2"/>
                <w:w w:val="105"/>
                <w:sz w:val="15"/>
              </w:rPr>
              <w:t> </w:t>
            </w:r>
            <w:r>
              <w:rPr>
                <w:color w:val="231F20"/>
                <w:w w:val="105"/>
                <w:sz w:val="15"/>
              </w:rPr>
              <w:t>2</w:t>
            </w:r>
            <w:r>
              <w:rPr>
                <w:color w:val="231F20"/>
                <w:spacing w:val="2"/>
                <w:w w:val="105"/>
                <w:sz w:val="15"/>
              </w:rPr>
              <w:t> </w:t>
            </w:r>
            <w:r>
              <w:rPr>
                <w:color w:val="231F20"/>
                <w:spacing w:val="-4"/>
                <w:w w:val="105"/>
                <w:sz w:val="15"/>
              </w:rPr>
              <w:t>mSv/h</w:t>
            </w:r>
          </w:p>
        </w:tc>
        <w:tc>
          <w:tcPr>
            <w:tcW w:w="1745" w:type="dxa"/>
            <w:tcBorders>
              <w:top w:val="nil"/>
              <w:bottom w:val="nil"/>
            </w:tcBorders>
            <w:shd w:val="clear" w:color="auto" w:fill="E6E7E8"/>
          </w:tcPr>
          <w:p>
            <w:pPr>
              <w:pStyle w:val="TableParagraph"/>
              <w:ind w:left="79"/>
              <w:rPr>
                <w:sz w:val="15"/>
              </w:rPr>
            </w:pPr>
            <w:r>
              <w:rPr>
                <w:color w:val="231F20"/>
                <w:sz w:val="15"/>
              </w:rPr>
              <w:t>III</w:t>
            </w:r>
            <w:r>
              <w:rPr>
                <w:color w:val="231F20"/>
                <w:spacing w:val="-5"/>
                <w:sz w:val="15"/>
              </w:rPr>
              <w:t> </w:t>
            </w:r>
            <w:r>
              <w:rPr>
                <w:color w:val="231F20"/>
                <w:sz w:val="15"/>
              </w:rPr>
              <w:t>–</w:t>
            </w:r>
            <w:r>
              <w:rPr>
                <w:color w:val="231F20"/>
                <w:spacing w:val="-5"/>
                <w:sz w:val="15"/>
              </w:rPr>
              <w:t> </w:t>
            </w:r>
            <w:r>
              <w:rPr>
                <w:color w:val="231F20"/>
                <w:spacing w:val="-2"/>
                <w:sz w:val="15"/>
              </w:rPr>
              <w:t>YELLOW</w:t>
            </w:r>
          </w:p>
        </w:tc>
      </w:tr>
      <w:tr>
        <w:trPr>
          <w:trHeight w:val="305" w:hRule="atLeast"/>
        </w:trPr>
        <w:tc>
          <w:tcPr>
            <w:tcW w:w="2835" w:type="dxa"/>
            <w:tcBorders>
              <w:top w:val="nil"/>
            </w:tcBorders>
          </w:tcPr>
          <w:p>
            <w:pPr>
              <w:pStyle w:val="TableParagraph"/>
              <w:ind w:left="80"/>
              <w:rPr>
                <w:sz w:val="15"/>
              </w:rPr>
            </w:pPr>
            <w:r>
              <w:rPr>
                <w:color w:val="231F20"/>
                <w:w w:val="105"/>
                <w:sz w:val="15"/>
              </w:rPr>
              <w:t>More</w:t>
            </w:r>
            <w:r>
              <w:rPr>
                <w:color w:val="231F20"/>
                <w:spacing w:val="1"/>
                <w:w w:val="105"/>
                <w:sz w:val="15"/>
              </w:rPr>
              <w:t> </w:t>
            </w:r>
            <w:r>
              <w:rPr>
                <w:color w:val="231F20"/>
                <w:w w:val="105"/>
                <w:sz w:val="15"/>
              </w:rPr>
              <w:t>than</w:t>
            </w:r>
            <w:r>
              <w:rPr>
                <w:color w:val="231F20"/>
                <w:spacing w:val="2"/>
                <w:w w:val="105"/>
                <w:sz w:val="15"/>
              </w:rPr>
              <w:t> </w:t>
            </w:r>
            <w:r>
              <w:rPr>
                <w:color w:val="231F20"/>
                <w:spacing w:val="-5"/>
                <w:w w:val="105"/>
                <w:sz w:val="15"/>
              </w:rPr>
              <w:t>10</w:t>
            </w:r>
          </w:p>
        </w:tc>
        <w:tc>
          <w:tcPr>
            <w:tcW w:w="3969" w:type="dxa"/>
            <w:tcBorders>
              <w:top w:val="nil"/>
            </w:tcBorders>
          </w:tcPr>
          <w:p>
            <w:pPr>
              <w:pStyle w:val="TableParagraph"/>
              <w:ind w:left="79"/>
              <w:rPr>
                <w:sz w:val="15"/>
              </w:rPr>
            </w:pPr>
            <w:r>
              <w:rPr>
                <w:color w:val="231F20"/>
                <w:w w:val="105"/>
                <w:sz w:val="15"/>
              </w:rPr>
              <w:t>More</w:t>
            </w:r>
            <w:r>
              <w:rPr>
                <w:color w:val="231F20"/>
                <w:spacing w:val="1"/>
                <w:w w:val="105"/>
                <w:sz w:val="15"/>
              </w:rPr>
              <w:t> </w:t>
            </w:r>
            <w:r>
              <w:rPr>
                <w:color w:val="231F20"/>
                <w:w w:val="105"/>
                <w:sz w:val="15"/>
              </w:rPr>
              <w:t>than</w:t>
            </w:r>
            <w:r>
              <w:rPr>
                <w:color w:val="231F20"/>
                <w:spacing w:val="1"/>
                <w:w w:val="105"/>
                <w:sz w:val="15"/>
              </w:rPr>
              <w:t> </w:t>
            </w:r>
            <w:r>
              <w:rPr>
                <w:color w:val="231F20"/>
                <w:w w:val="105"/>
                <w:sz w:val="15"/>
              </w:rPr>
              <w:t>2 mSv/h</w:t>
            </w:r>
            <w:r>
              <w:rPr>
                <w:color w:val="231F20"/>
                <w:spacing w:val="1"/>
                <w:w w:val="105"/>
                <w:sz w:val="15"/>
              </w:rPr>
              <w:t> </w:t>
            </w:r>
            <w:r>
              <w:rPr>
                <w:color w:val="231F20"/>
                <w:w w:val="105"/>
                <w:sz w:val="15"/>
              </w:rPr>
              <w:t>but</w:t>
            </w:r>
            <w:r>
              <w:rPr>
                <w:color w:val="231F20"/>
                <w:spacing w:val="1"/>
                <w:w w:val="105"/>
                <w:sz w:val="15"/>
              </w:rPr>
              <w:t> </w:t>
            </w:r>
            <w:r>
              <w:rPr>
                <w:color w:val="231F20"/>
                <w:w w:val="105"/>
                <w:sz w:val="15"/>
              </w:rPr>
              <w:t>not</w:t>
            </w:r>
            <w:r>
              <w:rPr>
                <w:color w:val="231F20"/>
                <w:spacing w:val="1"/>
                <w:w w:val="105"/>
                <w:sz w:val="15"/>
              </w:rPr>
              <w:t> </w:t>
            </w:r>
            <w:r>
              <w:rPr>
                <w:color w:val="231F20"/>
                <w:w w:val="105"/>
                <w:sz w:val="15"/>
              </w:rPr>
              <w:t>more</w:t>
            </w:r>
            <w:r>
              <w:rPr>
                <w:color w:val="231F20"/>
                <w:spacing w:val="1"/>
                <w:w w:val="105"/>
                <w:sz w:val="15"/>
              </w:rPr>
              <w:t> </w:t>
            </w:r>
            <w:r>
              <w:rPr>
                <w:color w:val="231F20"/>
                <w:w w:val="105"/>
                <w:sz w:val="15"/>
              </w:rPr>
              <w:t>than</w:t>
            </w:r>
            <w:r>
              <w:rPr>
                <w:color w:val="231F20"/>
                <w:spacing w:val="1"/>
                <w:w w:val="105"/>
                <w:sz w:val="15"/>
              </w:rPr>
              <w:t> </w:t>
            </w:r>
            <w:r>
              <w:rPr>
                <w:color w:val="231F20"/>
                <w:w w:val="105"/>
                <w:sz w:val="15"/>
              </w:rPr>
              <w:t>10</w:t>
            </w:r>
            <w:r>
              <w:rPr>
                <w:color w:val="231F20"/>
                <w:spacing w:val="1"/>
                <w:w w:val="105"/>
                <w:sz w:val="15"/>
              </w:rPr>
              <w:t> </w:t>
            </w:r>
            <w:r>
              <w:rPr>
                <w:color w:val="231F20"/>
                <w:spacing w:val="-4"/>
                <w:w w:val="105"/>
                <w:sz w:val="15"/>
              </w:rPr>
              <w:t>mSv/h</w:t>
            </w:r>
          </w:p>
        </w:tc>
        <w:tc>
          <w:tcPr>
            <w:tcW w:w="1745" w:type="dxa"/>
            <w:tcBorders>
              <w:top w:val="nil"/>
            </w:tcBorders>
          </w:tcPr>
          <w:p>
            <w:pPr>
              <w:pStyle w:val="TableParagraph"/>
              <w:ind w:left="79"/>
              <w:rPr>
                <w:sz w:val="15"/>
              </w:rPr>
            </w:pPr>
            <w:r>
              <w:rPr>
                <w:color w:val="231F20"/>
                <w:sz w:val="15"/>
              </w:rPr>
              <w:t>III</w:t>
            </w:r>
            <w:r>
              <w:rPr>
                <w:color w:val="231F20"/>
                <w:spacing w:val="-5"/>
                <w:sz w:val="15"/>
              </w:rPr>
              <w:t> </w:t>
            </w:r>
            <w:r>
              <w:rPr>
                <w:color w:val="231F20"/>
                <w:sz w:val="15"/>
              </w:rPr>
              <w:t>–</w:t>
            </w:r>
            <w:r>
              <w:rPr>
                <w:color w:val="231F20"/>
                <w:spacing w:val="-5"/>
                <w:sz w:val="15"/>
              </w:rPr>
              <w:t> </w:t>
            </w:r>
            <w:r>
              <w:rPr>
                <w:color w:val="231F20"/>
                <w:spacing w:val="-2"/>
                <w:sz w:val="15"/>
              </w:rPr>
              <w:t>YELLOW</w:t>
            </w:r>
            <w:r>
              <w:rPr>
                <w:color w:val="231F20"/>
                <w:spacing w:val="-2"/>
                <w:sz w:val="15"/>
                <w:vertAlign w:val="superscript"/>
              </w:rPr>
              <w:t>b</w:t>
            </w:r>
          </w:p>
        </w:tc>
      </w:tr>
    </w:tbl>
    <w:p>
      <w:pPr>
        <w:spacing w:before="89"/>
        <w:ind w:left="2502" w:right="0" w:firstLine="0"/>
        <w:jc w:val="left"/>
        <w:rPr>
          <w:sz w:val="15"/>
        </w:rPr>
      </w:pPr>
      <w:r>
        <w:rPr>
          <w:color w:val="231F20"/>
          <w:w w:val="105"/>
          <w:sz w:val="15"/>
          <w:vertAlign w:val="superscript"/>
        </w:rPr>
        <w:t>a</w:t>
      </w:r>
      <w:r>
        <w:rPr>
          <w:color w:val="231F20"/>
          <w:spacing w:val="-1"/>
          <w:w w:val="105"/>
          <w:sz w:val="15"/>
          <w:vertAlign w:val="baseline"/>
        </w:rPr>
        <w:t> </w:t>
      </w:r>
      <w:r>
        <w:rPr>
          <w:color w:val="231F20"/>
          <w:w w:val="105"/>
          <w:sz w:val="15"/>
          <w:vertAlign w:val="baseline"/>
        </w:rPr>
        <w:t>If the measured TI is not greater than 0.05, the</w:t>
      </w:r>
      <w:r>
        <w:rPr>
          <w:color w:val="231F20"/>
          <w:spacing w:val="-1"/>
          <w:w w:val="105"/>
          <w:sz w:val="15"/>
          <w:vertAlign w:val="baseline"/>
        </w:rPr>
        <w:t> </w:t>
      </w:r>
      <w:r>
        <w:rPr>
          <w:color w:val="231F20"/>
          <w:w w:val="105"/>
          <w:sz w:val="15"/>
          <w:vertAlign w:val="baseline"/>
        </w:rPr>
        <w:t>value quoted may be zero in accordance with </w:t>
      </w:r>
      <w:r>
        <w:rPr>
          <w:color w:val="231F20"/>
          <w:spacing w:val="-2"/>
          <w:w w:val="105"/>
          <w:sz w:val="15"/>
          <w:vertAlign w:val="baseline"/>
        </w:rPr>
        <w:t>5.1.5.3.1.3.</w:t>
      </w:r>
    </w:p>
    <w:p>
      <w:pPr>
        <w:spacing w:before="37"/>
        <w:ind w:left="2502" w:right="0" w:firstLine="0"/>
        <w:jc w:val="left"/>
        <w:rPr>
          <w:sz w:val="15"/>
        </w:rPr>
      </w:pPr>
      <w:r>
        <w:rPr>
          <w:color w:val="231F20"/>
          <w:w w:val="105"/>
          <w:sz w:val="15"/>
          <w:vertAlign w:val="superscript"/>
        </w:rPr>
        <w:t>b</w:t>
      </w:r>
      <w:r>
        <w:rPr>
          <w:color w:val="231F20"/>
          <w:spacing w:val="3"/>
          <w:w w:val="105"/>
          <w:sz w:val="15"/>
          <w:vertAlign w:val="baseline"/>
        </w:rPr>
        <w:t> </w:t>
      </w:r>
      <w:r>
        <w:rPr>
          <w:color w:val="231F20"/>
          <w:w w:val="105"/>
          <w:sz w:val="15"/>
          <w:vertAlign w:val="baseline"/>
        </w:rPr>
        <w:t>Shall</w:t>
      </w:r>
      <w:r>
        <w:rPr>
          <w:color w:val="231F20"/>
          <w:spacing w:val="3"/>
          <w:w w:val="105"/>
          <w:sz w:val="15"/>
          <w:vertAlign w:val="baseline"/>
        </w:rPr>
        <w:t> </w:t>
      </w:r>
      <w:r>
        <w:rPr>
          <w:color w:val="231F20"/>
          <w:w w:val="105"/>
          <w:sz w:val="15"/>
          <w:vertAlign w:val="baseline"/>
        </w:rPr>
        <w:t>also</w:t>
      </w:r>
      <w:r>
        <w:rPr>
          <w:color w:val="231F20"/>
          <w:spacing w:val="3"/>
          <w:w w:val="105"/>
          <w:sz w:val="15"/>
          <w:vertAlign w:val="baseline"/>
        </w:rPr>
        <w:t> </w:t>
      </w:r>
      <w:r>
        <w:rPr>
          <w:color w:val="231F20"/>
          <w:w w:val="105"/>
          <w:sz w:val="15"/>
          <w:vertAlign w:val="baseline"/>
        </w:rPr>
        <w:t>be</w:t>
      </w:r>
      <w:r>
        <w:rPr>
          <w:color w:val="231F20"/>
          <w:spacing w:val="3"/>
          <w:w w:val="105"/>
          <w:sz w:val="15"/>
          <w:vertAlign w:val="baseline"/>
        </w:rPr>
        <w:t> </w:t>
      </w:r>
      <w:r>
        <w:rPr>
          <w:color w:val="231F20"/>
          <w:w w:val="105"/>
          <w:sz w:val="15"/>
          <w:vertAlign w:val="baseline"/>
        </w:rPr>
        <w:t>transported</w:t>
      </w:r>
      <w:r>
        <w:rPr>
          <w:color w:val="231F20"/>
          <w:spacing w:val="3"/>
          <w:w w:val="105"/>
          <w:sz w:val="15"/>
          <w:vertAlign w:val="baseline"/>
        </w:rPr>
        <w:t> </w:t>
      </w:r>
      <w:r>
        <w:rPr>
          <w:color w:val="231F20"/>
          <w:w w:val="105"/>
          <w:sz w:val="15"/>
          <w:vertAlign w:val="baseline"/>
        </w:rPr>
        <w:t>under</w:t>
      </w:r>
      <w:r>
        <w:rPr>
          <w:color w:val="231F20"/>
          <w:spacing w:val="4"/>
          <w:w w:val="105"/>
          <w:sz w:val="15"/>
          <w:vertAlign w:val="baseline"/>
        </w:rPr>
        <w:t> </w:t>
      </w:r>
      <w:r>
        <w:rPr>
          <w:color w:val="231F20"/>
          <w:w w:val="105"/>
          <w:sz w:val="15"/>
          <w:vertAlign w:val="baseline"/>
        </w:rPr>
        <w:t>“exclusive</w:t>
      </w:r>
      <w:r>
        <w:rPr>
          <w:color w:val="231F20"/>
          <w:spacing w:val="3"/>
          <w:w w:val="105"/>
          <w:sz w:val="15"/>
          <w:vertAlign w:val="baseline"/>
        </w:rPr>
        <w:t> </w:t>
      </w:r>
      <w:r>
        <w:rPr>
          <w:color w:val="231F20"/>
          <w:w w:val="105"/>
          <w:sz w:val="15"/>
          <w:vertAlign w:val="baseline"/>
        </w:rPr>
        <w:t>use”</w:t>
      </w:r>
      <w:r>
        <w:rPr>
          <w:color w:val="231F20"/>
          <w:spacing w:val="3"/>
          <w:w w:val="105"/>
          <w:sz w:val="15"/>
          <w:vertAlign w:val="baseline"/>
        </w:rPr>
        <w:t> </w:t>
      </w:r>
      <w:r>
        <w:rPr>
          <w:color w:val="231F20"/>
          <w:w w:val="105"/>
          <w:sz w:val="15"/>
          <w:vertAlign w:val="baseline"/>
        </w:rPr>
        <w:t>except</w:t>
      </w:r>
      <w:r>
        <w:rPr>
          <w:color w:val="231F20"/>
          <w:spacing w:val="3"/>
          <w:w w:val="105"/>
          <w:sz w:val="15"/>
          <w:vertAlign w:val="baseline"/>
        </w:rPr>
        <w:t> </w:t>
      </w:r>
      <w:r>
        <w:rPr>
          <w:color w:val="231F20"/>
          <w:w w:val="105"/>
          <w:sz w:val="15"/>
          <w:vertAlign w:val="baseline"/>
        </w:rPr>
        <w:t>for</w:t>
      </w:r>
      <w:r>
        <w:rPr>
          <w:color w:val="231F20"/>
          <w:spacing w:val="3"/>
          <w:w w:val="105"/>
          <w:sz w:val="15"/>
          <w:vertAlign w:val="baseline"/>
        </w:rPr>
        <w:t> </w:t>
      </w:r>
      <w:r>
        <w:rPr>
          <w:color w:val="231F20"/>
          <w:w w:val="105"/>
          <w:sz w:val="15"/>
          <w:vertAlign w:val="baseline"/>
        </w:rPr>
        <w:t>freight</w:t>
      </w:r>
      <w:r>
        <w:rPr>
          <w:color w:val="231F20"/>
          <w:spacing w:val="3"/>
          <w:w w:val="105"/>
          <w:sz w:val="15"/>
          <w:vertAlign w:val="baseline"/>
        </w:rPr>
        <w:t> </w:t>
      </w:r>
      <w:r>
        <w:rPr>
          <w:color w:val="231F20"/>
          <w:w w:val="105"/>
          <w:sz w:val="15"/>
          <w:vertAlign w:val="baseline"/>
        </w:rPr>
        <w:t>containers</w:t>
      </w:r>
      <w:r>
        <w:rPr>
          <w:color w:val="231F20"/>
          <w:spacing w:val="4"/>
          <w:w w:val="105"/>
          <w:sz w:val="15"/>
          <w:vertAlign w:val="baseline"/>
        </w:rPr>
        <w:t> </w:t>
      </w:r>
      <w:r>
        <w:rPr>
          <w:color w:val="231F20"/>
          <w:w w:val="105"/>
          <w:sz w:val="15"/>
          <w:vertAlign w:val="baseline"/>
        </w:rPr>
        <w:t>(see</w:t>
      </w:r>
      <w:r>
        <w:rPr>
          <w:color w:val="231F20"/>
          <w:spacing w:val="3"/>
          <w:w w:val="105"/>
          <w:sz w:val="15"/>
          <w:vertAlign w:val="baseline"/>
        </w:rPr>
        <w:t> </w:t>
      </w:r>
      <w:r>
        <w:rPr>
          <w:color w:val="231F20"/>
          <w:w w:val="105"/>
          <w:sz w:val="15"/>
          <w:vertAlign w:val="baseline"/>
        </w:rPr>
        <w:t>the</w:t>
      </w:r>
      <w:r>
        <w:rPr>
          <w:color w:val="231F20"/>
          <w:spacing w:val="3"/>
          <w:w w:val="105"/>
          <w:sz w:val="15"/>
          <w:vertAlign w:val="baseline"/>
        </w:rPr>
        <w:t> </w:t>
      </w:r>
      <w:r>
        <w:rPr>
          <w:color w:val="231F20"/>
          <w:w w:val="105"/>
          <w:sz w:val="15"/>
          <w:vertAlign w:val="baseline"/>
        </w:rPr>
        <w:t>table</w:t>
      </w:r>
      <w:r>
        <w:rPr>
          <w:color w:val="231F20"/>
          <w:spacing w:val="3"/>
          <w:w w:val="105"/>
          <w:sz w:val="15"/>
          <w:vertAlign w:val="baseline"/>
        </w:rPr>
        <w:t> </w:t>
      </w:r>
      <w:r>
        <w:rPr>
          <w:color w:val="231F20"/>
          <w:w w:val="105"/>
          <w:sz w:val="15"/>
          <w:vertAlign w:val="baseline"/>
        </w:rPr>
        <w:t>in</w:t>
      </w:r>
      <w:r>
        <w:rPr>
          <w:color w:val="231F20"/>
          <w:spacing w:val="3"/>
          <w:w w:val="105"/>
          <w:sz w:val="15"/>
          <w:vertAlign w:val="baseline"/>
        </w:rPr>
        <w:t> </w:t>
      </w:r>
      <w:r>
        <w:rPr>
          <w:color w:val="231F20"/>
          <w:spacing w:val="-2"/>
          <w:w w:val="105"/>
          <w:sz w:val="15"/>
          <w:vertAlign w:val="baseline"/>
        </w:rPr>
        <w:t>7.1.4.5.3.1).</w:t>
      </w:r>
    </w:p>
    <w:p>
      <w:pPr>
        <w:pStyle w:val="BodyText"/>
        <w:spacing w:before="146"/>
        <w:rPr>
          <w:sz w:val="15"/>
        </w:rPr>
      </w:pPr>
    </w:p>
    <w:p>
      <w:pPr>
        <w:pStyle w:val="ListParagraph"/>
        <w:numPr>
          <w:ilvl w:val="4"/>
          <w:numId w:val="1"/>
        </w:numPr>
        <w:tabs>
          <w:tab w:pos="2490" w:val="left" w:leader="none"/>
          <w:tab w:pos="2497" w:val="left" w:leader="none"/>
        </w:tabs>
        <w:spacing w:line="256" w:lineRule="auto" w:before="0" w:after="0"/>
        <w:ind w:left="2497" w:right="848" w:hanging="1081"/>
        <w:jc w:val="both"/>
        <w:rPr>
          <w:color w:val="231F20"/>
          <w:sz w:val="17"/>
        </w:rPr>
      </w:pPr>
      <w:r>
        <w:rPr>
          <w:color w:val="231F20"/>
          <w:w w:val="105"/>
          <w:sz w:val="17"/>
        </w:rPr>
        <w:t>In</w:t>
      </w:r>
      <w:r>
        <w:rPr>
          <w:color w:val="231F20"/>
          <w:w w:val="105"/>
          <w:sz w:val="17"/>
        </w:rPr>
        <w:t> all</w:t>
      </w:r>
      <w:r>
        <w:rPr>
          <w:color w:val="231F20"/>
          <w:w w:val="105"/>
          <w:sz w:val="17"/>
        </w:rPr>
        <w:t> cases</w:t>
      </w:r>
      <w:r>
        <w:rPr>
          <w:color w:val="231F20"/>
          <w:w w:val="105"/>
          <w:sz w:val="17"/>
        </w:rPr>
        <w:t> of</w:t>
      </w:r>
      <w:r>
        <w:rPr>
          <w:color w:val="231F20"/>
          <w:w w:val="105"/>
          <w:sz w:val="17"/>
        </w:rPr>
        <w:t> international</w:t>
      </w:r>
      <w:r>
        <w:rPr>
          <w:color w:val="231F20"/>
          <w:w w:val="105"/>
          <w:sz w:val="17"/>
        </w:rPr>
        <w:t> transport</w:t>
      </w:r>
      <w:r>
        <w:rPr>
          <w:color w:val="231F20"/>
          <w:w w:val="105"/>
          <w:sz w:val="17"/>
        </w:rPr>
        <w:t> of</w:t>
      </w:r>
      <w:r>
        <w:rPr>
          <w:color w:val="231F20"/>
          <w:w w:val="105"/>
          <w:sz w:val="17"/>
        </w:rPr>
        <w:t> packages</w:t>
      </w:r>
      <w:r>
        <w:rPr>
          <w:color w:val="231F20"/>
          <w:w w:val="105"/>
          <w:sz w:val="17"/>
        </w:rPr>
        <w:t> requiring</w:t>
      </w:r>
      <w:r>
        <w:rPr>
          <w:color w:val="231F20"/>
          <w:w w:val="105"/>
          <w:sz w:val="17"/>
        </w:rPr>
        <w:t> competent</w:t>
      </w:r>
      <w:r>
        <w:rPr>
          <w:color w:val="231F20"/>
          <w:w w:val="105"/>
          <w:sz w:val="17"/>
        </w:rPr>
        <w:t> authority</w:t>
      </w:r>
      <w:r>
        <w:rPr>
          <w:color w:val="231F20"/>
          <w:w w:val="105"/>
          <w:sz w:val="17"/>
        </w:rPr>
        <w:t> approval</w:t>
      </w:r>
      <w:r>
        <w:rPr>
          <w:color w:val="231F20"/>
          <w:w w:val="105"/>
          <w:sz w:val="17"/>
        </w:rPr>
        <w:t> of</w:t>
      </w:r>
      <w:r>
        <w:rPr>
          <w:color w:val="231F20"/>
          <w:w w:val="105"/>
          <w:sz w:val="17"/>
        </w:rPr>
        <w:t> design</w:t>
      </w:r>
      <w:r>
        <w:rPr>
          <w:color w:val="231F20"/>
          <w:w w:val="105"/>
          <w:sz w:val="17"/>
        </w:rPr>
        <w:t> or shipment, for which different approval types apply in the different countries concerned by the shipment, the categorization shall be in accordance with the certificate of the country of origin of design.</w:t>
      </w:r>
    </w:p>
    <w:p>
      <w:pPr>
        <w:pStyle w:val="BodyText"/>
        <w:spacing w:before="78"/>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Specific</w:t>
      </w:r>
      <w:r>
        <w:rPr>
          <w:color w:val="231F20"/>
          <w:spacing w:val="5"/>
          <w:w w:val="105"/>
        </w:rPr>
        <w:t> </w:t>
      </w:r>
      <w:r>
        <w:rPr>
          <w:color w:val="231F20"/>
          <w:w w:val="105"/>
        </w:rPr>
        <w:t>provisions</w:t>
      </w:r>
      <w:r>
        <w:rPr>
          <w:color w:val="231F20"/>
          <w:spacing w:val="6"/>
          <w:w w:val="105"/>
        </w:rPr>
        <w:t> </w:t>
      </w:r>
      <w:r>
        <w:rPr>
          <w:color w:val="231F20"/>
          <w:w w:val="105"/>
        </w:rPr>
        <w:t>for</w:t>
      </w:r>
      <w:r>
        <w:rPr>
          <w:color w:val="231F20"/>
          <w:spacing w:val="6"/>
          <w:w w:val="105"/>
        </w:rPr>
        <w:t> </w:t>
      </w:r>
      <w:r>
        <w:rPr>
          <w:color w:val="231F20"/>
          <w:w w:val="105"/>
        </w:rPr>
        <w:t>excepted</w:t>
      </w:r>
      <w:r>
        <w:rPr>
          <w:color w:val="231F20"/>
          <w:spacing w:val="6"/>
          <w:w w:val="105"/>
        </w:rPr>
        <w:t> </w:t>
      </w:r>
      <w:r>
        <w:rPr>
          <w:color w:val="231F20"/>
          <w:w w:val="105"/>
        </w:rPr>
        <w:t>packages</w:t>
      </w:r>
      <w:r>
        <w:rPr>
          <w:color w:val="231F20"/>
          <w:spacing w:val="6"/>
          <w:w w:val="105"/>
        </w:rPr>
        <w:t> </w:t>
      </w:r>
      <w:r>
        <w:rPr>
          <w:color w:val="231F20"/>
          <w:w w:val="105"/>
        </w:rPr>
        <w:t>of</w:t>
      </w:r>
      <w:r>
        <w:rPr>
          <w:color w:val="231F20"/>
          <w:spacing w:val="5"/>
          <w:w w:val="105"/>
        </w:rPr>
        <w:t> </w:t>
      </w:r>
      <w:r>
        <w:rPr>
          <w:color w:val="231F20"/>
          <w:w w:val="105"/>
        </w:rPr>
        <w:t>radioactive</w:t>
      </w:r>
      <w:r>
        <w:rPr>
          <w:color w:val="231F20"/>
          <w:spacing w:val="6"/>
          <w:w w:val="105"/>
        </w:rPr>
        <w:t> </w:t>
      </w:r>
      <w:r>
        <w:rPr>
          <w:color w:val="231F20"/>
          <w:w w:val="105"/>
        </w:rPr>
        <w:t>material</w:t>
      </w:r>
      <w:r>
        <w:rPr>
          <w:color w:val="231F20"/>
          <w:spacing w:val="6"/>
          <w:w w:val="105"/>
        </w:rPr>
        <w:t> </w:t>
      </w:r>
      <w:r>
        <w:rPr>
          <w:color w:val="231F20"/>
          <w:w w:val="105"/>
        </w:rPr>
        <w:t>of</w:t>
      </w:r>
      <w:r>
        <w:rPr>
          <w:color w:val="231F20"/>
          <w:spacing w:val="6"/>
          <w:w w:val="105"/>
        </w:rPr>
        <w:t> </w:t>
      </w:r>
      <w:r>
        <w:rPr>
          <w:color w:val="231F20"/>
          <w:w w:val="105"/>
        </w:rPr>
        <w:t>class</w:t>
      </w:r>
      <w:r>
        <w:rPr>
          <w:color w:val="231F20"/>
          <w:spacing w:val="6"/>
          <w:w w:val="105"/>
        </w:rPr>
        <w:t> </w:t>
      </w:r>
      <w:r>
        <w:rPr>
          <w:color w:val="231F20"/>
          <w:spacing w:val="-10"/>
          <w:w w:val="105"/>
        </w:rPr>
        <w:t>7</w:t>
      </w:r>
    </w:p>
    <w:p>
      <w:pPr>
        <w:pStyle w:val="ListParagraph"/>
        <w:numPr>
          <w:ilvl w:val="4"/>
          <w:numId w:val="1"/>
        </w:numPr>
        <w:tabs>
          <w:tab w:pos="2497" w:val="left" w:leader="none"/>
        </w:tabs>
        <w:spacing w:line="256" w:lineRule="auto" w:before="132" w:after="0"/>
        <w:ind w:left="2497" w:right="847" w:hanging="1080"/>
        <w:jc w:val="left"/>
        <w:rPr>
          <w:color w:val="231F20"/>
          <w:sz w:val="17"/>
        </w:rPr>
      </w:pPr>
      <w:r>
        <w:rPr>
          <w:color w:val="231F20"/>
          <w:w w:val="105"/>
          <w:sz w:val="17"/>
        </w:rPr>
        <w:t>Excepted packages of radioactive material of class 7 shall be legibly and durably marked on the outside of the packaging with:</w:t>
      </w:r>
    </w:p>
    <w:p>
      <w:pPr>
        <w:pStyle w:val="ListParagraph"/>
        <w:numPr>
          <w:ilvl w:val="5"/>
          <w:numId w:val="1"/>
        </w:numPr>
        <w:tabs>
          <w:tab w:pos="2857" w:val="left" w:leader="none"/>
        </w:tabs>
        <w:spacing w:line="240" w:lineRule="auto" w:before="62" w:after="0"/>
        <w:ind w:left="2857" w:right="0" w:hanging="360"/>
        <w:jc w:val="left"/>
        <w:rPr>
          <w:sz w:val="17"/>
        </w:rPr>
      </w:pPr>
      <w:r>
        <w:rPr>
          <w:color w:val="231F20"/>
          <w:w w:val="105"/>
          <w:sz w:val="17"/>
        </w:rPr>
        <w:t>the</w:t>
      </w:r>
      <w:r>
        <w:rPr>
          <w:color w:val="231F20"/>
          <w:spacing w:val="-2"/>
          <w:w w:val="105"/>
          <w:sz w:val="17"/>
        </w:rPr>
        <w:t> </w:t>
      </w:r>
      <w:r>
        <w:rPr>
          <w:color w:val="231F20"/>
          <w:w w:val="105"/>
          <w:sz w:val="17"/>
        </w:rPr>
        <w:t>UN</w:t>
      </w:r>
      <w:r>
        <w:rPr>
          <w:color w:val="231F20"/>
          <w:spacing w:val="-1"/>
          <w:w w:val="105"/>
          <w:sz w:val="17"/>
        </w:rPr>
        <w:t> </w:t>
      </w:r>
      <w:r>
        <w:rPr>
          <w:color w:val="231F20"/>
          <w:w w:val="105"/>
          <w:sz w:val="17"/>
        </w:rPr>
        <w:t>number</w:t>
      </w:r>
      <w:r>
        <w:rPr>
          <w:color w:val="231F20"/>
          <w:spacing w:val="-1"/>
          <w:w w:val="105"/>
          <w:sz w:val="17"/>
        </w:rPr>
        <w:t> </w:t>
      </w:r>
      <w:r>
        <w:rPr>
          <w:color w:val="231F20"/>
          <w:w w:val="105"/>
          <w:sz w:val="17"/>
        </w:rPr>
        <w:t>preceded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letters</w:t>
      </w:r>
      <w:r>
        <w:rPr>
          <w:color w:val="231F20"/>
          <w:spacing w:val="-2"/>
          <w:w w:val="105"/>
          <w:sz w:val="17"/>
        </w:rPr>
        <w:t> “UN”;</w:t>
      </w:r>
    </w:p>
    <w:p>
      <w:pPr>
        <w:pStyle w:val="ListParagraph"/>
        <w:numPr>
          <w:ilvl w:val="5"/>
          <w:numId w:val="1"/>
        </w:numPr>
        <w:tabs>
          <w:tab w:pos="2857" w:val="left" w:leader="none"/>
        </w:tabs>
        <w:spacing w:line="240" w:lineRule="auto" w:before="75" w:after="0"/>
        <w:ind w:left="2857" w:right="0" w:hanging="360"/>
        <w:jc w:val="left"/>
        <w:rPr>
          <w:sz w:val="17"/>
        </w:rPr>
      </w:pPr>
      <w:r>
        <w:rPr>
          <w:color w:val="231F20"/>
          <w:w w:val="105"/>
          <w:sz w:val="17"/>
        </w:rPr>
        <w:t>an</w:t>
      </w:r>
      <w:r>
        <w:rPr>
          <w:color w:val="231F20"/>
          <w:spacing w:val="-1"/>
          <w:w w:val="105"/>
          <w:sz w:val="17"/>
        </w:rPr>
        <w:t> </w:t>
      </w:r>
      <w:r>
        <w:rPr>
          <w:color w:val="231F20"/>
          <w:w w:val="105"/>
          <w:sz w:val="17"/>
        </w:rPr>
        <w:t>identification of</w:t>
      </w:r>
      <w:r>
        <w:rPr>
          <w:color w:val="231F20"/>
          <w:spacing w:val="-1"/>
          <w:w w:val="105"/>
          <w:sz w:val="17"/>
        </w:rPr>
        <w:t> </w:t>
      </w:r>
      <w:r>
        <w:rPr>
          <w:color w:val="231F20"/>
          <w:w w:val="105"/>
          <w:sz w:val="17"/>
        </w:rPr>
        <w:t>either the consignor</w:t>
      </w:r>
      <w:r>
        <w:rPr>
          <w:color w:val="231F20"/>
          <w:spacing w:val="-1"/>
          <w:w w:val="105"/>
          <w:sz w:val="17"/>
        </w:rPr>
        <w:t> </w:t>
      </w:r>
      <w:r>
        <w:rPr>
          <w:color w:val="231F20"/>
          <w:w w:val="105"/>
          <w:sz w:val="17"/>
        </w:rPr>
        <w:t>or consignee, or</w:t>
      </w:r>
      <w:r>
        <w:rPr>
          <w:color w:val="231F20"/>
          <w:spacing w:val="-1"/>
          <w:w w:val="105"/>
          <w:sz w:val="17"/>
        </w:rPr>
        <w:t> </w:t>
      </w:r>
      <w:r>
        <w:rPr>
          <w:color w:val="231F20"/>
          <w:w w:val="105"/>
          <w:sz w:val="17"/>
        </w:rPr>
        <w:t>both; </w:t>
      </w:r>
      <w:r>
        <w:rPr>
          <w:color w:val="231F20"/>
          <w:spacing w:val="-5"/>
          <w:w w:val="105"/>
          <w:sz w:val="17"/>
        </w:rPr>
        <w:t>and</w:t>
      </w:r>
    </w:p>
    <w:p>
      <w:pPr>
        <w:pStyle w:val="ListParagraph"/>
        <w:numPr>
          <w:ilvl w:val="5"/>
          <w:numId w:val="1"/>
        </w:numPr>
        <w:tabs>
          <w:tab w:pos="2857" w:val="left" w:leader="none"/>
        </w:tabs>
        <w:spacing w:line="240" w:lineRule="auto" w:before="74" w:after="0"/>
        <w:ind w:left="2857" w:right="0" w:hanging="360"/>
        <w:jc w:val="left"/>
        <w:rPr>
          <w:sz w:val="17"/>
        </w:rPr>
      </w:pPr>
      <w:r>
        <w:rPr>
          <w:color w:val="231F20"/>
          <w:w w:val="105"/>
          <w:sz w:val="17"/>
        </w:rPr>
        <w:t>the</w:t>
      </w:r>
      <w:r>
        <w:rPr>
          <w:color w:val="231F20"/>
          <w:spacing w:val="-3"/>
          <w:w w:val="105"/>
          <w:sz w:val="17"/>
        </w:rPr>
        <w:t> </w:t>
      </w:r>
      <w:r>
        <w:rPr>
          <w:color w:val="231F20"/>
          <w:w w:val="105"/>
          <w:sz w:val="17"/>
        </w:rPr>
        <w:t>permissible</w:t>
      </w:r>
      <w:r>
        <w:rPr>
          <w:color w:val="231F20"/>
          <w:spacing w:val="-3"/>
          <w:w w:val="105"/>
          <w:sz w:val="17"/>
        </w:rPr>
        <w:t> </w:t>
      </w:r>
      <w:r>
        <w:rPr>
          <w:color w:val="231F20"/>
          <w:w w:val="105"/>
          <w:sz w:val="17"/>
        </w:rPr>
        <w:t>gross</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if</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exceeds</w:t>
      </w:r>
      <w:r>
        <w:rPr>
          <w:color w:val="231F20"/>
          <w:spacing w:val="-2"/>
          <w:w w:val="105"/>
          <w:sz w:val="17"/>
        </w:rPr>
        <w:t> </w:t>
      </w:r>
      <w:r>
        <w:rPr>
          <w:color w:val="231F20"/>
          <w:w w:val="105"/>
          <w:sz w:val="17"/>
        </w:rPr>
        <w:t>50</w:t>
      </w:r>
      <w:r>
        <w:rPr>
          <w:color w:val="231F20"/>
          <w:spacing w:val="-3"/>
          <w:w w:val="105"/>
          <w:sz w:val="17"/>
        </w:rPr>
        <w:t> </w:t>
      </w:r>
      <w:r>
        <w:rPr>
          <w:color w:val="231F20"/>
          <w:spacing w:val="-5"/>
          <w:w w:val="105"/>
          <w:sz w:val="17"/>
        </w:rPr>
        <w:t>kg.</w:t>
      </w:r>
    </w:p>
    <w:p>
      <w:pPr>
        <w:pStyle w:val="ListParagraph"/>
        <w:numPr>
          <w:ilvl w:val="4"/>
          <w:numId w:val="1"/>
        </w:numPr>
        <w:tabs>
          <w:tab w:pos="2492" w:val="left" w:leader="none"/>
          <w:tab w:pos="2497" w:val="left" w:leader="none"/>
        </w:tabs>
        <w:spacing w:line="256" w:lineRule="auto" w:before="135" w:after="0"/>
        <w:ind w:left="2497" w:right="848" w:hanging="1081"/>
        <w:jc w:val="both"/>
        <w:rPr>
          <w:color w:val="231F20"/>
          <w:sz w:val="17"/>
        </w:rPr>
      </w:pPr>
      <w:r>
        <w:rPr>
          <w:color w:val="231F20"/>
          <w:w w:val="105"/>
          <w:sz w:val="17"/>
        </w:rPr>
        <w:t>The</w:t>
      </w:r>
      <w:r>
        <w:rPr>
          <w:color w:val="231F20"/>
          <w:spacing w:val="-9"/>
          <w:w w:val="105"/>
          <w:sz w:val="17"/>
        </w:rPr>
        <w:t> </w:t>
      </w:r>
      <w:r>
        <w:rPr>
          <w:color w:val="231F20"/>
          <w:w w:val="105"/>
          <w:sz w:val="17"/>
        </w:rPr>
        <w:t>documentation</w:t>
      </w:r>
      <w:r>
        <w:rPr>
          <w:color w:val="231F20"/>
          <w:spacing w:val="-9"/>
          <w:w w:val="105"/>
          <w:sz w:val="17"/>
        </w:rPr>
        <w:t> </w:t>
      </w:r>
      <w:r>
        <w:rPr>
          <w:color w:val="231F20"/>
          <w:w w:val="105"/>
          <w:sz w:val="17"/>
        </w:rPr>
        <w:t>requirements</w:t>
      </w:r>
      <w:r>
        <w:rPr>
          <w:color w:val="231F20"/>
          <w:spacing w:val="-9"/>
          <w:w w:val="105"/>
          <w:sz w:val="17"/>
        </w:rPr>
        <w:t> </w:t>
      </w:r>
      <w:r>
        <w:rPr>
          <w:color w:val="231F20"/>
          <w:w w:val="105"/>
          <w:sz w:val="17"/>
        </w:rPr>
        <w:t>of</w:t>
      </w:r>
      <w:r>
        <w:rPr>
          <w:color w:val="231F20"/>
          <w:spacing w:val="-9"/>
          <w:w w:val="105"/>
          <w:sz w:val="17"/>
        </w:rPr>
        <w:t> </w:t>
      </w:r>
      <w:r>
        <w:rPr>
          <w:color w:val="231F20"/>
          <w:w w:val="105"/>
          <w:sz w:val="17"/>
        </w:rPr>
        <w:t>5.4.1</w:t>
      </w:r>
      <w:r>
        <w:rPr>
          <w:color w:val="231F20"/>
          <w:spacing w:val="-9"/>
          <w:w w:val="105"/>
          <w:sz w:val="17"/>
        </w:rPr>
        <w:t> </w:t>
      </w:r>
      <w:r>
        <w:rPr>
          <w:color w:val="231F20"/>
          <w:w w:val="105"/>
          <w:sz w:val="17"/>
        </w:rPr>
        <w:t>and</w:t>
      </w:r>
      <w:r>
        <w:rPr>
          <w:color w:val="231F20"/>
          <w:spacing w:val="-9"/>
          <w:w w:val="105"/>
          <w:sz w:val="17"/>
        </w:rPr>
        <w:t> </w:t>
      </w:r>
      <w:r>
        <w:rPr>
          <w:color w:val="231F20"/>
          <w:w w:val="105"/>
          <w:sz w:val="17"/>
        </w:rPr>
        <w:t>5.4.5</w:t>
      </w:r>
      <w:r>
        <w:rPr>
          <w:color w:val="231F20"/>
          <w:spacing w:val="-9"/>
          <w:w w:val="105"/>
          <w:sz w:val="17"/>
        </w:rPr>
        <w:t> </w:t>
      </w:r>
      <w:r>
        <w:rPr>
          <w:color w:val="231F20"/>
          <w:w w:val="105"/>
          <w:sz w:val="17"/>
        </w:rPr>
        <w:t>do</w:t>
      </w:r>
      <w:r>
        <w:rPr>
          <w:color w:val="231F20"/>
          <w:spacing w:val="-9"/>
          <w:w w:val="105"/>
          <w:sz w:val="17"/>
        </w:rPr>
        <w:t> </w:t>
      </w:r>
      <w:r>
        <w:rPr>
          <w:color w:val="231F20"/>
          <w:w w:val="105"/>
          <w:sz w:val="17"/>
        </w:rPr>
        <w:t>not</w:t>
      </w:r>
      <w:r>
        <w:rPr>
          <w:color w:val="231F20"/>
          <w:spacing w:val="-9"/>
          <w:w w:val="105"/>
          <w:sz w:val="17"/>
        </w:rPr>
        <w:t> </w:t>
      </w:r>
      <w:r>
        <w:rPr>
          <w:color w:val="231F20"/>
          <w:w w:val="105"/>
          <w:sz w:val="17"/>
        </w:rPr>
        <w:t>apply</w:t>
      </w:r>
      <w:r>
        <w:rPr>
          <w:color w:val="231F20"/>
          <w:spacing w:val="-9"/>
          <w:w w:val="105"/>
          <w:sz w:val="17"/>
        </w:rPr>
        <w:t> </w:t>
      </w:r>
      <w:r>
        <w:rPr>
          <w:color w:val="231F20"/>
          <w:w w:val="105"/>
          <w:sz w:val="17"/>
        </w:rPr>
        <w:t>to</w:t>
      </w:r>
      <w:r>
        <w:rPr>
          <w:color w:val="231F20"/>
          <w:spacing w:val="-9"/>
          <w:w w:val="105"/>
          <w:sz w:val="17"/>
        </w:rPr>
        <w:t> </w:t>
      </w:r>
      <w:r>
        <w:rPr>
          <w:color w:val="231F20"/>
          <w:w w:val="105"/>
          <w:sz w:val="17"/>
        </w:rPr>
        <w:t>excepted</w:t>
      </w:r>
      <w:r>
        <w:rPr>
          <w:color w:val="231F20"/>
          <w:spacing w:val="-9"/>
          <w:w w:val="105"/>
          <w:sz w:val="17"/>
        </w:rPr>
        <w:t> </w:t>
      </w:r>
      <w:r>
        <w:rPr>
          <w:color w:val="231F20"/>
          <w:w w:val="105"/>
          <w:sz w:val="17"/>
        </w:rPr>
        <w:t>packages</w:t>
      </w:r>
      <w:r>
        <w:rPr>
          <w:color w:val="231F20"/>
          <w:spacing w:val="-9"/>
          <w:w w:val="105"/>
          <w:sz w:val="17"/>
        </w:rPr>
        <w:t> </w:t>
      </w:r>
      <w:r>
        <w:rPr>
          <w:color w:val="231F20"/>
          <w:w w:val="105"/>
          <w:sz w:val="17"/>
        </w:rPr>
        <w:t>of</w:t>
      </w:r>
      <w:r>
        <w:rPr>
          <w:color w:val="231F20"/>
          <w:spacing w:val="-9"/>
          <w:w w:val="105"/>
          <w:sz w:val="17"/>
        </w:rPr>
        <w:t> </w:t>
      </w:r>
      <w:r>
        <w:rPr>
          <w:color w:val="231F20"/>
          <w:w w:val="105"/>
          <w:sz w:val="17"/>
        </w:rPr>
        <w:t>radioactive</w:t>
      </w:r>
      <w:r>
        <w:rPr>
          <w:color w:val="231F20"/>
          <w:spacing w:val="-9"/>
          <w:w w:val="105"/>
          <w:sz w:val="17"/>
        </w:rPr>
        <w:t> </w:t>
      </w:r>
      <w:r>
        <w:rPr>
          <w:color w:val="231F20"/>
          <w:w w:val="105"/>
          <w:sz w:val="17"/>
        </w:rPr>
        <w:t>material of class 7, except that:</w:t>
      </w:r>
    </w:p>
    <w:p>
      <w:pPr>
        <w:pStyle w:val="ListParagraph"/>
        <w:numPr>
          <w:ilvl w:val="5"/>
          <w:numId w:val="1"/>
        </w:numPr>
        <w:tabs>
          <w:tab w:pos="2857" w:val="left" w:leader="none"/>
        </w:tabs>
        <w:spacing w:line="256" w:lineRule="auto" w:before="62" w:after="0"/>
        <w:ind w:left="2857" w:right="847" w:hanging="360"/>
        <w:jc w:val="both"/>
        <w:rPr>
          <w:sz w:val="17"/>
        </w:rPr>
      </w:pPr>
      <w:r>
        <w:rPr>
          <w:color w:val="231F20"/>
          <w:w w:val="105"/>
          <w:sz w:val="17"/>
        </w:rPr>
        <w:t>the</w:t>
      </w:r>
      <w:r>
        <w:rPr>
          <w:color w:val="231F20"/>
          <w:w w:val="105"/>
          <w:sz w:val="17"/>
        </w:rPr>
        <w:t> UN</w:t>
      </w:r>
      <w:r>
        <w:rPr>
          <w:color w:val="231F20"/>
          <w:w w:val="105"/>
          <w:sz w:val="17"/>
        </w:rPr>
        <w:t> number</w:t>
      </w:r>
      <w:r>
        <w:rPr>
          <w:color w:val="231F20"/>
          <w:w w:val="105"/>
          <w:sz w:val="17"/>
        </w:rPr>
        <w:t> preceded</w:t>
      </w:r>
      <w:r>
        <w:rPr>
          <w:color w:val="231F20"/>
          <w:w w:val="105"/>
          <w:sz w:val="17"/>
        </w:rPr>
        <w:t> by</w:t>
      </w:r>
      <w:r>
        <w:rPr>
          <w:color w:val="231F20"/>
          <w:w w:val="105"/>
          <w:sz w:val="17"/>
        </w:rPr>
        <w:t> the</w:t>
      </w:r>
      <w:r>
        <w:rPr>
          <w:color w:val="231F20"/>
          <w:w w:val="105"/>
          <w:sz w:val="17"/>
        </w:rPr>
        <w:t> letters</w:t>
      </w:r>
      <w:r>
        <w:rPr>
          <w:color w:val="231F20"/>
          <w:w w:val="105"/>
          <w:sz w:val="17"/>
        </w:rPr>
        <w:t> “UN”</w:t>
      </w:r>
      <w:r>
        <w:rPr>
          <w:color w:val="231F20"/>
          <w:w w:val="105"/>
          <w:sz w:val="17"/>
        </w:rPr>
        <w:t> and</w:t>
      </w:r>
      <w:r>
        <w:rPr>
          <w:color w:val="231F20"/>
          <w:w w:val="105"/>
          <w:sz w:val="17"/>
        </w:rPr>
        <w:t> the</w:t>
      </w:r>
      <w:r>
        <w:rPr>
          <w:color w:val="231F20"/>
          <w:w w:val="105"/>
          <w:sz w:val="17"/>
        </w:rPr>
        <w:t> name</w:t>
      </w:r>
      <w:r>
        <w:rPr>
          <w:color w:val="231F20"/>
          <w:w w:val="105"/>
          <w:sz w:val="17"/>
        </w:rPr>
        <w:t> and</w:t>
      </w:r>
      <w:r>
        <w:rPr>
          <w:color w:val="231F20"/>
          <w:w w:val="105"/>
          <w:sz w:val="17"/>
        </w:rPr>
        <w:t> address</w:t>
      </w:r>
      <w:r>
        <w:rPr>
          <w:color w:val="231F20"/>
          <w:w w:val="105"/>
          <w:sz w:val="17"/>
        </w:rPr>
        <w:t> of</w:t>
      </w:r>
      <w:r>
        <w:rPr>
          <w:color w:val="231F20"/>
          <w:w w:val="105"/>
          <w:sz w:val="17"/>
        </w:rPr>
        <w:t> the</w:t>
      </w:r>
      <w:r>
        <w:rPr>
          <w:color w:val="231F20"/>
          <w:w w:val="105"/>
          <w:sz w:val="17"/>
        </w:rPr>
        <w:t> consignor</w:t>
      </w:r>
      <w:r>
        <w:rPr>
          <w:color w:val="231F20"/>
          <w:w w:val="105"/>
          <w:sz w:val="17"/>
        </w:rPr>
        <w:t> and</w:t>
      </w:r>
      <w:r>
        <w:rPr>
          <w:color w:val="231F20"/>
          <w:w w:val="105"/>
          <w:sz w:val="17"/>
        </w:rPr>
        <w:t> the consignee and, if relevant, the identification mark for each competent authority certificate of approval (see 5.4.1.5.7.1.7)</w:t>
      </w:r>
      <w:r>
        <w:rPr>
          <w:color w:val="231F20"/>
          <w:spacing w:val="-1"/>
          <w:w w:val="105"/>
          <w:sz w:val="17"/>
        </w:rPr>
        <w:t> </w:t>
      </w:r>
      <w:r>
        <w:rPr>
          <w:color w:val="231F20"/>
          <w:w w:val="105"/>
          <w:sz w:val="17"/>
        </w:rPr>
        <w:t>shall be</w:t>
      </w:r>
      <w:r>
        <w:rPr>
          <w:color w:val="231F20"/>
          <w:spacing w:val="-1"/>
          <w:w w:val="105"/>
          <w:sz w:val="17"/>
        </w:rPr>
        <w:t> </w:t>
      </w:r>
      <w:r>
        <w:rPr>
          <w:color w:val="231F20"/>
          <w:w w:val="105"/>
          <w:sz w:val="17"/>
        </w:rPr>
        <w:t>shown on</w:t>
      </w:r>
      <w:r>
        <w:rPr>
          <w:color w:val="231F20"/>
          <w:spacing w:val="-1"/>
          <w:w w:val="105"/>
          <w:sz w:val="17"/>
        </w:rPr>
        <w:t> </w:t>
      </w:r>
      <w:r>
        <w:rPr>
          <w:color w:val="231F20"/>
          <w:w w:val="105"/>
          <w:sz w:val="17"/>
        </w:rPr>
        <w:t>a special</w:t>
      </w:r>
      <w:r>
        <w:rPr>
          <w:color w:val="231F20"/>
          <w:spacing w:val="-1"/>
          <w:w w:val="105"/>
          <w:sz w:val="17"/>
        </w:rPr>
        <w:t> </w:t>
      </w:r>
      <w:r>
        <w:rPr>
          <w:color w:val="231F20"/>
          <w:w w:val="105"/>
          <w:sz w:val="17"/>
        </w:rPr>
        <w:t>transport document</w:t>
      </w:r>
      <w:r>
        <w:rPr>
          <w:color w:val="231F20"/>
          <w:spacing w:val="-1"/>
          <w:w w:val="105"/>
          <w:sz w:val="17"/>
        </w:rPr>
        <w:t> </w:t>
      </w:r>
      <w:r>
        <w:rPr>
          <w:color w:val="231F20"/>
          <w:w w:val="105"/>
          <w:sz w:val="17"/>
        </w:rPr>
        <w:t>such as</w:t>
      </w:r>
      <w:r>
        <w:rPr>
          <w:color w:val="231F20"/>
          <w:spacing w:val="-1"/>
          <w:w w:val="105"/>
          <w:sz w:val="17"/>
        </w:rPr>
        <w:t> </w:t>
      </w:r>
      <w:r>
        <w:rPr>
          <w:color w:val="231F20"/>
          <w:w w:val="105"/>
          <w:sz w:val="17"/>
        </w:rPr>
        <w:t>a bill</w:t>
      </w:r>
      <w:r>
        <w:rPr>
          <w:color w:val="231F20"/>
          <w:spacing w:val="-1"/>
          <w:w w:val="105"/>
          <w:sz w:val="17"/>
        </w:rPr>
        <w:t> </w:t>
      </w:r>
      <w:r>
        <w:rPr>
          <w:color w:val="231F20"/>
          <w:w w:val="105"/>
          <w:sz w:val="17"/>
        </w:rPr>
        <w:t>of lading,</w:t>
      </w:r>
      <w:r>
        <w:rPr>
          <w:color w:val="231F20"/>
          <w:spacing w:val="-1"/>
          <w:w w:val="105"/>
          <w:sz w:val="17"/>
        </w:rPr>
        <w:t> </w:t>
      </w:r>
      <w:r>
        <w:rPr>
          <w:color w:val="231F20"/>
          <w:w w:val="105"/>
          <w:sz w:val="17"/>
        </w:rPr>
        <w:t>air waybill</w:t>
      </w:r>
      <w:r>
        <w:rPr>
          <w:color w:val="231F20"/>
          <w:spacing w:val="-1"/>
          <w:w w:val="105"/>
          <w:sz w:val="17"/>
        </w:rPr>
        <w:t> </w:t>
      </w:r>
      <w:r>
        <w:rPr>
          <w:color w:val="231F20"/>
          <w:w w:val="105"/>
          <w:sz w:val="17"/>
        </w:rPr>
        <w:t>or other similar document complying with the requirements of 5.4.1.2.1 to 5.4.1.2.4; and</w:t>
      </w:r>
    </w:p>
    <w:p>
      <w:pPr>
        <w:pStyle w:val="ListParagraph"/>
        <w:numPr>
          <w:ilvl w:val="5"/>
          <w:numId w:val="1"/>
        </w:numPr>
        <w:tabs>
          <w:tab w:pos="2855" w:val="left" w:leader="none"/>
        </w:tabs>
        <w:spacing w:line="240" w:lineRule="auto" w:before="63" w:after="0"/>
        <w:ind w:left="2855" w:right="0" w:hanging="358"/>
        <w:jc w:val="both"/>
        <w:rPr>
          <w:sz w:val="17"/>
        </w:rPr>
      </w:pPr>
      <w:r>
        <w:rPr>
          <w:color w:val="231F20"/>
          <w:sz w:val="17"/>
        </w:rPr>
        <w:t>the</w:t>
      </w:r>
      <w:r>
        <w:rPr>
          <w:color w:val="231F20"/>
          <w:spacing w:val="-1"/>
          <w:sz w:val="17"/>
        </w:rPr>
        <w:t> </w:t>
      </w:r>
      <w:r>
        <w:rPr>
          <w:color w:val="231F20"/>
          <w:sz w:val="17"/>
        </w:rPr>
        <w:t>requirements of</w:t>
      </w:r>
      <w:r>
        <w:rPr>
          <w:color w:val="231F20"/>
          <w:spacing w:val="-1"/>
          <w:sz w:val="17"/>
        </w:rPr>
        <w:t> </w:t>
      </w:r>
      <w:r>
        <w:rPr>
          <w:color w:val="231F20"/>
          <w:sz w:val="17"/>
        </w:rPr>
        <w:t>5.4.1.6.2 and,</w:t>
      </w:r>
      <w:r>
        <w:rPr>
          <w:color w:val="231F20"/>
          <w:spacing w:val="-1"/>
          <w:sz w:val="17"/>
        </w:rPr>
        <w:t> </w:t>
      </w:r>
      <w:r>
        <w:rPr>
          <w:color w:val="231F20"/>
          <w:sz w:val="17"/>
        </w:rPr>
        <w:t>if relevant,</w:t>
      </w:r>
      <w:r>
        <w:rPr>
          <w:color w:val="231F20"/>
          <w:spacing w:val="-1"/>
          <w:sz w:val="17"/>
        </w:rPr>
        <w:t> </w:t>
      </w:r>
      <w:r>
        <w:rPr>
          <w:color w:val="231F20"/>
          <w:sz w:val="17"/>
        </w:rPr>
        <w:t>those of</w:t>
      </w:r>
      <w:r>
        <w:rPr>
          <w:color w:val="231F20"/>
          <w:spacing w:val="-1"/>
          <w:sz w:val="17"/>
        </w:rPr>
        <w:t> </w:t>
      </w:r>
      <w:r>
        <w:rPr>
          <w:color w:val="231F20"/>
          <w:sz w:val="17"/>
        </w:rPr>
        <w:t>5.4.1.5.7.1.7, 5.4.1.5.7.3</w:t>
      </w:r>
      <w:r>
        <w:rPr>
          <w:color w:val="231F20"/>
          <w:spacing w:val="-1"/>
          <w:sz w:val="17"/>
        </w:rPr>
        <w:t> </w:t>
      </w:r>
      <w:r>
        <w:rPr>
          <w:color w:val="231F20"/>
          <w:sz w:val="17"/>
        </w:rPr>
        <w:t>and 5.4.1.5.7.4</w:t>
      </w:r>
      <w:r>
        <w:rPr>
          <w:color w:val="231F20"/>
          <w:spacing w:val="-1"/>
          <w:sz w:val="17"/>
        </w:rPr>
        <w:t> </w:t>
      </w:r>
      <w:r>
        <w:rPr>
          <w:color w:val="231F20"/>
          <w:sz w:val="17"/>
        </w:rPr>
        <w:t>shall </w:t>
      </w:r>
      <w:r>
        <w:rPr>
          <w:color w:val="231F20"/>
          <w:spacing w:val="-2"/>
          <w:sz w:val="17"/>
        </w:rPr>
        <w:t>apply.</w:t>
      </w:r>
    </w:p>
    <w:p>
      <w:pPr>
        <w:pStyle w:val="ListParagraph"/>
        <w:numPr>
          <w:ilvl w:val="4"/>
          <w:numId w:val="1"/>
        </w:numPr>
        <w:tabs>
          <w:tab w:pos="2497" w:val="left" w:leader="none"/>
        </w:tabs>
        <w:spacing w:line="240" w:lineRule="auto" w:before="134" w:after="0"/>
        <w:ind w:left="2497" w:right="0" w:hanging="1080"/>
        <w:jc w:val="left"/>
        <w:rPr>
          <w:color w:val="231F20"/>
          <w:sz w:val="17"/>
        </w:rPr>
      </w:pPr>
      <w:r>
        <w:rPr>
          <w:color w:val="231F20"/>
          <w:sz w:val="17"/>
        </w:rPr>
        <w:t>The</w:t>
      </w:r>
      <w:r>
        <w:rPr>
          <w:color w:val="231F20"/>
          <w:spacing w:val="7"/>
          <w:sz w:val="17"/>
        </w:rPr>
        <w:t> </w:t>
      </w:r>
      <w:r>
        <w:rPr>
          <w:color w:val="231F20"/>
          <w:sz w:val="17"/>
        </w:rPr>
        <w:t>requirements</w:t>
      </w:r>
      <w:r>
        <w:rPr>
          <w:color w:val="231F20"/>
          <w:spacing w:val="7"/>
          <w:sz w:val="17"/>
        </w:rPr>
        <w:t> </w:t>
      </w:r>
      <w:r>
        <w:rPr>
          <w:color w:val="231F20"/>
          <w:sz w:val="17"/>
        </w:rPr>
        <w:t>of</w:t>
      </w:r>
      <w:r>
        <w:rPr>
          <w:color w:val="231F20"/>
          <w:spacing w:val="8"/>
          <w:sz w:val="17"/>
        </w:rPr>
        <w:t> </w:t>
      </w:r>
      <w:r>
        <w:rPr>
          <w:color w:val="231F20"/>
          <w:sz w:val="17"/>
        </w:rPr>
        <w:t>5.2.1.5.8</w:t>
      </w:r>
      <w:r>
        <w:rPr>
          <w:color w:val="231F20"/>
          <w:spacing w:val="7"/>
          <w:sz w:val="17"/>
        </w:rPr>
        <w:t> </w:t>
      </w:r>
      <w:r>
        <w:rPr>
          <w:color w:val="231F20"/>
          <w:sz w:val="17"/>
        </w:rPr>
        <w:t>and</w:t>
      </w:r>
      <w:r>
        <w:rPr>
          <w:color w:val="231F20"/>
          <w:spacing w:val="7"/>
          <w:sz w:val="17"/>
        </w:rPr>
        <w:t> </w:t>
      </w:r>
      <w:r>
        <w:rPr>
          <w:color w:val="231F20"/>
          <w:sz w:val="17"/>
        </w:rPr>
        <w:t>5.2.2.1.12.5</w:t>
      </w:r>
      <w:r>
        <w:rPr>
          <w:color w:val="231F20"/>
          <w:spacing w:val="8"/>
          <w:sz w:val="17"/>
        </w:rPr>
        <w:t> </w:t>
      </w:r>
      <w:r>
        <w:rPr>
          <w:color w:val="231F20"/>
          <w:sz w:val="17"/>
        </w:rPr>
        <w:t>shall</w:t>
      </w:r>
      <w:r>
        <w:rPr>
          <w:color w:val="231F20"/>
          <w:spacing w:val="7"/>
          <w:sz w:val="17"/>
        </w:rPr>
        <w:t> </w:t>
      </w:r>
      <w:r>
        <w:rPr>
          <w:color w:val="231F20"/>
          <w:sz w:val="17"/>
        </w:rPr>
        <w:t>apply</w:t>
      </w:r>
      <w:r>
        <w:rPr>
          <w:color w:val="231F20"/>
          <w:spacing w:val="8"/>
          <w:sz w:val="17"/>
        </w:rPr>
        <w:t> </w:t>
      </w:r>
      <w:r>
        <w:rPr>
          <w:color w:val="231F20"/>
          <w:sz w:val="17"/>
        </w:rPr>
        <w:t>if</w:t>
      </w:r>
      <w:r>
        <w:rPr>
          <w:color w:val="231F20"/>
          <w:spacing w:val="7"/>
          <w:sz w:val="17"/>
        </w:rPr>
        <w:t> </w:t>
      </w:r>
      <w:r>
        <w:rPr>
          <w:color w:val="231F20"/>
          <w:spacing w:val="-2"/>
          <w:sz w:val="17"/>
        </w:rPr>
        <w:t>relevant.</w:t>
      </w:r>
    </w:p>
    <w:p>
      <w:pPr>
        <w:pStyle w:val="BodyText"/>
        <w:spacing w:before="90"/>
      </w:pPr>
    </w:p>
    <w:p>
      <w:pPr>
        <w:pStyle w:val="Heading2"/>
        <w:numPr>
          <w:ilvl w:val="3"/>
          <w:numId w:val="1"/>
        </w:numPr>
        <w:tabs>
          <w:tab w:pos="2497" w:val="left" w:leader="none"/>
        </w:tabs>
        <w:spacing w:line="240" w:lineRule="auto" w:before="0" w:after="0"/>
        <w:ind w:left="2497" w:right="0" w:hanging="1080"/>
        <w:jc w:val="left"/>
        <w:rPr>
          <w:color w:val="231F20"/>
        </w:rPr>
      </w:pPr>
      <w:r>
        <w:rPr/>
        <mc:AlternateContent>
          <mc:Choice Requires="wps">
            <w:drawing>
              <wp:anchor distT="0" distB="0" distL="0" distR="0" allowOverlap="1" layoutInCell="1" locked="0" behindDoc="0" simplePos="0" relativeHeight="15731200">
                <wp:simplePos x="0" y="0"/>
                <wp:positionH relativeFrom="page">
                  <wp:posOffset>7199998</wp:posOffset>
                </wp:positionH>
                <wp:positionV relativeFrom="paragraph">
                  <wp:posOffset>68096</wp:posOffset>
                </wp:positionV>
                <wp:extent cx="360045" cy="153035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566.929016pt;margin-top:5.361907pt;width:28.35pt;height:120.5pt;mso-position-horizontal-relative:page;mso-position-vertical-relative:paragraph;z-index:15731200" type="#_x0000_t202" id="docshape30"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rPr>
        <w:t>Specific</w:t>
      </w:r>
      <w:r>
        <w:rPr>
          <w:color w:val="231F20"/>
          <w:spacing w:val="7"/>
          <w:w w:val="105"/>
        </w:rPr>
        <w:t> </w:t>
      </w:r>
      <w:r>
        <w:rPr>
          <w:color w:val="231F20"/>
          <w:w w:val="105"/>
        </w:rPr>
        <w:t>provisions</w:t>
      </w:r>
      <w:r>
        <w:rPr>
          <w:color w:val="231F20"/>
          <w:spacing w:val="7"/>
          <w:w w:val="105"/>
        </w:rPr>
        <w:t> </w:t>
      </w:r>
      <w:r>
        <w:rPr>
          <w:color w:val="231F20"/>
          <w:w w:val="105"/>
        </w:rPr>
        <w:t>for</w:t>
      </w:r>
      <w:r>
        <w:rPr>
          <w:color w:val="231F20"/>
          <w:spacing w:val="8"/>
          <w:w w:val="105"/>
        </w:rPr>
        <w:t> </w:t>
      </w:r>
      <w:r>
        <w:rPr>
          <w:color w:val="231F20"/>
          <w:w w:val="105"/>
        </w:rPr>
        <w:t>the</w:t>
      </w:r>
      <w:r>
        <w:rPr>
          <w:color w:val="231F20"/>
          <w:spacing w:val="7"/>
          <w:w w:val="105"/>
        </w:rPr>
        <w:t> </w:t>
      </w:r>
      <w:r>
        <w:rPr>
          <w:color w:val="231F20"/>
          <w:w w:val="105"/>
        </w:rPr>
        <w:t>consignment</w:t>
      </w:r>
      <w:r>
        <w:rPr>
          <w:color w:val="231F20"/>
          <w:spacing w:val="7"/>
          <w:w w:val="105"/>
        </w:rPr>
        <w:t> </w:t>
      </w:r>
      <w:r>
        <w:rPr>
          <w:color w:val="231F20"/>
          <w:w w:val="105"/>
        </w:rPr>
        <w:t>of</w:t>
      </w:r>
      <w:r>
        <w:rPr>
          <w:color w:val="231F20"/>
          <w:spacing w:val="8"/>
          <w:w w:val="105"/>
        </w:rPr>
        <w:t> </w:t>
      </w:r>
      <w:r>
        <w:rPr>
          <w:color w:val="231F20"/>
          <w:w w:val="105"/>
        </w:rPr>
        <w:t>fissile</w:t>
      </w:r>
      <w:r>
        <w:rPr>
          <w:color w:val="231F20"/>
          <w:spacing w:val="7"/>
          <w:w w:val="105"/>
        </w:rPr>
        <w:t> </w:t>
      </w:r>
      <w:r>
        <w:rPr>
          <w:color w:val="231F20"/>
          <w:spacing w:val="-2"/>
          <w:w w:val="105"/>
        </w:rPr>
        <w:t>material</w:t>
      </w:r>
    </w:p>
    <w:p>
      <w:pPr>
        <w:pStyle w:val="BodyText"/>
        <w:spacing w:before="132"/>
        <w:ind w:left="2497"/>
      </w:pPr>
      <w:r>
        <w:rPr>
          <w:color w:val="231F20"/>
        </w:rPr>
        <w:t>Fissile</w:t>
      </w:r>
      <w:r>
        <w:rPr>
          <w:color w:val="231F20"/>
          <w:spacing w:val="2"/>
        </w:rPr>
        <w:t> </w:t>
      </w:r>
      <w:r>
        <w:rPr>
          <w:color w:val="231F20"/>
        </w:rPr>
        <w:t>material</w:t>
      </w:r>
      <w:r>
        <w:rPr>
          <w:color w:val="231F20"/>
          <w:spacing w:val="2"/>
        </w:rPr>
        <w:t> </w:t>
      </w:r>
      <w:r>
        <w:rPr>
          <w:color w:val="231F20"/>
        </w:rPr>
        <w:t>meeting</w:t>
      </w:r>
      <w:r>
        <w:rPr>
          <w:color w:val="231F20"/>
          <w:spacing w:val="2"/>
        </w:rPr>
        <w:t> </w:t>
      </w:r>
      <w:r>
        <w:rPr>
          <w:color w:val="231F20"/>
        </w:rPr>
        <w:t>one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provisions</w:t>
      </w:r>
      <w:r>
        <w:rPr>
          <w:color w:val="231F20"/>
          <w:spacing w:val="2"/>
        </w:rPr>
        <w:t> </w:t>
      </w:r>
      <w:r>
        <w:rPr>
          <w:color w:val="231F20"/>
        </w:rPr>
        <w:t>of</w:t>
      </w:r>
      <w:r>
        <w:rPr>
          <w:color w:val="231F20"/>
          <w:spacing w:val="2"/>
        </w:rPr>
        <w:t> </w:t>
      </w:r>
      <w:r>
        <w:rPr>
          <w:color w:val="231F20"/>
        </w:rPr>
        <w:t>2.7.2.3.5.1</w:t>
      </w:r>
      <w:r>
        <w:rPr>
          <w:color w:val="231F20"/>
          <w:spacing w:val="2"/>
        </w:rPr>
        <w:t> </w:t>
      </w:r>
      <w:r>
        <w:rPr>
          <w:color w:val="231F20"/>
        </w:rPr>
        <w:t>to</w:t>
      </w:r>
      <w:r>
        <w:rPr>
          <w:color w:val="231F20"/>
          <w:spacing w:val="2"/>
        </w:rPr>
        <w:t> </w:t>
      </w:r>
      <w:r>
        <w:rPr>
          <w:color w:val="231F20"/>
        </w:rPr>
        <w:t>2.7.2.3.5.6</w:t>
      </w:r>
      <w:r>
        <w:rPr>
          <w:color w:val="231F20"/>
          <w:spacing w:val="2"/>
        </w:rPr>
        <w:t> </w:t>
      </w:r>
      <w:r>
        <w:rPr>
          <w:color w:val="231F20"/>
        </w:rPr>
        <w:t>shall</w:t>
      </w:r>
      <w:r>
        <w:rPr>
          <w:color w:val="231F20"/>
          <w:spacing w:val="3"/>
        </w:rPr>
        <w:t> </w:t>
      </w:r>
      <w:r>
        <w:rPr>
          <w:color w:val="231F20"/>
        </w:rPr>
        <w:t>meet</w:t>
      </w:r>
      <w:r>
        <w:rPr>
          <w:color w:val="231F20"/>
          <w:spacing w:val="2"/>
        </w:rPr>
        <w:t> </w:t>
      </w:r>
      <w:r>
        <w:rPr>
          <w:color w:val="231F20"/>
        </w:rPr>
        <w:t>the</w:t>
      </w:r>
      <w:r>
        <w:rPr>
          <w:color w:val="231F20"/>
          <w:spacing w:val="2"/>
        </w:rPr>
        <w:t> </w:t>
      </w:r>
      <w:r>
        <w:rPr>
          <w:color w:val="231F20"/>
        </w:rPr>
        <w:t>following</w:t>
      </w:r>
      <w:r>
        <w:rPr>
          <w:color w:val="231F20"/>
          <w:spacing w:val="2"/>
        </w:rPr>
        <w:t> </w:t>
      </w:r>
      <w:r>
        <w:rPr>
          <w:color w:val="231F20"/>
          <w:spacing w:val="-2"/>
        </w:rPr>
        <w:t>requirements:</w:t>
      </w:r>
    </w:p>
    <w:p>
      <w:pPr>
        <w:pStyle w:val="ListParagraph"/>
        <w:numPr>
          <w:ilvl w:val="0"/>
          <w:numId w:val="3"/>
        </w:numPr>
        <w:tabs>
          <w:tab w:pos="2857" w:val="left" w:leader="none"/>
        </w:tabs>
        <w:spacing w:line="240" w:lineRule="auto" w:before="75" w:after="0"/>
        <w:ind w:left="2857" w:right="0" w:hanging="360"/>
        <w:jc w:val="left"/>
        <w:rPr>
          <w:sz w:val="17"/>
        </w:rPr>
      </w:pPr>
      <w:r>
        <w:rPr>
          <w:color w:val="231F20"/>
          <w:w w:val="105"/>
          <w:sz w:val="17"/>
        </w:rPr>
        <w:t>only</w:t>
      </w:r>
      <w:r>
        <w:rPr>
          <w:color w:val="231F20"/>
          <w:spacing w:val="-12"/>
          <w:w w:val="105"/>
          <w:sz w:val="17"/>
        </w:rPr>
        <w:t> </w:t>
      </w:r>
      <w:r>
        <w:rPr>
          <w:color w:val="231F20"/>
          <w:w w:val="105"/>
          <w:sz w:val="17"/>
        </w:rPr>
        <w:t>one</w:t>
      </w:r>
      <w:r>
        <w:rPr>
          <w:color w:val="231F20"/>
          <w:spacing w:val="-12"/>
          <w:w w:val="105"/>
          <w:sz w:val="17"/>
        </w:rPr>
        <w:t> </w:t>
      </w:r>
      <w:r>
        <w:rPr>
          <w:color w:val="231F20"/>
          <w:w w:val="105"/>
          <w:sz w:val="17"/>
        </w:rPr>
        <w:t>of</w:t>
      </w:r>
      <w:r>
        <w:rPr>
          <w:color w:val="231F20"/>
          <w:spacing w:val="-11"/>
          <w:w w:val="105"/>
          <w:sz w:val="17"/>
        </w:rPr>
        <w:t> </w:t>
      </w:r>
      <w:r>
        <w:rPr>
          <w:color w:val="231F20"/>
          <w:w w:val="105"/>
          <w:sz w:val="17"/>
        </w:rPr>
        <w:t>the</w:t>
      </w:r>
      <w:r>
        <w:rPr>
          <w:color w:val="231F20"/>
          <w:spacing w:val="-12"/>
          <w:w w:val="105"/>
          <w:sz w:val="17"/>
        </w:rPr>
        <w:t> </w:t>
      </w:r>
      <w:r>
        <w:rPr>
          <w:color w:val="231F20"/>
          <w:w w:val="105"/>
          <w:sz w:val="17"/>
        </w:rPr>
        <w:t>provisions</w:t>
      </w:r>
      <w:r>
        <w:rPr>
          <w:color w:val="231F20"/>
          <w:spacing w:val="-12"/>
          <w:w w:val="105"/>
          <w:sz w:val="17"/>
        </w:rPr>
        <w:t> </w:t>
      </w:r>
      <w:r>
        <w:rPr>
          <w:color w:val="231F20"/>
          <w:w w:val="105"/>
          <w:sz w:val="17"/>
        </w:rPr>
        <w:t>of</w:t>
      </w:r>
      <w:r>
        <w:rPr>
          <w:color w:val="231F20"/>
          <w:spacing w:val="-11"/>
          <w:w w:val="105"/>
          <w:sz w:val="17"/>
        </w:rPr>
        <w:t> </w:t>
      </w:r>
      <w:r>
        <w:rPr>
          <w:color w:val="231F20"/>
          <w:w w:val="105"/>
          <w:sz w:val="17"/>
        </w:rPr>
        <w:t>2.7.2.3.5.1</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2.7.2.3.5.6</w:t>
      </w:r>
      <w:r>
        <w:rPr>
          <w:color w:val="231F20"/>
          <w:spacing w:val="-11"/>
          <w:w w:val="105"/>
          <w:sz w:val="17"/>
        </w:rPr>
        <w:t> </w:t>
      </w:r>
      <w:r>
        <w:rPr>
          <w:color w:val="231F20"/>
          <w:w w:val="105"/>
          <w:sz w:val="17"/>
        </w:rPr>
        <w:t>is</w:t>
      </w:r>
      <w:r>
        <w:rPr>
          <w:color w:val="231F20"/>
          <w:spacing w:val="-12"/>
          <w:w w:val="105"/>
          <w:sz w:val="17"/>
        </w:rPr>
        <w:t> </w:t>
      </w:r>
      <w:r>
        <w:rPr>
          <w:color w:val="231F20"/>
          <w:w w:val="105"/>
          <w:sz w:val="17"/>
        </w:rPr>
        <w:t>allowed</w:t>
      </w:r>
      <w:r>
        <w:rPr>
          <w:color w:val="231F20"/>
          <w:spacing w:val="-12"/>
          <w:w w:val="105"/>
          <w:sz w:val="17"/>
        </w:rPr>
        <w:t> </w:t>
      </w:r>
      <w:r>
        <w:rPr>
          <w:color w:val="231F20"/>
          <w:w w:val="105"/>
          <w:sz w:val="17"/>
        </w:rPr>
        <w:t>per</w:t>
      </w:r>
      <w:r>
        <w:rPr>
          <w:color w:val="231F20"/>
          <w:spacing w:val="-11"/>
          <w:w w:val="105"/>
          <w:sz w:val="17"/>
        </w:rPr>
        <w:t> </w:t>
      </w:r>
      <w:r>
        <w:rPr>
          <w:color w:val="231F20"/>
          <w:spacing w:val="-2"/>
          <w:w w:val="105"/>
          <w:sz w:val="17"/>
        </w:rPr>
        <w:t>consignment;</w:t>
      </w:r>
    </w:p>
    <w:p>
      <w:pPr>
        <w:pStyle w:val="ListParagraph"/>
        <w:numPr>
          <w:ilvl w:val="0"/>
          <w:numId w:val="3"/>
        </w:numPr>
        <w:tabs>
          <w:tab w:pos="2857" w:val="left" w:leader="none"/>
        </w:tabs>
        <w:spacing w:line="256" w:lineRule="auto" w:before="74" w:after="0"/>
        <w:ind w:left="2857" w:right="848" w:hanging="360"/>
        <w:jc w:val="left"/>
        <w:rPr>
          <w:sz w:val="17"/>
        </w:rPr>
      </w:pPr>
      <w:r>
        <w:rPr>
          <w:color w:val="231F20"/>
          <w:w w:val="105"/>
          <w:sz w:val="17"/>
        </w:rPr>
        <w:t>only one approved fissile material in packages classified in accordance with 2.7.2.3.5.6 is allowed per consignment unless multiple materials are authorized in the certificate of approval;</w:t>
      </w:r>
    </w:p>
    <w:p>
      <w:pPr>
        <w:pStyle w:val="ListParagraph"/>
        <w:numPr>
          <w:ilvl w:val="0"/>
          <w:numId w:val="3"/>
        </w:numPr>
        <w:tabs>
          <w:tab w:pos="2857" w:val="left" w:leader="none"/>
        </w:tabs>
        <w:spacing w:line="256" w:lineRule="auto" w:before="62" w:after="0"/>
        <w:ind w:left="2857" w:right="848" w:hanging="360"/>
        <w:jc w:val="left"/>
        <w:rPr>
          <w:sz w:val="17"/>
        </w:rPr>
      </w:pPr>
      <w:r>
        <w:rPr>
          <w:color w:val="231F20"/>
          <w:sz w:val="17"/>
        </w:rPr>
        <w:t>fissile material in packages classified in accordance with 2.7.2.3.5.3 shall be transported in a consignment</w:t>
      </w:r>
      <w:r>
        <w:rPr>
          <w:color w:val="231F20"/>
          <w:w w:val="105"/>
          <w:sz w:val="17"/>
        </w:rPr>
        <w:t> with no more than 45 g of fissile nuclides;</w:t>
      </w:r>
    </w:p>
    <w:p>
      <w:pPr>
        <w:pStyle w:val="ListParagraph"/>
        <w:numPr>
          <w:ilvl w:val="0"/>
          <w:numId w:val="3"/>
        </w:numPr>
        <w:tabs>
          <w:tab w:pos="2857" w:val="left" w:leader="none"/>
        </w:tabs>
        <w:spacing w:line="256" w:lineRule="auto" w:before="62" w:after="0"/>
        <w:ind w:left="2857" w:right="847" w:hanging="360"/>
        <w:jc w:val="left"/>
        <w:rPr>
          <w:sz w:val="17"/>
        </w:rPr>
      </w:pPr>
      <w:r>
        <w:rPr>
          <w:color w:val="231F20"/>
          <w:sz w:val="17"/>
        </w:rPr>
        <w:t>fissile material in packages classified in accordance with 2.7.2.3.5.4 shall be transported in a consignment </w:t>
      </w:r>
      <w:r>
        <w:rPr>
          <w:color w:val="231F20"/>
          <w:w w:val="105"/>
          <w:sz w:val="17"/>
        </w:rPr>
        <w:t>with no more than 15 g of fissile nuclides;</w:t>
      </w:r>
    </w:p>
    <w:p>
      <w:pPr>
        <w:pStyle w:val="ListParagraph"/>
        <w:numPr>
          <w:ilvl w:val="0"/>
          <w:numId w:val="3"/>
        </w:numPr>
        <w:tabs>
          <w:tab w:pos="2857" w:val="left" w:leader="none"/>
        </w:tabs>
        <w:spacing w:line="256" w:lineRule="auto" w:before="61" w:after="0"/>
        <w:ind w:left="2857" w:right="848" w:hanging="360"/>
        <w:jc w:val="left"/>
        <w:rPr>
          <w:sz w:val="17"/>
        </w:rPr>
      </w:pPr>
      <w:r>
        <w:rPr>
          <w:color w:val="231F20"/>
          <w:w w:val="105"/>
          <w:sz w:val="17"/>
        </w:rPr>
        <w:t>unpackaged or packaged fissile material classified in accordance with 2.7.2.3.5.5 shall be transported under exclusive use on a conveyance with no more than 45 g of fissile nuclides.</w:t>
      </w:r>
    </w:p>
    <w:p>
      <w:pPr>
        <w:pStyle w:val="BodyText"/>
        <w:spacing w:before="149"/>
      </w:pPr>
    </w:p>
    <w:p>
      <w:pPr>
        <w:pStyle w:val="Heading1"/>
        <w:numPr>
          <w:ilvl w:val="2"/>
          <w:numId w:val="1"/>
        </w:numPr>
        <w:tabs>
          <w:tab w:pos="2497" w:val="left" w:leader="none"/>
        </w:tabs>
        <w:spacing w:line="240" w:lineRule="auto" w:before="1" w:after="0"/>
        <w:ind w:left="2497" w:right="0" w:hanging="1080"/>
        <w:jc w:val="left"/>
      </w:pPr>
      <w:r>
        <w:rPr>
          <w:color w:val="231F20"/>
          <w:w w:val="105"/>
        </w:rPr>
        <w:t>Packages</w:t>
      </w:r>
      <w:r>
        <w:rPr>
          <w:color w:val="231F20"/>
          <w:spacing w:val="-2"/>
          <w:w w:val="105"/>
        </w:rPr>
        <w:t> </w:t>
      </w:r>
      <w:r>
        <w:rPr>
          <w:color w:val="231F20"/>
          <w:w w:val="105"/>
        </w:rPr>
        <w:t>packed</w:t>
      </w:r>
      <w:r>
        <w:rPr>
          <w:color w:val="231F20"/>
          <w:spacing w:val="-1"/>
          <w:w w:val="105"/>
        </w:rPr>
        <w:t> </w:t>
      </w:r>
      <w:r>
        <w:rPr>
          <w:color w:val="231F20"/>
          <w:w w:val="105"/>
        </w:rPr>
        <w:t>into</w:t>
      </w:r>
      <w:r>
        <w:rPr>
          <w:color w:val="231F20"/>
          <w:spacing w:val="-1"/>
          <w:w w:val="105"/>
        </w:rPr>
        <w:t> </w:t>
      </w:r>
      <w:r>
        <w:rPr>
          <w:color w:val="231F20"/>
          <w:w w:val="105"/>
        </w:rPr>
        <w:t>a</w:t>
      </w:r>
      <w:r>
        <w:rPr>
          <w:color w:val="231F20"/>
          <w:spacing w:val="-1"/>
          <w:w w:val="105"/>
        </w:rPr>
        <w:t> </w:t>
      </w:r>
      <w:r>
        <w:rPr>
          <w:color w:val="231F20"/>
          <w:w w:val="105"/>
        </w:rPr>
        <w:t>cargo</w:t>
      </w:r>
      <w:r>
        <w:rPr>
          <w:color w:val="231F20"/>
          <w:spacing w:val="-1"/>
          <w:w w:val="105"/>
        </w:rPr>
        <w:t> </w:t>
      </w:r>
      <w:r>
        <w:rPr>
          <w:color w:val="231F20"/>
          <w:w w:val="105"/>
        </w:rPr>
        <w:t>transport</w:t>
      </w:r>
      <w:r>
        <w:rPr>
          <w:color w:val="231F20"/>
          <w:spacing w:val="-2"/>
          <w:w w:val="105"/>
        </w:rPr>
        <w:t> </w:t>
      </w:r>
      <w:r>
        <w:rPr>
          <w:color w:val="231F20"/>
          <w:spacing w:val="-4"/>
          <w:w w:val="105"/>
        </w:rPr>
        <w:t>unit</w:t>
      </w:r>
    </w:p>
    <w:p>
      <w:pPr>
        <w:pStyle w:val="ListParagraph"/>
        <w:numPr>
          <w:ilvl w:val="3"/>
          <w:numId w:val="1"/>
        </w:numPr>
        <w:tabs>
          <w:tab w:pos="2497" w:val="left" w:leader="none"/>
        </w:tabs>
        <w:spacing w:line="256" w:lineRule="auto" w:before="124" w:after="0"/>
        <w:ind w:left="2497" w:right="848" w:hanging="1080"/>
        <w:jc w:val="both"/>
        <w:rPr>
          <w:color w:val="231F20"/>
          <w:sz w:val="17"/>
        </w:rPr>
      </w:pPr>
      <w:r>
        <w:rPr>
          <w:color w:val="231F20"/>
          <w:w w:val="105"/>
          <w:sz w:val="17"/>
        </w:rPr>
        <w:t>Regardless</w:t>
      </w:r>
      <w:r>
        <w:rPr>
          <w:color w:val="231F20"/>
          <w:w w:val="105"/>
          <w:sz w:val="17"/>
        </w:rPr>
        <w:t> of</w:t>
      </w:r>
      <w:r>
        <w:rPr>
          <w:color w:val="231F20"/>
          <w:w w:val="105"/>
          <w:sz w:val="17"/>
        </w:rPr>
        <w:t> the</w:t>
      </w:r>
      <w:r>
        <w:rPr>
          <w:color w:val="231F20"/>
          <w:w w:val="105"/>
          <w:sz w:val="17"/>
        </w:rPr>
        <w:t> placarding</w:t>
      </w:r>
      <w:r>
        <w:rPr>
          <w:color w:val="231F20"/>
          <w:w w:val="105"/>
          <w:sz w:val="17"/>
        </w:rPr>
        <w:t> and</w:t>
      </w:r>
      <w:r>
        <w:rPr>
          <w:color w:val="231F20"/>
          <w:w w:val="105"/>
          <w:sz w:val="17"/>
        </w:rPr>
        <w:t> marking</w:t>
      </w:r>
      <w:r>
        <w:rPr>
          <w:color w:val="231F20"/>
          <w:w w:val="105"/>
          <w:sz w:val="17"/>
        </w:rPr>
        <w:t> provisions</w:t>
      </w:r>
      <w:r>
        <w:rPr>
          <w:color w:val="231F20"/>
          <w:w w:val="105"/>
          <w:sz w:val="17"/>
        </w:rPr>
        <w:t> for</w:t>
      </w:r>
      <w:r>
        <w:rPr>
          <w:color w:val="231F20"/>
          <w:w w:val="105"/>
          <w:sz w:val="17"/>
        </w:rPr>
        <w:t> cargo</w:t>
      </w:r>
      <w:r>
        <w:rPr>
          <w:color w:val="231F20"/>
          <w:w w:val="105"/>
          <w:sz w:val="17"/>
        </w:rPr>
        <w:t> transport</w:t>
      </w:r>
      <w:r>
        <w:rPr>
          <w:color w:val="231F20"/>
          <w:w w:val="105"/>
          <w:sz w:val="17"/>
        </w:rPr>
        <w:t> units,</w:t>
      </w:r>
      <w:r>
        <w:rPr>
          <w:color w:val="231F20"/>
          <w:w w:val="105"/>
          <w:sz w:val="17"/>
        </w:rPr>
        <w:t> each</w:t>
      </w:r>
      <w:r>
        <w:rPr>
          <w:color w:val="231F20"/>
          <w:w w:val="105"/>
          <w:sz w:val="17"/>
        </w:rPr>
        <w:t> package</w:t>
      </w:r>
      <w:r>
        <w:rPr>
          <w:color w:val="231F20"/>
          <w:w w:val="105"/>
          <w:sz w:val="17"/>
        </w:rPr>
        <w:t> containing dangerous goods packed into a cargo transport unit shall be marked and labelled in accordance with the requirements of chapter 5.2.</w:t>
      </w:r>
    </w:p>
    <w:sectPr>
      <w:headerReference w:type="even" r:id="rId13"/>
      <w:footerReference w:type="even" r:id="rId14"/>
      <w:pgSz w:w="11910" w:h="16840"/>
      <w:pgMar w:header="303" w:footer="570" w:top="1540" w:bottom="760" w:left="0" w:right="0"/>
      <w:pgNumType w:start="284"/>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rbel">
    <w:altName w:val="Corbe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2528">
              <wp:simplePos x="0" y="0"/>
              <wp:positionH relativeFrom="page">
                <wp:posOffset>899999</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933952" id="docshapegroup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83040">
              <wp:simplePos x="0" y="0"/>
              <wp:positionH relativeFrom="page">
                <wp:posOffset>887299</wp:posOffset>
              </wp:positionH>
              <wp:positionV relativeFrom="page">
                <wp:posOffset>10166082</wp:posOffset>
              </wp:positionV>
              <wp:extent cx="277876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933440" type="#_x0000_t202" id="docshape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3552">
              <wp:simplePos x="0" y="0"/>
              <wp:positionH relativeFrom="page">
                <wp:posOffset>6792580</wp:posOffset>
              </wp:positionH>
              <wp:positionV relativeFrom="page">
                <wp:posOffset>10168114</wp:posOffset>
              </wp:positionV>
              <wp:extent cx="240665" cy="1752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269</w:t>
                          </w:r>
                        </w:p>
                      </w:txbxContent>
                    </wps:txbx>
                    <wps:bodyPr wrap="square" lIns="0" tIns="0" rIns="0" bIns="0" rtlCol="0">
                      <a:noAutofit/>
                    </wps:bodyPr>
                  </wps:wsp>
                </a:graphicData>
              </a:graphic>
            </wp:anchor>
          </w:drawing>
        </mc:Choice>
        <mc:Fallback>
          <w:pict>
            <v:shape style="position:absolute;margin-left:534.848877pt;margin-top:800.638916pt;width:18.95pt;height:13.8pt;mso-position-horizontal-relative:page;mso-position-vertical-relative:page;z-index:-15932928" type="#_x0000_t202" id="docshape6" filled="false" stroked="false">
              <v:textbox inset="0,0,0,0">
                <w:txbxContent>
                  <w:p>
                    <w:pPr>
                      <w:spacing w:before="24"/>
                      <w:ind w:left="20" w:right="0" w:firstLine="0"/>
                      <w:jc w:val="left"/>
                      <w:rPr>
                        <w:sz w:val="20"/>
                      </w:rPr>
                    </w:pPr>
                    <w:r>
                      <w:rPr>
                        <w:color w:val="231F20"/>
                        <w:spacing w:val="-5"/>
                        <w:sz w:val="20"/>
                      </w:rPr>
                      <w:t>269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4064">
              <wp:simplePos x="0" y="0"/>
              <wp:positionH relativeFrom="page">
                <wp:posOffset>540000</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932416" id="docshapegroup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84576">
              <wp:simplePos x="0" y="0"/>
              <wp:positionH relativeFrom="page">
                <wp:posOffset>527300</wp:posOffset>
              </wp:positionH>
              <wp:positionV relativeFrom="page">
                <wp:posOffset>10168114</wp:posOffset>
              </wp:positionV>
              <wp:extent cx="233679"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33679" cy="175260"/>
                      </a:xfrm>
                      <a:prstGeom prst="rect">
                        <a:avLst/>
                      </a:prstGeom>
                    </wps:spPr>
                    <wps:txbx>
                      <w:txbxContent>
                        <w:p>
                          <w:pPr>
                            <w:spacing w:before="24"/>
                            <w:ind w:left="20" w:right="0" w:firstLine="0"/>
                            <w:jc w:val="left"/>
                            <w:rPr>
                              <w:sz w:val="20"/>
                            </w:rPr>
                          </w:pPr>
                          <w:r>
                            <w:rPr>
                              <w:color w:val="231F20"/>
                              <w:spacing w:val="-5"/>
                              <w:sz w:val="20"/>
                            </w:rPr>
                            <w:t>270</w:t>
                          </w:r>
                        </w:p>
                      </w:txbxContent>
                    </wps:txbx>
                    <wps:bodyPr wrap="square" lIns="0" tIns="0" rIns="0" bIns="0" rtlCol="0">
                      <a:noAutofit/>
                    </wps:bodyPr>
                  </wps:wsp>
                </a:graphicData>
              </a:graphic>
            </wp:anchor>
          </w:drawing>
        </mc:Choice>
        <mc:Fallback>
          <w:pict>
            <v:shape style="position:absolute;margin-left:41.519699pt;margin-top:800.638916pt;width:18.4pt;height:13.8pt;mso-position-horizontal-relative:page;mso-position-vertical-relative:page;z-index:-15931904" type="#_x0000_t202" id="docshape8" filled="false" stroked="false">
              <v:textbox inset="0,0,0,0">
                <w:txbxContent>
                  <w:p>
                    <w:pPr>
                      <w:spacing w:before="24"/>
                      <w:ind w:left="20" w:right="0" w:firstLine="0"/>
                      <w:jc w:val="left"/>
                      <w:rPr>
                        <w:sz w:val="20"/>
                      </w:rPr>
                    </w:pPr>
                    <w:r>
                      <w:rPr>
                        <w:color w:val="231F20"/>
                        <w:spacing w:val="-5"/>
                        <w:sz w:val="20"/>
                      </w:rPr>
                      <w:t>270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5088">
              <wp:simplePos x="0" y="0"/>
              <wp:positionH relativeFrom="page">
                <wp:posOffset>3894905</wp:posOffset>
              </wp:positionH>
              <wp:positionV relativeFrom="page">
                <wp:posOffset>10166082</wp:posOffset>
              </wp:positionV>
              <wp:extent cx="277876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931392" type="#_x0000_t202" id="docshape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8672">
              <wp:simplePos x="0" y="0"/>
              <wp:positionH relativeFrom="page">
                <wp:posOffset>899999</wp:posOffset>
              </wp:positionH>
              <wp:positionV relativeFrom="page">
                <wp:posOffset>10152002</wp:posOffset>
              </wp:positionV>
              <wp:extent cx="6120130" cy="63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120130" cy="6350"/>
                        <a:chExt cx="6120130" cy="6350"/>
                      </a:xfrm>
                    </wpg:grpSpPr>
                    <wps:wsp>
                      <wps:cNvPr id="25" name="Graphic 2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 name="Graphic 2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927808" id="docshapegroup1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89184">
              <wp:simplePos x="0" y="0"/>
              <wp:positionH relativeFrom="page">
                <wp:posOffset>887299</wp:posOffset>
              </wp:positionH>
              <wp:positionV relativeFrom="page">
                <wp:posOffset>10166082</wp:posOffset>
              </wp:positionV>
              <wp:extent cx="2778760" cy="1778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927296" type="#_x0000_t202" id="docshape1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9696">
              <wp:simplePos x="0" y="0"/>
              <wp:positionH relativeFrom="page">
                <wp:posOffset>6796175</wp:posOffset>
              </wp:positionH>
              <wp:positionV relativeFrom="page">
                <wp:posOffset>10168114</wp:posOffset>
              </wp:positionV>
              <wp:extent cx="236220" cy="1752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36220" cy="175260"/>
                      </a:xfrm>
                      <a:prstGeom prst="rect">
                        <a:avLst/>
                      </a:prstGeom>
                    </wps:spPr>
                    <wps:txbx>
                      <w:txbxContent>
                        <w:p>
                          <w:pPr>
                            <w:spacing w:before="24"/>
                            <w:ind w:left="20" w:right="0" w:firstLine="0"/>
                            <w:jc w:val="left"/>
                            <w:rPr>
                              <w:sz w:val="20"/>
                            </w:rPr>
                          </w:pPr>
                          <w:r>
                            <w:rPr>
                              <w:color w:val="231F20"/>
                              <w:spacing w:val="-5"/>
                              <w:sz w:val="20"/>
                            </w:rPr>
                            <w:t>271</w:t>
                          </w:r>
                        </w:p>
                      </w:txbxContent>
                    </wps:txbx>
                    <wps:bodyPr wrap="square" lIns="0" tIns="0" rIns="0" bIns="0" rtlCol="0">
                      <a:noAutofit/>
                    </wps:bodyPr>
                  </wps:wsp>
                </a:graphicData>
              </a:graphic>
            </wp:anchor>
          </w:drawing>
        </mc:Choice>
        <mc:Fallback>
          <w:pict>
            <v:shape style="position:absolute;margin-left:535.131897pt;margin-top:800.638916pt;width:18.6pt;height:13.8pt;mso-position-horizontal-relative:page;mso-position-vertical-relative:page;z-index:-15926784" type="#_x0000_t202" id="docshape19" filled="false" stroked="false">
              <v:textbox inset="0,0,0,0">
                <w:txbxContent>
                  <w:p>
                    <w:pPr>
                      <w:spacing w:before="24"/>
                      <w:ind w:left="20" w:right="0" w:firstLine="0"/>
                      <w:jc w:val="left"/>
                      <w:rPr>
                        <w:sz w:val="20"/>
                      </w:rPr>
                    </w:pPr>
                    <w:r>
                      <w:rPr>
                        <w:color w:val="231F20"/>
                        <w:spacing w:val="-5"/>
                        <w:sz w:val="20"/>
                      </w:rPr>
                      <w:t>271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0208">
              <wp:simplePos x="0" y="0"/>
              <wp:positionH relativeFrom="page">
                <wp:posOffset>540000</wp:posOffset>
              </wp:positionH>
              <wp:positionV relativeFrom="page">
                <wp:posOffset>10152002</wp:posOffset>
              </wp:positionV>
              <wp:extent cx="6120130" cy="6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120130" cy="6350"/>
                        <a:chExt cx="6120130" cy="6350"/>
                      </a:xfrm>
                    </wpg:grpSpPr>
                    <wps:wsp>
                      <wps:cNvPr id="30" name="Graphic 3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 name="Graphic 3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926272" id="docshapegroup2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90720">
              <wp:simplePos x="0" y="0"/>
              <wp:positionH relativeFrom="page">
                <wp:posOffset>527300</wp:posOffset>
              </wp:positionH>
              <wp:positionV relativeFrom="page">
                <wp:posOffset>10168114</wp:posOffset>
              </wp:positionV>
              <wp:extent cx="233679" cy="17526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33679" cy="175260"/>
                      </a:xfrm>
                      <a:prstGeom prst="rect">
                        <a:avLst/>
                      </a:prstGeom>
                    </wps:spPr>
                    <wps:txbx>
                      <w:txbxContent>
                        <w:p>
                          <w:pPr>
                            <w:spacing w:before="24"/>
                            <w:ind w:left="20" w:right="0" w:firstLine="0"/>
                            <w:jc w:val="left"/>
                            <w:rPr>
                              <w:sz w:val="20"/>
                            </w:rPr>
                          </w:pPr>
                          <w:r>
                            <w:rPr>
                              <w:color w:val="231F20"/>
                              <w:spacing w:val="-5"/>
                              <w:sz w:val="20"/>
                            </w:rPr>
                            <w:t>272</w:t>
                          </w:r>
                        </w:p>
                      </w:txbxContent>
                    </wps:txbx>
                    <wps:bodyPr wrap="square" lIns="0" tIns="0" rIns="0" bIns="0" rtlCol="0">
                      <a:noAutofit/>
                    </wps:bodyPr>
                  </wps:wsp>
                </a:graphicData>
              </a:graphic>
            </wp:anchor>
          </w:drawing>
        </mc:Choice>
        <mc:Fallback>
          <w:pict>
            <v:shape style="position:absolute;margin-left:41.519699pt;margin-top:800.638916pt;width:18.4pt;height:13.8pt;mso-position-horizontal-relative:page;mso-position-vertical-relative:page;z-index:-15925760" type="#_x0000_t202" id="docshape21" filled="false" stroked="false">
              <v:textbox inset="0,0,0,0">
                <w:txbxContent>
                  <w:p>
                    <w:pPr>
                      <w:spacing w:before="24"/>
                      <w:ind w:left="20" w:right="0" w:firstLine="0"/>
                      <w:jc w:val="left"/>
                      <w:rPr>
                        <w:sz w:val="20"/>
                      </w:rPr>
                    </w:pPr>
                    <w:r>
                      <w:rPr>
                        <w:color w:val="231F20"/>
                        <w:spacing w:val="-5"/>
                        <w:sz w:val="20"/>
                      </w:rPr>
                      <w:t>272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1232">
              <wp:simplePos x="0" y="0"/>
              <wp:positionH relativeFrom="page">
                <wp:posOffset>3894905</wp:posOffset>
              </wp:positionH>
              <wp:positionV relativeFrom="page">
                <wp:posOffset>10166082</wp:posOffset>
              </wp:positionV>
              <wp:extent cx="2778760"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925248" type="#_x0000_t202" id="docshape2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3280">
              <wp:simplePos x="0" y="0"/>
              <wp:positionH relativeFrom="page">
                <wp:posOffset>899999</wp:posOffset>
              </wp:positionH>
              <wp:positionV relativeFrom="page">
                <wp:posOffset>10152002</wp:posOffset>
              </wp:positionV>
              <wp:extent cx="6120130" cy="63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120130" cy="6350"/>
                        <a:chExt cx="6120130" cy="6350"/>
                      </a:xfrm>
                    </wpg:grpSpPr>
                    <wps:wsp>
                      <wps:cNvPr id="40" name="Graphic 4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1" name="Graphic 4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923200" id="docshapegroup2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93792">
              <wp:simplePos x="0" y="0"/>
              <wp:positionH relativeFrom="page">
                <wp:posOffset>887299</wp:posOffset>
              </wp:positionH>
              <wp:positionV relativeFrom="page">
                <wp:posOffset>10166082</wp:posOffset>
              </wp:positionV>
              <wp:extent cx="2778760" cy="1778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922688" type="#_x0000_t202" id="docshape2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4304">
              <wp:simplePos x="0" y="0"/>
              <wp:positionH relativeFrom="page">
                <wp:posOffset>6796658</wp:posOffset>
              </wp:positionH>
              <wp:positionV relativeFrom="page">
                <wp:posOffset>10168114</wp:posOffset>
              </wp:positionV>
              <wp:extent cx="234950" cy="17526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34950" cy="175260"/>
                      </a:xfrm>
                      <a:prstGeom prst="rect">
                        <a:avLst/>
                      </a:prstGeom>
                    </wps:spPr>
                    <wps:txbx>
                      <w:txbxContent>
                        <w:p>
                          <w:pPr>
                            <w:spacing w:before="24"/>
                            <w:ind w:left="20" w:right="0" w:firstLine="0"/>
                            <w:jc w:val="left"/>
                            <w:rPr>
                              <w:sz w:val="20"/>
                            </w:rPr>
                          </w:pPr>
                          <w:r>
                            <w:rPr>
                              <w:color w:val="231F20"/>
                              <w:spacing w:val="-5"/>
                              <w:sz w:val="20"/>
                            </w:rPr>
                            <w:t>273</w:t>
                          </w:r>
                        </w:p>
                      </w:txbxContent>
                    </wps:txbx>
                    <wps:bodyPr wrap="square" lIns="0" tIns="0" rIns="0" bIns="0" rtlCol="0">
                      <a:noAutofit/>
                    </wps:bodyPr>
                  </wps:wsp>
                </a:graphicData>
              </a:graphic>
            </wp:anchor>
          </w:drawing>
        </mc:Choice>
        <mc:Fallback>
          <w:pict>
            <v:shape style="position:absolute;margin-left:535.169922pt;margin-top:800.638916pt;width:18.5pt;height:13.8pt;mso-position-horizontal-relative:page;mso-position-vertical-relative:page;z-index:-15922176" type="#_x0000_t202" id="docshape29" filled="false" stroked="false">
              <v:textbox inset="0,0,0,0">
                <w:txbxContent>
                  <w:p>
                    <w:pPr>
                      <w:spacing w:before="24"/>
                      <w:ind w:left="20" w:right="0" w:firstLine="0"/>
                      <w:jc w:val="left"/>
                      <w:rPr>
                        <w:sz w:val="20"/>
                      </w:rPr>
                    </w:pPr>
                    <w:r>
                      <w:rPr>
                        <w:color w:val="231F20"/>
                        <w:spacing w:val="-5"/>
                        <w:sz w:val="20"/>
                      </w:rPr>
                      <w:t>273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0480">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280</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5936000"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280</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0992">
              <wp:simplePos x="0" y="0"/>
              <wp:positionH relativeFrom="page">
                <wp:posOffset>540000</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548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81504">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34976"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82016">
              <wp:simplePos x="0" y="0"/>
              <wp:positionH relativeFrom="page">
                <wp:posOffset>527300</wp:posOffset>
              </wp:positionH>
              <wp:positionV relativeFrom="page">
                <wp:posOffset>608297</wp:posOffset>
              </wp:positionV>
              <wp:extent cx="179451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9451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a:noAutofit/>
                    </wps:bodyPr>
                  </wps:wsp>
                </a:graphicData>
              </a:graphic>
            </wp:anchor>
          </w:drawing>
        </mc:Choice>
        <mc:Fallback>
          <w:pict>
            <v:shape style="position:absolute;margin-left:41.519699pt;margin-top:47.897465pt;width:141.3pt;height:12.35pt;mso-position-horizontal-relative:page;mso-position-vertical-relative:page;z-index:-15934464" type="#_x0000_t202" id="docshape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5600">
              <wp:simplePos x="0" y="0"/>
              <wp:positionH relativeFrom="page">
                <wp:posOffset>899999</wp:posOffset>
              </wp:positionH>
              <wp:positionV relativeFrom="page">
                <wp:posOffset>806719</wp:posOffset>
              </wp:positionV>
              <wp:extent cx="612013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088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86112">
              <wp:simplePos x="0" y="0"/>
              <wp:positionH relativeFrom="page">
                <wp:posOffset>6041519</wp:posOffset>
              </wp:positionH>
              <wp:positionV relativeFrom="page">
                <wp:posOffset>179815</wp:posOffset>
              </wp:positionV>
              <wp:extent cx="1029335" cy="2908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30368" type="#_x0000_t202" id="docshape1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86624">
              <wp:simplePos x="0" y="0"/>
              <wp:positionH relativeFrom="page">
                <wp:posOffset>5308396</wp:posOffset>
              </wp:positionH>
              <wp:positionV relativeFrom="page">
                <wp:posOffset>608297</wp:posOffset>
              </wp:positionV>
              <wp:extent cx="1724660" cy="1568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724660" cy="156845"/>
                      </a:xfrm>
                      <a:prstGeom prst="rect">
                        <a:avLst/>
                      </a:prstGeom>
                    </wps:spPr>
                    <wps:txbx>
                      <w:txbxContent>
                        <w:p>
                          <w:pPr>
                            <w:pStyle w:val="BodyText"/>
                            <w:spacing w:before="28"/>
                            <w:ind w:left="20"/>
                          </w:pPr>
                          <w:r>
                            <w:rPr>
                              <w:color w:val="231F20"/>
                              <w:w w:val="105"/>
                            </w:rPr>
                            <w:t>Chapter</w:t>
                          </w:r>
                          <w:r>
                            <w:rPr>
                              <w:color w:val="231F20"/>
                              <w:spacing w:val="-3"/>
                              <w:w w:val="105"/>
                            </w:rPr>
                            <w:t> </w:t>
                          </w:r>
                          <w:r>
                            <w:rPr>
                              <w:color w:val="231F20"/>
                              <w:w w:val="105"/>
                            </w:rPr>
                            <w:t>5.1</w:t>
                          </w:r>
                          <w:r>
                            <w:rPr>
                              <w:color w:val="231F20"/>
                              <w:spacing w:val="-2"/>
                              <w:w w:val="105"/>
                            </w:rPr>
                            <w:t> </w:t>
                          </w:r>
                          <w:r>
                            <w:rPr>
                              <w:color w:val="231F20"/>
                              <w:w w:val="105"/>
                            </w:rPr>
                            <w:t>–</w:t>
                          </w:r>
                          <w:r>
                            <w:rPr>
                              <w:color w:val="231F20"/>
                              <w:spacing w:val="-2"/>
                              <w:w w:val="105"/>
                            </w:rPr>
                            <w:t> </w:t>
                          </w:r>
                          <w:r>
                            <w:rPr>
                              <w:color w:val="231F20"/>
                              <w:w w:val="105"/>
                            </w:rPr>
                            <w:t>General</w:t>
                          </w:r>
                          <w:r>
                            <w:rPr>
                              <w:color w:val="231F20"/>
                              <w:spacing w:val="-2"/>
                              <w:w w:val="105"/>
                            </w:rPr>
                            <w:t> provisions</w:t>
                          </w:r>
                        </w:p>
                      </w:txbxContent>
                    </wps:txbx>
                    <wps:bodyPr wrap="square" lIns="0" tIns="0" rIns="0" bIns="0" rtlCol="0">
                      <a:noAutofit/>
                    </wps:bodyPr>
                  </wps:wsp>
                </a:graphicData>
              </a:graphic>
            </wp:anchor>
          </w:drawing>
        </mc:Choice>
        <mc:Fallback>
          <w:pict>
            <v:shape style="position:absolute;margin-left:417.984009pt;margin-top:47.897465pt;width:135.8pt;height:12.35pt;mso-position-horizontal-relative:page;mso-position-vertical-relative:page;z-index:-15929856" type="#_x0000_t202" id="docshape14" filled="false" stroked="false">
              <v:textbox inset="0,0,0,0">
                <w:txbxContent>
                  <w:p>
                    <w:pPr>
                      <w:pStyle w:val="BodyText"/>
                      <w:spacing w:before="28"/>
                      <w:ind w:left="20"/>
                    </w:pPr>
                    <w:r>
                      <w:rPr>
                        <w:color w:val="231F20"/>
                        <w:w w:val="105"/>
                      </w:rPr>
                      <w:t>Chapter</w:t>
                    </w:r>
                    <w:r>
                      <w:rPr>
                        <w:color w:val="231F20"/>
                        <w:spacing w:val="-3"/>
                        <w:w w:val="105"/>
                      </w:rPr>
                      <w:t> </w:t>
                    </w:r>
                    <w:r>
                      <w:rPr>
                        <w:color w:val="231F20"/>
                        <w:w w:val="105"/>
                      </w:rPr>
                      <w:t>5.1</w:t>
                    </w:r>
                    <w:r>
                      <w:rPr>
                        <w:color w:val="231F20"/>
                        <w:spacing w:val="-2"/>
                        <w:w w:val="105"/>
                      </w:rPr>
                      <w:t> </w:t>
                    </w:r>
                    <w:r>
                      <w:rPr>
                        <w:color w:val="231F20"/>
                        <w:w w:val="105"/>
                      </w:rPr>
                      <w:t>–</w:t>
                    </w:r>
                    <w:r>
                      <w:rPr>
                        <w:color w:val="231F20"/>
                        <w:spacing w:val="-2"/>
                        <w:w w:val="105"/>
                      </w:rPr>
                      <w:t> </w:t>
                    </w:r>
                    <w:r>
                      <w:rPr>
                        <w:color w:val="231F20"/>
                        <w:w w:val="105"/>
                      </w:rPr>
                      <w:t>General</w:t>
                    </w:r>
                    <w:r>
                      <w:rPr>
                        <w:color w:val="231F20"/>
                        <w:spacing w:val="-2"/>
                        <w:w w:val="105"/>
                      </w:rPr>
                      <w:t> provisions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7136">
              <wp:simplePos x="0" y="0"/>
              <wp:positionH relativeFrom="page">
                <wp:posOffset>540000</wp:posOffset>
              </wp:positionH>
              <wp:positionV relativeFrom="page">
                <wp:posOffset>806719</wp:posOffset>
              </wp:positionV>
              <wp:extent cx="612013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934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87648">
              <wp:simplePos x="0" y="0"/>
              <wp:positionH relativeFrom="page">
                <wp:posOffset>6041519</wp:posOffset>
              </wp:positionH>
              <wp:positionV relativeFrom="page">
                <wp:posOffset>179815</wp:posOffset>
              </wp:positionV>
              <wp:extent cx="1029335" cy="2908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28832" type="#_x0000_t202" id="docshape1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88160">
              <wp:simplePos x="0" y="0"/>
              <wp:positionH relativeFrom="page">
                <wp:posOffset>527300</wp:posOffset>
              </wp:positionH>
              <wp:positionV relativeFrom="page">
                <wp:posOffset>608297</wp:posOffset>
              </wp:positionV>
              <wp:extent cx="1794510" cy="1568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79451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a:noAutofit/>
                    </wps:bodyPr>
                  </wps:wsp>
                </a:graphicData>
              </a:graphic>
            </wp:anchor>
          </w:drawing>
        </mc:Choice>
        <mc:Fallback>
          <w:pict>
            <v:shape style="position:absolute;margin-left:41.519699pt;margin-top:47.897465pt;width:141.3pt;height:12.35pt;mso-position-horizontal-relative:page;mso-position-vertical-relative:page;z-index:-15928320" type="#_x0000_t202" id="docshape1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1744">
              <wp:simplePos x="0" y="0"/>
              <wp:positionH relativeFrom="page">
                <wp:posOffset>899999</wp:posOffset>
              </wp:positionH>
              <wp:positionV relativeFrom="page">
                <wp:posOffset>806719</wp:posOffset>
              </wp:positionV>
              <wp:extent cx="612013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473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92256">
              <wp:simplePos x="0" y="0"/>
              <wp:positionH relativeFrom="page">
                <wp:posOffset>6041519</wp:posOffset>
              </wp:positionH>
              <wp:positionV relativeFrom="page">
                <wp:posOffset>179815</wp:posOffset>
              </wp:positionV>
              <wp:extent cx="1029335" cy="29083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24224" type="#_x0000_t202" id="docshape2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284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92768">
              <wp:simplePos x="0" y="0"/>
              <wp:positionH relativeFrom="page">
                <wp:posOffset>5308396</wp:posOffset>
              </wp:positionH>
              <wp:positionV relativeFrom="page">
                <wp:posOffset>608297</wp:posOffset>
              </wp:positionV>
              <wp:extent cx="1724660" cy="15684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724660" cy="156845"/>
                      </a:xfrm>
                      <a:prstGeom prst="rect">
                        <a:avLst/>
                      </a:prstGeom>
                    </wps:spPr>
                    <wps:txbx>
                      <w:txbxContent>
                        <w:p>
                          <w:pPr>
                            <w:pStyle w:val="BodyText"/>
                            <w:spacing w:before="28"/>
                            <w:ind w:left="20"/>
                          </w:pPr>
                          <w:r>
                            <w:rPr>
                              <w:color w:val="231F20"/>
                              <w:w w:val="105"/>
                            </w:rPr>
                            <w:t>Chapter</w:t>
                          </w:r>
                          <w:r>
                            <w:rPr>
                              <w:color w:val="231F20"/>
                              <w:spacing w:val="-3"/>
                              <w:w w:val="105"/>
                            </w:rPr>
                            <w:t> </w:t>
                          </w:r>
                          <w:r>
                            <w:rPr>
                              <w:color w:val="231F20"/>
                              <w:w w:val="105"/>
                            </w:rPr>
                            <w:t>5.1</w:t>
                          </w:r>
                          <w:r>
                            <w:rPr>
                              <w:color w:val="231F20"/>
                              <w:spacing w:val="-2"/>
                              <w:w w:val="105"/>
                            </w:rPr>
                            <w:t> </w:t>
                          </w:r>
                          <w:r>
                            <w:rPr>
                              <w:color w:val="231F20"/>
                              <w:w w:val="105"/>
                            </w:rPr>
                            <w:t>–</w:t>
                          </w:r>
                          <w:r>
                            <w:rPr>
                              <w:color w:val="231F20"/>
                              <w:spacing w:val="-2"/>
                              <w:w w:val="105"/>
                            </w:rPr>
                            <w:t> </w:t>
                          </w:r>
                          <w:r>
                            <w:rPr>
                              <w:color w:val="231F20"/>
                              <w:w w:val="105"/>
                            </w:rPr>
                            <w:t>General</w:t>
                          </w:r>
                          <w:r>
                            <w:rPr>
                              <w:color w:val="231F20"/>
                              <w:spacing w:val="-2"/>
                              <w:w w:val="105"/>
                            </w:rPr>
                            <w:t> provisions</w:t>
                          </w:r>
                        </w:p>
                      </w:txbxContent>
                    </wps:txbx>
                    <wps:bodyPr wrap="square" lIns="0" tIns="0" rIns="0" bIns="0" rtlCol="0">
                      <a:noAutofit/>
                    </wps:bodyPr>
                  </wps:wsp>
                </a:graphicData>
              </a:graphic>
            </wp:anchor>
          </w:drawing>
        </mc:Choice>
        <mc:Fallback>
          <w:pict>
            <v:shape style="position:absolute;margin-left:417.984009pt;margin-top:47.897465pt;width:135.8pt;height:12.35pt;mso-position-horizontal-relative:page;mso-position-vertical-relative:page;z-index:-15923712" type="#_x0000_t202" id="docshape26" filled="false" stroked="false">
              <v:textbox inset="0,0,0,0">
                <w:txbxContent>
                  <w:p>
                    <w:pPr>
                      <w:pStyle w:val="BodyText"/>
                      <w:spacing w:before="28"/>
                      <w:ind w:left="20"/>
                    </w:pPr>
                    <w:r>
                      <w:rPr>
                        <w:color w:val="231F20"/>
                        <w:w w:val="105"/>
                      </w:rPr>
                      <w:t>Chapter</w:t>
                    </w:r>
                    <w:r>
                      <w:rPr>
                        <w:color w:val="231F20"/>
                        <w:spacing w:val="-3"/>
                        <w:w w:val="105"/>
                      </w:rPr>
                      <w:t> </w:t>
                    </w:r>
                    <w:r>
                      <w:rPr>
                        <w:color w:val="231F20"/>
                        <w:w w:val="105"/>
                      </w:rPr>
                      <w:t>5.1</w:t>
                    </w:r>
                    <w:r>
                      <w:rPr>
                        <w:color w:val="231F20"/>
                        <w:spacing w:val="-2"/>
                        <w:w w:val="105"/>
                      </w:rPr>
                      <w:t> </w:t>
                    </w:r>
                    <w:r>
                      <w:rPr>
                        <w:color w:val="231F20"/>
                        <w:w w:val="105"/>
                      </w:rPr>
                      <w:t>–</w:t>
                    </w:r>
                    <w:r>
                      <w:rPr>
                        <w:color w:val="231F20"/>
                        <w:spacing w:val="-2"/>
                        <w:w w:val="105"/>
                      </w:rPr>
                      <w:t> </w:t>
                    </w:r>
                    <w:r>
                      <w:rPr>
                        <w:color w:val="231F20"/>
                        <w:w w:val="105"/>
                      </w:rPr>
                      <w:t>General</w:t>
                    </w:r>
                    <w:r>
                      <w:rPr>
                        <w:color w:val="231F20"/>
                        <w:spacing w:val="-2"/>
                        <w:w w:val="105"/>
                      </w:rPr>
                      <w:t> provisions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5"/>
      <w:numFmt w:val="decimal"/>
      <w:lvlText w:val="%1"/>
      <w:lvlJc w:val="left"/>
      <w:pPr>
        <w:ind w:left="2497" w:hanging="1080"/>
        <w:jc w:val="left"/>
      </w:pPr>
      <w:rPr>
        <w:rFonts w:hint="default"/>
        <w:lang w:val="en-US" w:eastAsia="en-US" w:bidi="ar-SA"/>
      </w:rPr>
    </w:lvl>
    <w:lvl w:ilvl="1">
      <w:start w:val="1"/>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2497" w:hanging="1080"/>
        <w:jc w:val="left"/>
      </w:pPr>
      <w:rPr>
        <w:rFonts w:hint="default"/>
        <w:spacing w:val="-10"/>
        <w:w w:val="102"/>
        <w:lang w:val="en-US" w:eastAsia="en-US" w:bidi="ar-SA"/>
      </w:rPr>
    </w:lvl>
    <w:lvl w:ilvl="4">
      <w:start w:val="1"/>
      <w:numFmt w:val="decimal"/>
      <w:lvlText w:val="%1.%2.%3.%4.%5"/>
      <w:lvlJc w:val="left"/>
      <w:pPr>
        <w:ind w:left="2497" w:hanging="1080"/>
        <w:jc w:val="left"/>
      </w:pPr>
      <w:rPr>
        <w:rFonts w:hint="default"/>
        <w:spacing w:val="-10"/>
        <w:w w:val="102"/>
        <w:lang w:val="en-US" w:eastAsia="en-US" w:bidi="ar-SA"/>
      </w:rPr>
    </w:lvl>
    <w:lvl w:ilvl="5">
      <w:start w:val="1"/>
      <w:numFmt w:val="decimal"/>
      <w:lvlText w:val=".%6"/>
      <w:lvlJc w:val="left"/>
      <w:pPr>
        <w:ind w:left="228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1"/>
      <w:numFmt w:val="decimal"/>
      <w:lvlText w:val=".%7"/>
      <w:lvlJc w:val="left"/>
      <w:pPr>
        <w:ind w:left="321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6694" w:hanging="1080"/>
      </w:pPr>
      <w:rPr>
        <w:rFonts w:hint="default"/>
        <w:lang w:val="en-US" w:eastAsia="en-US" w:bidi="ar-SA"/>
      </w:rPr>
    </w:lvl>
    <w:lvl w:ilvl="8">
      <w:start w:val="0"/>
      <w:numFmt w:val="bullet"/>
      <w:lvlText w:val="•"/>
      <w:lvlJc w:val="left"/>
      <w:pPr>
        <w:ind w:left="8431" w:hanging="108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2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1927"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497"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50"/>
      <w:ind w:left="11"/>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2026-06-20T03:08:50Z</dcterms:created>
  <dcterms:modified xsi:type="dcterms:W3CDTF">2026-06-20T03:08:50Z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