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93"/>
        <w:rPr>
          <w:rFonts w:ascii="Times New Roman"/>
          <w:sz w:val="40"/>
        </w:rPr>
      </w:pPr>
    </w:p>
    <w:p>
      <w:pPr>
        <w:spacing w:before="0"/>
        <w:ind w:left="850" w:right="0" w:firstLine="0"/>
        <w:jc w:val="left"/>
        <w:rPr>
          <w:sz w:val="40"/>
        </w:rPr>
      </w:pPr>
      <w:r>
        <w:rPr>
          <w:color w:val="231F20"/>
          <w:sz w:val="40"/>
        </w:rPr>
        <w:t>Chapter</w:t>
      </w:r>
      <w:r>
        <w:rPr>
          <w:color w:val="231F20"/>
          <w:spacing w:val="33"/>
          <w:sz w:val="40"/>
        </w:rPr>
        <w:t> </w:t>
      </w:r>
      <w:r>
        <w:rPr>
          <w:color w:val="231F20"/>
          <w:spacing w:val="-5"/>
          <w:sz w:val="40"/>
        </w:rPr>
        <w:t>7.4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60953</wp:posOffset>
                </wp:positionV>
                <wp:extent cx="612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4.799462pt;width:481.9pt;height:.1pt;mso-position-horizontal-relative:page;mso-position-vertical-relative:paragraph;z-index:-15728640;mso-wrap-distance-left:0;mso-wrap-distance-right:0" id="docshape2" coordorigin="850,96" coordsize="9638,0" path="m850,96l10488,96e" filled="false" stroked="true" strokeweight="2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850" w:right="0" w:firstLine="0"/>
        <w:jc w:val="left"/>
        <w:rPr>
          <w:rFonts w:ascii="Arial"/>
          <w:i/>
          <w:sz w:val="36"/>
        </w:rPr>
      </w:pPr>
      <w:r>
        <w:rPr>
          <w:rFonts w:ascii="Arial"/>
          <w:i/>
          <w:color w:val="231F20"/>
          <w:sz w:val="36"/>
        </w:rPr>
        <w:t>Stowage</w:t>
      </w:r>
      <w:r>
        <w:rPr>
          <w:rFonts w:ascii="Arial"/>
          <w:i/>
          <w:color w:val="231F20"/>
          <w:spacing w:val="-9"/>
          <w:sz w:val="36"/>
        </w:rPr>
        <w:t> </w:t>
      </w:r>
      <w:r>
        <w:rPr>
          <w:rFonts w:ascii="Arial"/>
          <w:i/>
          <w:color w:val="231F20"/>
          <w:sz w:val="36"/>
        </w:rPr>
        <w:t>and</w:t>
      </w:r>
      <w:r>
        <w:rPr>
          <w:rFonts w:ascii="Arial"/>
          <w:i/>
          <w:color w:val="231F20"/>
          <w:spacing w:val="-9"/>
          <w:sz w:val="36"/>
        </w:rPr>
        <w:t> </w:t>
      </w:r>
      <w:r>
        <w:rPr>
          <w:rFonts w:ascii="Arial"/>
          <w:i/>
          <w:color w:val="231F20"/>
          <w:sz w:val="36"/>
        </w:rPr>
        <w:t>segregation</w:t>
      </w:r>
      <w:r>
        <w:rPr>
          <w:rFonts w:ascii="Arial"/>
          <w:i/>
          <w:color w:val="231F20"/>
          <w:spacing w:val="-8"/>
          <w:sz w:val="36"/>
        </w:rPr>
        <w:t> </w:t>
      </w:r>
      <w:r>
        <w:rPr>
          <w:rFonts w:ascii="Arial"/>
          <w:i/>
          <w:color w:val="231F20"/>
          <w:sz w:val="36"/>
        </w:rPr>
        <w:t>on</w:t>
      </w:r>
      <w:r>
        <w:rPr>
          <w:rFonts w:ascii="Arial"/>
          <w:i/>
          <w:color w:val="231F20"/>
          <w:spacing w:val="-9"/>
          <w:sz w:val="36"/>
        </w:rPr>
        <w:t> </w:t>
      </w:r>
      <w:r>
        <w:rPr>
          <w:rFonts w:ascii="Arial"/>
          <w:i/>
          <w:color w:val="231F20"/>
          <w:spacing w:val="-2"/>
          <w:sz w:val="36"/>
        </w:rPr>
        <w:t>containerships</w:t>
      </w:r>
    </w:p>
    <w:p>
      <w:pPr>
        <w:pStyle w:val="BodyText"/>
        <w:spacing w:before="169"/>
        <w:rPr>
          <w:rFonts w:ascii="Arial"/>
          <w:i/>
          <w:sz w:val="36"/>
        </w:rPr>
      </w:pPr>
    </w:p>
    <w:p>
      <w:pPr>
        <w:pStyle w:val="BodyText"/>
        <w:tabs>
          <w:tab w:pos="1930" w:val="left" w:leader="none"/>
        </w:tabs>
        <w:spacing w:line="256" w:lineRule="auto"/>
        <w:ind w:left="1930" w:right="1415" w:hanging="1080"/>
        <w:jc w:val="both"/>
      </w:pPr>
      <w:r>
        <w:rPr>
          <w:color w:val="231F20"/>
          <w:spacing w:val="-4"/>
          <w:w w:val="105"/>
        </w:rPr>
        <w:t>Note:</w:t>
      </w:r>
      <w:r>
        <w:rPr>
          <w:color w:val="231F20"/>
        </w:rPr>
        <w:tab/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facilitate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familiarization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these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requirements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support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training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relevant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personnel,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illustrations applicable to the segregation requirements on containerships are given in MSC.1/Circ.1440.</w:t>
      </w:r>
    </w:p>
    <w:p>
      <w:pPr>
        <w:pStyle w:val="BodyText"/>
        <w:spacing w:before="158"/>
      </w:pPr>
    </w:p>
    <w:p>
      <w:pPr>
        <w:pStyle w:val="Heading1"/>
        <w:numPr>
          <w:ilvl w:val="2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</w:pPr>
      <w:r>
        <w:rPr>
          <w:color w:val="231F20"/>
          <w:spacing w:val="-2"/>
          <w:w w:val="105"/>
        </w:rPr>
        <w:t>Introduction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33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The provisions of this chapter apply to the stowage and segregation of containers which meet the definition of a container within the terms of the </w:t>
      </w:r>
      <w:r>
        <w:rPr>
          <w:rFonts w:ascii="Arial"/>
          <w:i/>
          <w:color w:val="231F20"/>
          <w:w w:val="105"/>
          <w:sz w:val="17"/>
        </w:rPr>
        <w:t>International Convention for Safe Containers, 1972 </w:t>
      </w:r>
      <w:r>
        <w:rPr>
          <w:color w:val="231F20"/>
          <w:w w:val="105"/>
          <w:sz w:val="17"/>
        </w:rPr>
        <w:t>(CSC Convention), as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amended,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which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are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transported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deck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holds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containerships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deck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in the cargo holds of other types of ships provided that these stowage positions are properly fitted to give a permanent stowage of containers during transport.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56" w:lineRule="auto" w:before="133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For ships carrying containers in conventional cargo spaces not properly fitted for the permanent stowage of containers the provisions of chapter 7.6 apply.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40" w:lineRule="auto" w:before="130" w:after="0"/>
        <w:ind w:left="1930" w:right="0" w:hanging="1080"/>
        <w:jc w:val="left"/>
        <w:rPr>
          <w:color w:val="231F20"/>
          <w:sz w:val="17"/>
        </w:rPr>
      </w:pPr>
      <w:r>
        <w:rPr>
          <w:color w:val="231F20"/>
          <w:sz w:val="17"/>
        </w:rPr>
        <w:t>For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stowage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of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FISH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MEAL, UNSTABILIZED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(UN 1374),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FISH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MEAL, STABILIZED</w:t>
      </w:r>
      <w:r>
        <w:rPr>
          <w:color w:val="231F20"/>
          <w:spacing w:val="-1"/>
          <w:sz w:val="17"/>
        </w:rPr>
        <w:t> </w:t>
      </w:r>
      <w:r>
        <w:rPr>
          <w:color w:val="231F20"/>
          <w:sz w:val="17"/>
        </w:rPr>
        <w:t>(UN 2216) and KRILL</w:t>
      </w:r>
      <w:r>
        <w:rPr>
          <w:color w:val="231F20"/>
          <w:spacing w:val="-1"/>
          <w:sz w:val="17"/>
        </w:rPr>
        <w:t> </w:t>
      </w:r>
      <w:r>
        <w:rPr>
          <w:color w:val="231F20"/>
          <w:spacing w:val="-4"/>
          <w:sz w:val="17"/>
        </w:rPr>
        <w:t>MEAL</w:t>
      </w:r>
    </w:p>
    <w:p>
      <w:pPr>
        <w:pStyle w:val="BodyText"/>
        <w:spacing w:before="15"/>
        <w:ind w:left="1930"/>
      </w:pPr>
      <w:r>
        <w:rPr>
          <w:color w:val="231F20"/>
        </w:rPr>
        <w:t>(UN</w:t>
      </w:r>
      <w:r>
        <w:rPr>
          <w:color w:val="231F20"/>
          <w:spacing w:val="10"/>
        </w:rPr>
        <w:t> </w:t>
      </w:r>
      <w:r>
        <w:rPr>
          <w:color w:val="231F20"/>
        </w:rPr>
        <w:t>3497)</w:t>
      </w:r>
      <w:r>
        <w:rPr>
          <w:color w:val="231F20"/>
          <w:spacing w:val="11"/>
        </w:rPr>
        <w:t> </w:t>
      </w:r>
      <w:r>
        <w:rPr>
          <w:color w:val="231F20"/>
        </w:rPr>
        <w:t>in</w:t>
      </w:r>
      <w:r>
        <w:rPr>
          <w:color w:val="231F20"/>
          <w:spacing w:val="11"/>
        </w:rPr>
        <w:t> </w:t>
      </w:r>
      <w:r>
        <w:rPr>
          <w:color w:val="231F20"/>
        </w:rPr>
        <w:t>containers,</w:t>
      </w:r>
      <w:r>
        <w:rPr>
          <w:color w:val="231F20"/>
          <w:spacing w:val="11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provisions</w:t>
      </w:r>
      <w:r>
        <w:rPr>
          <w:color w:val="231F20"/>
          <w:spacing w:val="11"/>
        </w:rPr>
        <w:t> </w:t>
      </w:r>
      <w:r>
        <w:rPr>
          <w:color w:val="231F20"/>
        </w:rPr>
        <w:t>of</w:t>
      </w:r>
      <w:r>
        <w:rPr>
          <w:color w:val="231F20"/>
          <w:spacing w:val="11"/>
        </w:rPr>
        <w:t> </w:t>
      </w:r>
      <w:r>
        <w:rPr>
          <w:color w:val="231F20"/>
        </w:rPr>
        <w:t>7.6.2.7.2.2</w:t>
      </w:r>
      <w:r>
        <w:rPr>
          <w:color w:val="231F20"/>
          <w:spacing w:val="11"/>
        </w:rPr>
        <w:t> </w:t>
      </w:r>
      <w:r>
        <w:rPr>
          <w:color w:val="231F20"/>
        </w:rPr>
        <w:t>also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apply.</w:t>
      </w:r>
    </w:p>
    <w:p>
      <w:pPr>
        <w:pStyle w:val="ListParagraph"/>
        <w:numPr>
          <w:ilvl w:val="3"/>
          <w:numId w:val="1"/>
        </w:numPr>
        <w:tabs>
          <w:tab w:pos="1930" w:val="left" w:leader="none"/>
        </w:tabs>
        <w:spacing w:line="240" w:lineRule="auto" w:before="143" w:after="0"/>
        <w:ind w:left="1930" w:right="0" w:hanging="1080"/>
        <w:jc w:val="left"/>
        <w:rPr>
          <w:color w:val="231F20"/>
          <w:sz w:val="17"/>
        </w:rPr>
      </w:pPr>
      <w:r>
        <w:rPr>
          <w:color w:val="231F20"/>
          <w:sz w:val="17"/>
        </w:rPr>
        <w:t>For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stowage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of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AMMONIUM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NITRATE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(UN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1942),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AMMONIUM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NITRATE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BASED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FERTILIZER</w:t>
      </w:r>
      <w:r>
        <w:rPr>
          <w:color w:val="231F20"/>
          <w:spacing w:val="5"/>
          <w:sz w:val="17"/>
        </w:rPr>
        <w:t> </w:t>
      </w:r>
      <w:r>
        <w:rPr>
          <w:color w:val="231F20"/>
          <w:sz w:val="17"/>
        </w:rPr>
        <w:t>(UN</w:t>
      </w:r>
      <w:r>
        <w:rPr>
          <w:color w:val="231F20"/>
          <w:spacing w:val="6"/>
          <w:sz w:val="17"/>
        </w:rPr>
        <w:t> </w:t>
      </w:r>
      <w:r>
        <w:rPr>
          <w:color w:val="231F20"/>
          <w:sz w:val="17"/>
        </w:rPr>
        <w:t>2067</w:t>
      </w:r>
      <w:r>
        <w:rPr>
          <w:color w:val="231F20"/>
          <w:spacing w:val="5"/>
          <w:sz w:val="17"/>
        </w:rPr>
        <w:t> </w:t>
      </w:r>
      <w:r>
        <w:rPr>
          <w:color w:val="231F20"/>
          <w:spacing w:val="-5"/>
          <w:sz w:val="17"/>
        </w:rPr>
        <w:t>AND</w:t>
      </w:r>
    </w:p>
    <w:p>
      <w:pPr>
        <w:pStyle w:val="BodyText"/>
        <w:spacing w:before="15"/>
        <w:ind w:left="1930"/>
      </w:pPr>
      <w:r>
        <w:rPr>
          <w:color w:val="231F20"/>
        </w:rPr>
        <w:t>2071)</w:t>
      </w:r>
      <w:r>
        <w:rPr>
          <w:color w:val="231F20"/>
          <w:spacing w:val="8"/>
        </w:rPr>
        <w:t> </w:t>
      </w:r>
      <w:r>
        <w:rPr>
          <w:color w:val="231F20"/>
        </w:rPr>
        <w:t>in</w:t>
      </w:r>
      <w:r>
        <w:rPr>
          <w:color w:val="231F20"/>
          <w:spacing w:val="9"/>
        </w:rPr>
        <w:t> </w:t>
      </w:r>
      <w:r>
        <w:rPr>
          <w:color w:val="231F20"/>
        </w:rPr>
        <w:t>containers,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applicable</w:t>
      </w:r>
      <w:r>
        <w:rPr>
          <w:color w:val="231F20"/>
          <w:spacing w:val="9"/>
        </w:rPr>
        <w:t> </w:t>
      </w:r>
      <w:r>
        <w:rPr>
          <w:color w:val="231F20"/>
        </w:rPr>
        <w:t>provisions</w:t>
      </w:r>
      <w:r>
        <w:rPr>
          <w:color w:val="231F20"/>
          <w:spacing w:val="8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7.6.2.8.4</w:t>
      </w:r>
      <w:r>
        <w:rPr>
          <w:color w:val="231F20"/>
          <w:spacing w:val="8"/>
        </w:rPr>
        <w:t> </w:t>
      </w:r>
      <w:r>
        <w:rPr>
          <w:color w:val="231F20"/>
        </w:rPr>
        <w:t>and</w:t>
      </w:r>
      <w:r>
        <w:rPr>
          <w:color w:val="231F20"/>
          <w:spacing w:val="9"/>
        </w:rPr>
        <w:t> </w:t>
      </w:r>
      <w:r>
        <w:rPr>
          <w:color w:val="231F20"/>
        </w:rPr>
        <w:t>7.6.2.11.1</w:t>
      </w:r>
      <w:r>
        <w:rPr>
          <w:color w:val="231F20"/>
          <w:spacing w:val="9"/>
        </w:rPr>
        <w:t> </w:t>
      </w:r>
      <w:r>
        <w:rPr>
          <w:color w:val="231F20"/>
        </w:rPr>
        <w:t>also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apply.</w:t>
      </w:r>
    </w:p>
    <w:p>
      <w:pPr>
        <w:pStyle w:val="BodyText"/>
        <w:spacing w:before="171"/>
      </w:pPr>
    </w:p>
    <w:p>
      <w:pPr>
        <w:pStyle w:val="Heading1"/>
        <w:numPr>
          <w:ilvl w:val="2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</w:pPr>
      <w:r>
        <w:rPr>
          <w:color w:val="231F20"/>
          <w:spacing w:val="-2"/>
          <w:w w:val="105"/>
        </w:rPr>
        <w:t>Stowage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requirements</w:t>
      </w:r>
    </w:p>
    <w:p>
      <w:pPr>
        <w:pStyle w:val="BodyText"/>
        <w:spacing w:before="30"/>
        <w:rPr>
          <w:sz w:val="22"/>
        </w:rPr>
      </w:pPr>
    </w:p>
    <w:p>
      <w:pPr>
        <w:pStyle w:val="Heading2"/>
        <w:numPr>
          <w:ilvl w:val="3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  <w:rPr>
          <w:color w:val="231F20"/>
        </w:rPr>
      </w:pPr>
      <w:r>
        <w:rPr>
          <w:color w:val="231F20"/>
          <w:w w:val="105"/>
        </w:rPr>
        <w:t>Provisions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hatchless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containerships</w:t>
      </w:r>
    </w:p>
    <w:p>
      <w:pPr>
        <w:pStyle w:val="BodyText"/>
        <w:spacing w:before="142"/>
        <w:ind w:left="1930"/>
        <w:jc w:val="both"/>
      </w:pPr>
      <w:r>
        <w:rPr>
          <w:color w:val="231F20"/>
          <w:w w:val="105"/>
        </w:rPr>
        <w:t>Dangerous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goods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shall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only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transported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vertically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above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hatchless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container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holds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5"/>
          <w:w w:val="105"/>
        </w:rPr>
        <w:t>if: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56" w:lineRule="auto" w:before="83" w:after="0"/>
        <w:ind w:left="2290" w:right="1416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 dangerous goods are permitted for under deck stowage as specified in the Dangerous Goods List; </w:t>
      </w:r>
      <w:r>
        <w:rPr>
          <w:color w:val="231F20"/>
          <w:spacing w:val="-4"/>
          <w:w w:val="105"/>
          <w:sz w:val="17"/>
        </w:rPr>
        <w:t>and</w:t>
      </w:r>
    </w:p>
    <w:p>
      <w:pPr>
        <w:pStyle w:val="ListParagraph"/>
        <w:numPr>
          <w:ilvl w:val="0"/>
          <w:numId w:val="2"/>
        </w:numPr>
        <w:tabs>
          <w:tab w:pos="2288" w:val="left" w:leader="none"/>
          <w:tab w:pos="2290" w:val="left" w:leader="none"/>
        </w:tabs>
        <w:spacing w:line="256" w:lineRule="auto" w:before="70" w:after="0"/>
        <w:ind w:left="2290" w:right="1415" w:hanging="360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hatchless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container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hold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full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compliance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provisions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regulation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II-2/19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23"/>
          <w:w w:val="105"/>
          <w:sz w:val="17"/>
        </w:rPr>
        <w:t> </w:t>
      </w:r>
      <w:r>
        <w:rPr>
          <w:color w:val="231F20"/>
          <w:w w:val="105"/>
          <w:sz w:val="17"/>
        </w:rPr>
        <w:t>SOLAS, as amended, or regulation II-2/54 of SOLAS, as amended by the resolutions indicated in II-2/1.2.1, as </w:t>
      </w:r>
      <w:r>
        <w:rPr>
          <w:color w:val="231F20"/>
          <w:spacing w:val="-2"/>
          <w:w w:val="105"/>
          <w:sz w:val="17"/>
        </w:rPr>
        <w:t>applicable.</w:t>
      </w:r>
    </w:p>
    <w:p>
      <w:pPr>
        <w:pStyle w:val="BodyText"/>
        <w:spacing w:before="87"/>
      </w:pPr>
    </w:p>
    <w:p>
      <w:pPr>
        <w:pStyle w:val="Heading2"/>
        <w:numPr>
          <w:ilvl w:val="3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  <w:rPr>
          <w:color w:val="231F20"/>
        </w:rPr>
      </w:pPr>
      <w:r>
        <w:rPr>
          <w:color w:val="231F20"/>
          <w:w w:val="105"/>
        </w:rPr>
        <w:t>Provisions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ships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partially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weathertight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hatchway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covers</w:t>
      </w:r>
    </w:p>
    <w:p>
      <w:pPr>
        <w:pStyle w:val="BodyText"/>
        <w:spacing w:before="5"/>
        <w:rPr>
          <w:sz w:val="18"/>
        </w:rPr>
      </w:pPr>
    </w:p>
    <w:p>
      <w:pPr>
        <w:pStyle w:val="Heading3"/>
        <w:numPr>
          <w:ilvl w:val="4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  <w:rPr>
          <w:rFonts w:ascii="Times New Roman"/>
          <w:i w:val="0"/>
        </w:rPr>
      </w:pPr>
      <w:r>
        <w:rPr>
          <w:color w:val="231F20"/>
          <w:w w:val="105"/>
        </w:rPr>
        <w:t>Provisions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partially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weathertight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hatchway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covers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effective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2"/>
          <w:w w:val="105"/>
        </w:rPr>
        <w:t>gutterbars</w:t>
      </w:r>
      <w:r>
        <w:rPr>
          <w:rFonts w:ascii="Times New Roman"/>
          <w:i w:val="0"/>
          <w:color w:val="231F20"/>
          <w:spacing w:val="-2"/>
          <w:w w:val="105"/>
          <w:vertAlign w:val="superscript"/>
        </w:rPr>
        <w:t>*</w:t>
      </w:r>
    </w:p>
    <w:p>
      <w:pPr>
        <w:pStyle w:val="ListParagraph"/>
        <w:numPr>
          <w:ilvl w:val="5"/>
          <w:numId w:val="1"/>
        </w:numPr>
        <w:tabs>
          <w:tab w:pos="1925" w:val="left" w:leader="none"/>
          <w:tab w:pos="1930" w:val="left" w:leader="none"/>
        </w:tabs>
        <w:spacing w:line="256" w:lineRule="auto" w:before="140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Partially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weathertight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hatchway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covers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fitted</w:t>
      </w:r>
      <w:r>
        <w:rPr>
          <w:color w:val="231F20"/>
          <w:spacing w:val="38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38"/>
          <w:w w:val="105"/>
          <w:sz w:val="17"/>
        </w:rPr>
        <w:t> </w:t>
      </w:r>
      <w:r>
        <w:rPr>
          <w:rFonts w:ascii="Arial" w:hAnsi="Arial"/>
          <w:i/>
          <w:color w:val="231F20"/>
          <w:w w:val="105"/>
          <w:sz w:val="17"/>
        </w:rPr>
        <w:t>effective</w:t>
      </w:r>
      <w:r>
        <w:rPr>
          <w:rFonts w:ascii="Arial" w:hAnsi="Arial"/>
          <w:i/>
          <w:color w:val="231F20"/>
          <w:spacing w:val="38"/>
          <w:w w:val="105"/>
          <w:sz w:val="17"/>
        </w:rPr>
        <w:t> </w:t>
      </w:r>
      <w:r>
        <w:rPr>
          <w:rFonts w:ascii="Arial" w:hAnsi="Arial"/>
          <w:i/>
          <w:color w:val="231F20"/>
          <w:w w:val="105"/>
          <w:sz w:val="17"/>
        </w:rPr>
        <w:t>gutterbars</w:t>
      </w:r>
      <w:r>
        <w:rPr>
          <w:rFonts w:ascii="Times New Roman" w:hAns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 w:hAnsi="Times New Roman"/>
          <w:color w:val="231F20"/>
          <w:spacing w:val="4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can</w:t>
      </w:r>
      <w:r>
        <w:rPr>
          <w:color w:val="231F20"/>
          <w:spacing w:val="38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be</w:t>
      </w:r>
      <w:r>
        <w:rPr>
          <w:color w:val="231F20"/>
          <w:spacing w:val="38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regarded</w:t>
      </w:r>
      <w:r>
        <w:rPr>
          <w:color w:val="231F20"/>
          <w:spacing w:val="38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as</w:t>
      </w:r>
      <w:r>
        <w:rPr>
          <w:color w:val="231F20"/>
          <w:spacing w:val="38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“resistant</w:t>
      </w:r>
      <w:r>
        <w:rPr>
          <w:color w:val="231F20"/>
          <w:spacing w:val="38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to fire and liquid” for the purpose of stowage and segregation of containers containing dangerous goods on </w:t>
      </w:r>
      <w:r>
        <w:rPr>
          <w:color w:val="231F20"/>
          <w:sz w:val="17"/>
          <w:vertAlign w:val="baseline"/>
        </w:rPr>
        <w:t>containerships fitted with such hatchway covers. Additionally segregation requirements shall be in accordance </w:t>
      </w:r>
      <w:r>
        <w:rPr>
          <w:color w:val="231F20"/>
          <w:w w:val="105"/>
          <w:sz w:val="17"/>
          <w:vertAlign w:val="baseline"/>
        </w:rPr>
        <w:t>with the requirements in paragraph 7.4.3.2.</w:t>
      </w:r>
    </w:p>
    <w:p>
      <w:pPr>
        <w:pStyle w:val="ListParagraph"/>
        <w:numPr>
          <w:ilvl w:val="5"/>
          <w:numId w:val="1"/>
        </w:numPr>
        <w:tabs>
          <w:tab w:pos="1925" w:val="left" w:leader="none"/>
          <w:tab w:pos="1930" w:val="left" w:leader="none"/>
        </w:tabs>
        <w:spacing w:line="256" w:lineRule="auto" w:before="132" w:after="0"/>
        <w:ind w:left="1930" w:right="1414" w:hanging="1080"/>
        <w:jc w:val="both"/>
        <w:rPr>
          <w:color w:val="231F20"/>
          <w:sz w:val="17"/>
        </w:rPr>
      </w:pPr>
      <w:r>
        <w:rPr>
          <w:color w:val="231F20"/>
          <w:w w:val="105"/>
          <w:sz w:val="17"/>
        </w:rPr>
        <w:t>When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“not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in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same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vertical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line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unless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separated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by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deck”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required,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containers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containing</w:t>
      </w:r>
      <w:r>
        <w:rPr>
          <w:color w:val="231F20"/>
          <w:spacing w:val="-4"/>
          <w:w w:val="105"/>
          <w:sz w:val="17"/>
        </w:rPr>
        <w:t> </w:t>
      </w:r>
      <w:r>
        <w:rPr>
          <w:color w:val="231F20"/>
          <w:w w:val="105"/>
          <w:sz w:val="17"/>
        </w:rPr>
        <w:t>dangerous goods shall not be stowed in any tier directly above a </w:t>
      </w:r>
      <w:r>
        <w:rPr>
          <w:rFonts w:ascii="Arial" w:hAnsi="Arial"/>
          <w:i/>
          <w:color w:val="231F20"/>
          <w:w w:val="105"/>
          <w:sz w:val="17"/>
        </w:rPr>
        <w:t>clear gap</w:t>
      </w:r>
      <w:r>
        <w:rPr>
          <w:rFonts w:ascii="Times New Roman" w:hAns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 w:hAnsi="Times New Roman"/>
          <w:color w:val="231F2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unless the cargo hold complies with the relevant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requirements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for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the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class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and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flashpoint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of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the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dangerous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goods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in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regulation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II-2/19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of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SOLAS</w:t>
      </w:r>
      <w:r>
        <w:rPr>
          <w:color w:val="231F20"/>
          <w:spacing w:val="-2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74, as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amended,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or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regulation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II-2/54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of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SOLAS,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as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amended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by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resolutions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indicated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in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II-2/1.2.1,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as</w:t>
      </w:r>
      <w:r>
        <w:rPr>
          <w:color w:val="231F20"/>
          <w:spacing w:val="-6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applicable. Additionally, containers containing incompatible dangerous goods shall not be stowed within the relevant </w:t>
      </w:r>
      <w:r>
        <w:rPr>
          <w:rFonts w:ascii="Arial" w:hAnsi="Arial"/>
          <w:i/>
          <w:color w:val="231F20"/>
          <w:w w:val="105"/>
          <w:sz w:val="17"/>
          <w:vertAlign w:val="baseline"/>
        </w:rPr>
        <w:t>sensitive vertical lines</w:t>
      </w:r>
      <w:r>
        <w:rPr>
          <w:rFonts w:ascii="Times New Roman" w:hAns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 w:hAnsi="Times New Roman"/>
          <w:color w:val="231F2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under deck.</w:t>
      </w:r>
    </w:p>
    <w:p>
      <w:pPr>
        <w:pStyle w:val="BodyText"/>
        <w:spacing w:before="7"/>
      </w:pPr>
    </w:p>
    <w:p>
      <w:pPr>
        <w:pStyle w:val="Heading3"/>
        <w:numPr>
          <w:ilvl w:val="4"/>
          <w:numId w:val="1"/>
        </w:numPr>
        <w:tabs>
          <w:tab w:pos="1930" w:val="left" w:leader="none"/>
        </w:tabs>
        <w:spacing w:line="240" w:lineRule="auto" w:before="0" w:after="0"/>
        <w:ind w:left="1930" w:right="0" w:hanging="1080"/>
        <w:jc w:val="left"/>
        <w:rPr>
          <w:rFonts w:ascii="Times New Roman"/>
          <w:i w:val="0"/>
        </w:rPr>
      </w:pPr>
      <w:r>
        <w:rPr>
          <w:color w:val="231F20"/>
          <w:w w:val="105"/>
        </w:rPr>
        <w:t>Provisions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partially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weathertight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hatchway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covers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effective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gutterbars</w:t>
      </w:r>
      <w:r>
        <w:rPr>
          <w:rFonts w:ascii="Times New Roman"/>
          <w:i w:val="0"/>
          <w:color w:val="231F20"/>
          <w:spacing w:val="-2"/>
          <w:w w:val="105"/>
          <w:vertAlign w:val="superscript"/>
        </w:rPr>
        <w:t>*</w:t>
      </w:r>
    </w:p>
    <w:p>
      <w:pPr>
        <w:pStyle w:val="ListParagraph"/>
        <w:numPr>
          <w:ilvl w:val="5"/>
          <w:numId w:val="1"/>
        </w:numPr>
        <w:tabs>
          <w:tab w:pos="1925" w:val="left" w:leader="none"/>
          <w:tab w:pos="1930" w:val="left" w:leader="none"/>
        </w:tabs>
        <w:spacing w:line="256" w:lineRule="auto" w:before="141" w:after="0"/>
        <w:ind w:left="1930" w:right="1415" w:hanging="1080"/>
        <w:jc w:val="both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ragraph">
                  <wp:posOffset>111615</wp:posOffset>
                </wp:positionV>
                <wp:extent cx="360045" cy="152146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60045" cy="1521460"/>
                          <a:chExt cx="360045" cy="15214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0045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521460">
                                <a:moveTo>
                                  <a:pt x="360006" y="1521002"/>
                                </a:moveTo>
                                <a:lnTo>
                                  <a:pt x="360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1002"/>
                                </a:lnTo>
                                <a:lnTo>
                                  <a:pt x="360006" y="1521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6004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9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9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6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788658pt;width:28.35pt;height:119.8pt;mso-position-horizontal-relative:page;mso-position-vertical-relative:paragraph;z-index:15730176" id="docshapegroup3" coordorigin="0,176" coordsize="567,2396">
                <v:rect style="position:absolute;left:0;top:175;width:567;height:2396" id="docshape4" filled="true" fillcolor="#58595b" stroked="false">
                  <v:fill type="solid"/>
                </v:rect>
                <v:shape style="position:absolute;left:0;top:175;width:567;height:2396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89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1"/>
                          <w:ind w:left="129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6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  <w:sz w:val="17"/>
        </w:rPr>
        <w:t>Where hatchway covers are </w:t>
      </w:r>
      <w:r>
        <w:rPr>
          <w:rFonts w:ascii="Arial"/>
          <w:i/>
          <w:color w:val="231F20"/>
          <w:w w:val="105"/>
          <w:sz w:val="17"/>
        </w:rPr>
        <w:t>not fitted with effective gutterbars</w:t>
      </w:r>
      <w:r>
        <w:rPr>
          <w:color w:val="231F20"/>
          <w:w w:val="105"/>
          <w:sz w:val="17"/>
        </w:rPr>
        <w:t>, containers containing dangerous goods shall not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stowed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such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hatchway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covers,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unless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hold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complies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relevant</w:t>
      </w:r>
      <w:r>
        <w:rPr>
          <w:color w:val="231F20"/>
          <w:spacing w:val="24"/>
          <w:w w:val="105"/>
          <w:sz w:val="17"/>
        </w:rPr>
        <w:t> </w:t>
      </w:r>
      <w:r>
        <w:rPr>
          <w:color w:val="231F20"/>
          <w:w w:val="105"/>
          <w:sz w:val="17"/>
        </w:rPr>
        <w:t>requirements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159390</wp:posOffset>
                </wp:positionV>
                <wp:extent cx="914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99pt;margin-top:12.550434pt;width:72pt;height:.1pt;mso-position-horizontal-relative:page;mso-position-vertical-relative:paragraph;z-index:-15728128;mso-wrap-distance-left:0;mso-wrap-distance-right:0" id="docshape6" coordorigin="850,251" coordsize="1440,0" path="m850,251l2290,25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5"/>
        <w:ind w:left="850" w:right="0" w:firstLine="0"/>
        <w:jc w:val="left"/>
        <w:rPr>
          <w:sz w:val="16"/>
        </w:rPr>
      </w:pPr>
      <w:r>
        <w:rPr>
          <w:rFonts w:ascii="Times New Roman"/>
          <w:color w:val="231F20"/>
          <w:sz w:val="16"/>
          <w:vertAlign w:val="superscript"/>
        </w:rPr>
        <w:t>*</w:t>
      </w:r>
      <w:r>
        <w:rPr>
          <w:rFonts w:ascii="Times New Roman"/>
          <w:color w:val="231F20"/>
          <w:spacing w:val="2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For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definitions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and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details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see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MSC/Circ.1087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found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in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the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IMDG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Code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Supplement.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263936</wp:posOffset>
                </wp:positionV>
                <wp:extent cx="6120130" cy="63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39999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20.782402pt;width:481.9pt;height:.5pt;mso-position-horizontal-relative:page;mso-position-vertical-relative:paragraph;z-index:-15727616;mso-wrap-distance-left:0;mso-wrap-distance-right:0" id="docshapegroup7" coordorigin="850,416" coordsize="9638,10">
                <v:line style="position:absolute" from="850,421" to="5953,421" stroked="true" strokeweight=".5pt" strokecolor="#231f20">
                  <v:stroke dashstyle="solid"/>
                </v:line>
                <v:line style="position:absolute" from="5953,421" to="10488,421" stroked="true" strokeweight=".5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6153" w:val="left" w:leader="none"/>
        </w:tabs>
        <w:spacing w:before="39"/>
        <w:ind w:left="850" w:right="0" w:firstLine="0"/>
        <w:jc w:val="left"/>
        <w:rPr>
          <w:sz w:val="20"/>
        </w:rPr>
      </w:pPr>
      <w:r>
        <w:rPr>
          <w:color w:val="231F20"/>
          <w:spacing w:val="-5"/>
          <w:sz w:val="20"/>
        </w:rPr>
        <w:t>502</w:t>
      </w:r>
      <w:r>
        <w:rPr>
          <w:color w:val="231F20"/>
          <w:sz w:val="20"/>
        </w:rPr>
        <w:tab/>
        <w:t>IMDG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(Amendment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42-24)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2024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EDITION</w:t>
      </w:r>
    </w:p>
    <w:p>
      <w:pPr>
        <w:spacing w:after="0"/>
        <w:jc w:val="left"/>
        <w:rPr>
          <w:sz w:val="20"/>
        </w:rPr>
        <w:sectPr>
          <w:headerReference w:type="default" r:id="rId5"/>
          <w:type w:val="continuous"/>
          <w:pgSz w:w="11910" w:h="16840"/>
          <w:pgMar w:header="303" w:footer="0" w:top="880" w:bottom="0" w:left="0" w:right="0"/>
          <w:pgNumType w:start="513"/>
        </w:sectPr>
      </w:pPr>
    </w:p>
    <w:p>
      <w:pPr>
        <w:pStyle w:val="BodyText"/>
        <w:spacing w:before="98"/>
        <w:ind w:left="6299"/>
      </w:pPr>
      <w:r>
        <w:rPr>
          <w:color w:val="231F20"/>
        </w:rPr>
        <w:t>Chapter</w:t>
      </w:r>
      <w:r>
        <w:rPr>
          <w:color w:val="231F20"/>
          <w:spacing w:val="30"/>
        </w:rPr>
        <w:t> </w:t>
      </w:r>
      <w:r>
        <w:rPr>
          <w:color w:val="231F20"/>
        </w:rPr>
        <w:t>7.4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Stowage</w:t>
      </w:r>
      <w:r>
        <w:rPr>
          <w:color w:val="231F20"/>
          <w:spacing w:val="31"/>
        </w:rPr>
        <w:t> </w:t>
      </w:r>
      <w:r>
        <w:rPr>
          <w:color w:val="231F20"/>
        </w:rPr>
        <w:t>and</w:t>
      </w:r>
      <w:r>
        <w:rPr>
          <w:color w:val="231F20"/>
          <w:spacing w:val="30"/>
        </w:rPr>
        <w:t> </w:t>
      </w:r>
      <w:r>
        <w:rPr>
          <w:color w:val="231F20"/>
        </w:rPr>
        <w:t>segregation</w:t>
      </w:r>
      <w:r>
        <w:rPr>
          <w:color w:val="231F20"/>
          <w:spacing w:val="30"/>
        </w:rPr>
        <w:t> </w:t>
      </w:r>
      <w:r>
        <w:rPr>
          <w:color w:val="231F20"/>
        </w:rPr>
        <w:t>on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containerships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899999</wp:posOffset>
                </wp:positionH>
                <wp:positionV relativeFrom="paragraph">
                  <wp:posOffset>56509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44958pt;width:481.9pt;height:.1pt;mso-position-horizontal-relative:page;mso-position-vertical-relative:paragraph;z-index:-15726592;mso-wrap-distance-left:0;mso-wrap-distance-right:0" id="docshape8" coordorigin="1417,89" coordsize="9638,0" path="m1417,89l11055,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</w:pPr>
    </w:p>
    <w:p>
      <w:pPr>
        <w:pStyle w:val="BodyText"/>
        <w:spacing w:line="256" w:lineRule="auto"/>
        <w:ind w:left="2497" w:right="132"/>
      </w:pPr>
      <w:r>
        <w:rPr>
          <w:color w:val="231F20"/>
          <w:w w:val="105"/>
        </w:rPr>
        <w:t>for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class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flashpoint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dangerous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goods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regulation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II-2/19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SOLAS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74,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amended,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or regulation II-2/54 of SOLAS, as amended by the resolutions indicated in II-2/1.2.1, as applicable.</w:t>
      </w:r>
    </w:p>
    <w:p>
      <w:pPr>
        <w:pStyle w:val="ListParagraph"/>
        <w:numPr>
          <w:ilvl w:val="5"/>
          <w:numId w:val="1"/>
        </w:numPr>
        <w:tabs>
          <w:tab w:pos="2492" w:val="left" w:leader="none"/>
          <w:tab w:pos="2497" w:val="left" w:leader="none"/>
        </w:tabs>
        <w:spacing w:line="256" w:lineRule="auto" w:before="122" w:after="0"/>
        <w:ind w:left="2497" w:right="847" w:hanging="1080"/>
        <w:jc w:val="both"/>
        <w:rPr>
          <w:sz w:val="17"/>
        </w:rPr>
      </w:pPr>
      <w:r>
        <w:rPr>
          <w:color w:val="231F20"/>
          <w:w w:val="105"/>
          <w:sz w:val="17"/>
        </w:rPr>
        <w:t>Where hatchway covers are not fitted with </w:t>
      </w:r>
      <w:r>
        <w:rPr>
          <w:rFonts w:ascii="Arial" w:hAnsi="Arial"/>
          <w:i/>
          <w:color w:val="231F20"/>
          <w:w w:val="105"/>
          <w:sz w:val="17"/>
        </w:rPr>
        <w:t>effective gutterbars,</w:t>
      </w:r>
      <w:r>
        <w:rPr>
          <w:rFonts w:ascii="Times New Roman" w:hAns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 w:hAnsi="Times New Roman"/>
          <w:color w:val="231F2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the following applies where stowage “not in the same vertical line” is required in 7.4.3.3.</w:t>
      </w:r>
    </w:p>
    <w:p>
      <w:pPr>
        <w:pStyle w:val="ListParagraph"/>
        <w:numPr>
          <w:ilvl w:val="5"/>
          <w:numId w:val="1"/>
        </w:numPr>
        <w:tabs>
          <w:tab w:pos="2491" w:val="left" w:leader="none"/>
          <w:tab w:pos="2497" w:val="left" w:leader="none"/>
        </w:tabs>
        <w:spacing w:line="256" w:lineRule="auto" w:before="121" w:after="0"/>
        <w:ind w:left="2497" w:right="848" w:hanging="1080"/>
        <w:jc w:val="both"/>
        <w:rPr>
          <w:sz w:val="17"/>
        </w:rPr>
      </w:pPr>
      <w:r>
        <w:rPr>
          <w:color w:val="231F20"/>
          <w:w w:val="105"/>
          <w:sz w:val="17"/>
        </w:rPr>
        <w:t>When</w:t>
      </w:r>
      <w:r>
        <w:rPr>
          <w:color w:val="231F20"/>
          <w:w w:val="105"/>
          <w:sz w:val="17"/>
        </w:rPr>
        <w:t> containers</w:t>
      </w:r>
      <w:r>
        <w:rPr>
          <w:color w:val="231F20"/>
          <w:w w:val="105"/>
          <w:sz w:val="17"/>
        </w:rPr>
        <w:t> containing</w:t>
      </w:r>
      <w:r>
        <w:rPr>
          <w:color w:val="231F20"/>
          <w:w w:val="105"/>
          <w:sz w:val="17"/>
        </w:rPr>
        <w:t> dangerous</w:t>
      </w:r>
      <w:r>
        <w:rPr>
          <w:color w:val="231F20"/>
          <w:w w:val="105"/>
          <w:sz w:val="17"/>
        </w:rPr>
        <w:t> goods</w:t>
      </w:r>
      <w:r>
        <w:rPr>
          <w:color w:val="231F20"/>
          <w:w w:val="105"/>
          <w:sz w:val="17"/>
        </w:rPr>
        <w:t> are</w:t>
      </w:r>
      <w:r>
        <w:rPr>
          <w:color w:val="231F20"/>
          <w:w w:val="105"/>
          <w:sz w:val="17"/>
        </w:rPr>
        <w:t> stowed</w:t>
      </w:r>
      <w:r>
        <w:rPr>
          <w:color w:val="231F20"/>
          <w:w w:val="105"/>
          <w:sz w:val="17"/>
        </w:rPr>
        <w:t> on</w:t>
      </w:r>
      <w:r>
        <w:rPr>
          <w:color w:val="231F20"/>
          <w:w w:val="105"/>
          <w:sz w:val="17"/>
        </w:rPr>
        <w:t> deck,</w:t>
      </w:r>
      <w:r>
        <w:rPr>
          <w:color w:val="231F20"/>
          <w:w w:val="105"/>
          <w:sz w:val="17"/>
        </w:rPr>
        <w:t> containers</w:t>
      </w:r>
      <w:r>
        <w:rPr>
          <w:color w:val="231F20"/>
          <w:w w:val="105"/>
          <w:sz w:val="17"/>
        </w:rPr>
        <w:t> containing</w:t>
      </w:r>
      <w:r>
        <w:rPr>
          <w:color w:val="231F20"/>
          <w:w w:val="105"/>
          <w:sz w:val="17"/>
        </w:rPr>
        <w:t> incompatible dangerous goods shall not be stowed within the relevant </w:t>
      </w:r>
      <w:r>
        <w:rPr>
          <w:rFonts w:ascii="Arial"/>
          <w:i/>
          <w:color w:val="231F20"/>
          <w:w w:val="105"/>
          <w:sz w:val="17"/>
        </w:rPr>
        <w:t>sensitive vertical lines</w:t>
      </w:r>
      <w:r>
        <w:rPr>
          <w:rFonts w:asci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/>
          <w:color w:val="231F2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of any </w:t>
      </w:r>
      <w:r>
        <w:rPr>
          <w:rFonts w:ascii="Arial"/>
          <w:i/>
          <w:color w:val="231F20"/>
          <w:w w:val="105"/>
          <w:sz w:val="17"/>
          <w:vertAlign w:val="baseline"/>
        </w:rPr>
        <w:t>clear gap</w:t>
      </w:r>
      <w:r>
        <w:rPr>
          <w:rFonts w:ascii="Times New Roman"/>
          <w:color w:val="231F20"/>
          <w:w w:val="105"/>
          <w:sz w:val="17"/>
          <w:vertAlign w:val="superscript"/>
        </w:rPr>
        <w:t>*</w:t>
      </w:r>
      <w:r>
        <w:rPr>
          <w:rFonts w:ascii="Times New Roman"/>
          <w:color w:val="231F20"/>
          <w:w w:val="105"/>
          <w:sz w:val="17"/>
          <w:vertAlign w:val="baseline"/>
        </w:rPr>
        <w:t> </w:t>
      </w:r>
      <w:r>
        <w:rPr>
          <w:color w:val="231F20"/>
          <w:w w:val="105"/>
          <w:sz w:val="17"/>
          <w:vertAlign w:val="baseline"/>
        </w:rPr>
        <w:t>on either side of the hatchway cover below deck.</w:t>
      </w:r>
    </w:p>
    <w:p>
      <w:pPr>
        <w:pStyle w:val="ListParagraph"/>
        <w:numPr>
          <w:ilvl w:val="5"/>
          <w:numId w:val="1"/>
        </w:numPr>
        <w:tabs>
          <w:tab w:pos="2491" w:val="left" w:leader="none"/>
          <w:tab w:pos="2497" w:val="left" w:leader="none"/>
        </w:tabs>
        <w:spacing w:line="256" w:lineRule="auto" w:before="121" w:after="0"/>
        <w:ind w:left="2497" w:right="848" w:hanging="1081"/>
        <w:jc w:val="both"/>
        <w:rPr>
          <w:rFonts w:ascii="Times New Roman"/>
          <w:sz w:val="17"/>
        </w:rPr>
      </w:pPr>
      <w:r>
        <w:rPr>
          <w:color w:val="231F20"/>
          <w:w w:val="105"/>
          <w:sz w:val="17"/>
        </w:rPr>
        <w:t>When containers containing dangerous goods are stowed below deck within the relevant sensitive vertical lines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clear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gap,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containers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incompatible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dangerous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goods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not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stowed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hatches</w:t>
      </w:r>
      <w:r>
        <w:rPr>
          <w:color w:val="231F20"/>
          <w:spacing w:val="-5"/>
          <w:w w:val="105"/>
          <w:sz w:val="17"/>
        </w:rPr>
        <w:t> </w:t>
      </w:r>
      <w:r>
        <w:rPr>
          <w:color w:val="231F20"/>
          <w:w w:val="105"/>
          <w:sz w:val="17"/>
        </w:rPr>
        <w:t>above the hold.</w:t>
      </w:r>
      <w:r>
        <w:rPr>
          <w:rFonts w:ascii="Times New Roman"/>
          <w:color w:val="231F20"/>
          <w:w w:val="105"/>
          <w:sz w:val="17"/>
          <w:vertAlign w:val="superscript"/>
        </w:rPr>
        <w:t>*</w:t>
      </w:r>
    </w:p>
    <w:p>
      <w:pPr>
        <w:pStyle w:val="BodyText"/>
        <w:spacing w:before="77"/>
        <w:rPr>
          <w:rFonts w:ascii="Times New Roman"/>
        </w:rPr>
      </w:pPr>
    </w:p>
    <w:p>
      <w:pPr>
        <w:pStyle w:val="Heading2"/>
        <w:numPr>
          <w:ilvl w:val="3"/>
          <w:numId w:val="3"/>
        </w:numPr>
        <w:tabs>
          <w:tab w:pos="2497" w:val="left" w:leader="none"/>
        </w:tabs>
        <w:spacing w:line="240" w:lineRule="auto" w:before="0" w:after="0"/>
        <w:ind w:left="2497" w:right="0" w:hanging="1080"/>
        <w:jc w:val="left"/>
      </w:pPr>
      <w:r>
        <w:rPr>
          <w:color w:val="231F20"/>
          <w:w w:val="105"/>
        </w:rPr>
        <w:t>Provisions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containers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flammable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gases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highly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flammable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liquids</w:t>
      </w:r>
    </w:p>
    <w:p>
      <w:pPr>
        <w:pStyle w:val="ListParagraph"/>
        <w:numPr>
          <w:ilvl w:val="4"/>
          <w:numId w:val="3"/>
        </w:numPr>
        <w:tabs>
          <w:tab w:pos="2492" w:val="left" w:leader="none"/>
          <w:tab w:pos="2497" w:val="left" w:leader="none"/>
        </w:tabs>
        <w:spacing w:line="256" w:lineRule="auto" w:before="133" w:after="0"/>
        <w:ind w:left="2497" w:right="847" w:hanging="1080"/>
        <w:jc w:val="both"/>
        <w:rPr>
          <w:sz w:val="17"/>
        </w:rPr>
      </w:pPr>
      <w:r>
        <w:rPr>
          <w:color w:val="231F20"/>
          <w:w w:val="105"/>
          <w:sz w:val="17"/>
        </w:rPr>
        <w:t>In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ships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500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gross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tons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over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passenger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ships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constructed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before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1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September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1984,</w:t>
      </w:r>
      <w:r>
        <w:rPr>
          <w:color w:val="231F20"/>
          <w:spacing w:val="15"/>
          <w:w w:val="105"/>
          <w:sz w:val="17"/>
        </w:rPr>
        <w:t> </w:t>
      </w:r>
      <w:r>
        <w:rPr>
          <w:color w:val="231F20"/>
          <w:w w:val="105"/>
          <w:sz w:val="17"/>
        </w:rPr>
        <w:t>and in cargo ships of less than 500 gross tons constructed before 1 February 1992, containers with flammable gases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flammable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liquids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having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flashpoint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23°C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c.c,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stowed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on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deck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only,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unless otherwise approved by the Administration.</w:t>
      </w:r>
    </w:p>
    <w:p>
      <w:pPr>
        <w:pStyle w:val="ListParagraph"/>
        <w:numPr>
          <w:ilvl w:val="4"/>
          <w:numId w:val="3"/>
        </w:numPr>
        <w:tabs>
          <w:tab w:pos="2491" w:val="left" w:leader="none"/>
          <w:tab w:pos="2497" w:val="left" w:leader="none"/>
        </w:tabs>
        <w:spacing w:line="247" w:lineRule="auto" w:before="111" w:after="0"/>
        <w:ind w:left="2497" w:right="848" w:hanging="1080"/>
        <w:jc w:val="both"/>
        <w:rPr>
          <w:sz w:val="17"/>
        </w:rPr>
      </w:pPr>
      <w:r>
        <w:rPr>
          <w:color w:val="231F20"/>
          <w:w w:val="105"/>
          <w:sz w:val="17"/>
        </w:rPr>
        <w:t>A container with flammable gases or flammable liquids having a flashpoint of less than 23</w:t>
      </w:r>
      <w:r>
        <w:rPr>
          <w:rFonts w:ascii="Sylfaen" w:hAnsi="Sylfaen"/>
          <w:color w:val="231F20"/>
          <w:w w:val="105"/>
          <w:sz w:val="17"/>
        </w:rPr>
        <w:t>°</w:t>
      </w:r>
      <w:r>
        <w:rPr>
          <w:color w:val="231F20"/>
          <w:w w:val="105"/>
          <w:sz w:val="17"/>
        </w:rPr>
        <w:t>C c.c transported on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deck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stowed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least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2.4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m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horizontally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projected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vertically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away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from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any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potential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source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 </w:t>
      </w:r>
      <w:r>
        <w:rPr>
          <w:color w:val="231F20"/>
          <w:spacing w:val="-2"/>
          <w:w w:val="105"/>
          <w:sz w:val="17"/>
        </w:rPr>
        <w:t>ignition.</w:t>
      </w:r>
    </w:p>
    <w:p>
      <w:pPr>
        <w:pStyle w:val="ListParagraph"/>
        <w:numPr>
          <w:ilvl w:val="4"/>
          <w:numId w:val="3"/>
        </w:numPr>
        <w:tabs>
          <w:tab w:pos="2490" w:val="left" w:leader="none"/>
          <w:tab w:pos="2497" w:val="left" w:leader="none"/>
        </w:tabs>
        <w:spacing w:line="242" w:lineRule="auto" w:before="129" w:after="0"/>
        <w:ind w:left="2497" w:right="848" w:hanging="1081"/>
        <w:jc w:val="both"/>
        <w:rPr>
          <w:sz w:val="17"/>
        </w:rPr>
      </w:pPr>
      <w:r>
        <w:rPr>
          <w:color w:val="231F20"/>
          <w:w w:val="105"/>
          <w:sz w:val="17"/>
        </w:rPr>
        <w:t>A container under temperature control that is not of a certified safe type shall not be stowed under deck together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containers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containing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flammable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gases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liquids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having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flashpoint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23</w:t>
      </w:r>
      <w:r>
        <w:rPr>
          <w:rFonts w:ascii="Sylfaen" w:hAnsi="Sylfaen"/>
          <w:color w:val="231F20"/>
          <w:w w:val="105"/>
          <w:sz w:val="17"/>
        </w:rPr>
        <w:t>°</w:t>
      </w:r>
      <w:r>
        <w:rPr>
          <w:color w:val="231F20"/>
          <w:w w:val="105"/>
          <w:sz w:val="17"/>
        </w:rPr>
        <w:t>C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c.c.</w:t>
      </w:r>
    </w:p>
    <w:p>
      <w:pPr>
        <w:pStyle w:val="BodyText"/>
        <w:spacing w:before="71"/>
      </w:pPr>
    </w:p>
    <w:p>
      <w:pPr>
        <w:pStyle w:val="Heading2"/>
        <w:numPr>
          <w:ilvl w:val="3"/>
          <w:numId w:val="3"/>
        </w:numPr>
        <w:tabs>
          <w:tab w:pos="2497" w:val="left" w:leader="none"/>
        </w:tabs>
        <w:spacing w:line="240" w:lineRule="auto" w:before="0" w:after="0"/>
        <w:ind w:left="2497" w:right="0" w:hanging="1080"/>
        <w:jc w:val="left"/>
      </w:pPr>
      <w:r>
        <w:rPr>
          <w:color w:val="231F20"/>
        </w:rPr>
        <w:t>Ventilation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provisions</w:t>
      </w:r>
    </w:p>
    <w:p>
      <w:pPr>
        <w:pStyle w:val="ListParagraph"/>
        <w:numPr>
          <w:ilvl w:val="4"/>
          <w:numId w:val="3"/>
        </w:numPr>
        <w:tabs>
          <w:tab w:pos="2492" w:val="left" w:leader="none"/>
          <w:tab w:pos="2497" w:val="left" w:leader="none"/>
        </w:tabs>
        <w:spacing w:line="256" w:lineRule="auto" w:before="133" w:after="0"/>
        <w:ind w:left="2497" w:right="847" w:hanging="1081"/>
        <w:jc w:val="both"/>
        <w:rPr>
          <w:sz w:val="17"/>
        </w:rPr>
      </w:pPr>
      <w:r>
        <w:rPr>
          <w:color w:val="231F20"/>
          <w:w w:val="105"/>
          <w:sz w:val="17"/>
        </w:rPr>
        <w:t>In cargo ships of 500 gross tons or over and passenger ships constructed before 1 September 1984, and in cargo ships of less than 500 gross tons constructed before 1 February 1992, containers with the following dangerous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goods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may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stowed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under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deck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only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if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cargo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space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is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equipped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mechanical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ventilation and if under deck stowage is permitted in the Dangerous Goods List: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40" w:lineRule="auto" w:before="63" w:after="0"/>
        <w:ind w:left="2857" w:right="0" w:hanging="360"/>
        <w:jc w:val="left"/>
        <w:rPr>
          <w:sz w:val="17"/>
        </w:rPr>
      </w:pPr>
      <w:r>
        <w:rPr>
          <w:color w:val="231F20"/>
          <w:w w:val="105"/>
          <w:sz w:val="17"/>
        </w:rPr>
        <w:t>dangerous goods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2.1;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40" w:lineRule="auto" w:before="63" w:after="0"/>
        <w:ind w:left="2857" w:right="0" w:hanging="360"/>
        <w:jc w:val="left"/>
        <w:rPr>
          <w:sz w:val="17"/>
        </w:rPr>
      </w:pPr>
      <w:r>
        <w:rPr>
          <w:color w:val="231F20"/>
          <w:w w:val="105"/>
          <w:sz w:val="17"/>
        </w:rPr>
        <w:t>dangerous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goods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3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flashpoint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23</w:t>
      </w:r>
      <w:r>
        <w:rPr>
          <w:rFonts w:ascii="Sylfaen" w:hAnsi="Sylfaen"/>
          <w:color w:val="231F20"/>
          <w:w w:val="105"/>
          <w:sz w:val="17"/>
        </w:rPr>
        <w:t>°</w:t>
      </w:r>
      <w:r>
        <w:rPr>
          <w:color w:val="231F20"/>
          <w:w w:val="105"/>
          <w:sz w:val="17"/>
        </w:rPr>
        <w:t>C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c.c.;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40" w:lineRule="auto" w:before="58" w:after="0"/>
        <w:ind w:left="2857" w:right="0" w:hanging="360"/>
        <w:jc w:val="left"/>
        <w:rPr>
          <w:sz w:val="17"/>
        </w:rPr>
      </w:pPr>
      <w:r>
        <w:rPr>
          <w:color w:val="231F20"/>
          <w:w w:val="105"/>
          <w:sz w:val="17"/>
        </w:rPr>
        <w:t>dangerous goods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1"/>
          <w:w w:val="105"/>
          <w:sz w:val="17"/>
        </w:rPr>
        <w:t> </w:t>
      </w:r>
      <w:r>
        <w:rPr>
          <w:color w:val="231F20"/>
          <w:spacing w:val="-4"/>
          <w:w w:val="105"/>
          <w:sz w:val="17"/>
        </w:rPr>
        <w:t>4.3;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40" w:lineRule="auto" w:before="74" w:after="0"/>
        <w:ind w:left="2857" w:right="0" w:hanging="360"/>
        <w:jc w:val="left"/>
        <w:rPr>
          <w:sz w:val="17"/>
        </w:rPr>
      </w:pPr>
      <w:r>
        <w:rPr>
          <w:color w:val="231F20"/>
          <w:w w:val="105"/>
          <w:sz w:val="17"/>
        </w:rPr>
        <w:t>dangerous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goods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6.1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subsidiary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hazard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spacing w:val="-7"/>
          <w:w w:val="105"/>
          <w:sz w:val="17"/>
        </w:rPr>
        <w:t>3;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40" w:lineRule="auto" w:before="75" w:after="0"/>
        <w:ind w:left="2857" w:right="0" w:hanging="360"/>
        <w:jc w:val="left"/>
        <w:rPr>
          <w:sz w:val="17"/>
        </w:rPr>
      </w:pPr>
      <w:r>
        <w:rPr>
          <w:color w:val="231F20"/>
          <w:w w:val="105"/>
          <w:sz w:val="17"/>
        </w:rPr>
        <w:t>dangerous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goods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8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subsidiary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hazard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class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3;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spacing w:val="-5"/>
          <w:w w:val="105"/>
          <w:sz w:val="17"/>
        </w:rPr>
        <w:t>and</w:t>
      </w:r>
    </w:p>
    <w:p>
      <w:pPr>
        <w:pStyle w:val="ListParagraph"/>
        <w:numPr>
          <w:ilvl w:val="5"/>
          <w:numId w:val="3"/>
        </w:numPr>
        <w:tabs>
          <w:tab w:pos="2857" w:val="left" w:leader="none"/>
        </w:tabs>
        <w:spacing w:line="256" w:lineRule="auto" w:before="74" w:after="0"/>
        <w:ind w:left="2857" w:right="848" w:hanging="360"/>
        <w:jc w:val="left"/>
        <w:rPr>
          <w:sz w:val="17"/>
        </w:rPr>
      </w:pPr>
      <w:r>
        <w:rPr>
          <w:color w:val="231F20"/>
          <w:sz w:val="17"/>
        </w:rPr>
        <w:t>dangerous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goods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to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which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a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specific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stowage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requirement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requiring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mechanical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ventilation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in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column</w:t>
      </w:r>
      <w:r>
        <w:rPr>
          <w:color w:val="231F20"/>
          <w:spacing w:val="19"/>
          <w:sz w:val="17"/>
        </w:rPr>
        <w:t> </w:t>
      </w:r>
      <w:r>
        <w:rPr>
          <w:color w:val="231F20"/>
          <w:sz w:val="17"/>
        </w:rPr>
        <w:t>16a </w:t>
      </w:r>
      <w:r>
        <w:rPr>
          <w:color w:val="231F20"/>
          <w:w w:val="105"/>
          <w:sz w:val="17"/>
        </w:rPr>
        <w:t>of the Dangerous Goods List is assigned.</w:t>
      </w:r>
    </w:p>
    <w:p>
      <w:pPr>
        <w:pStyle w:val="BodyText"/>
        <w:spacing w:before="122"/>
        <w:ind w:left="2497"/>
      </w:pPr>
      <w:r>
        <w:rPr>
          <w:color w:val="231F20"/>
          <w:w w:val="105"/>
        </w:rPr>
        <w:t>Otherwise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containers shall be stowed on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deck </w:t>
      </w:r>
      <w:r>
        <w:rPr>
          <w:color w:val="231F20"/>
          <w:spacing w:val="-4"/>
          <w:w w:val="105"/>
        </w:rPr>
        <w:t>only.</w:t>
      </w:r>
    </w:p>
    <w:p>
      <w:pPr>
        <w:pStyle w:val="ListParagraph"/>
        <w:numPr>
          <w:ilvl w:val="4"/>
          <w:numId w:val="3"/>
        </w:numPr>
        <w:tabs>
          <w:tab w:pos="2492" w:val="left" w:leader="none"/>
          <w:tab w:pos="2497" w:val="left" w:leader="none"/>
        </w:tabs>
        <w:spacing w:line="256" w:lineRule="auto" w:before="134" w:after="0"/>
        <w:ind w:left="2497" w:right="849" w:hanging="1080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capacity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mechanical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ventilation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(number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air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changes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per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hour)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shall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to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satisfaction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the </w:t>
      </w:r>
      <w:r>
        <w:rPr>
          <w:color w:val="231F20"/>
          <w:spacing w:val="-2"/>
          <w:w w:val="105"/>
          <w:sz w:val="17"/>
        </w:rPr>
        <w:t>Administration.</w:t>
      </w:r>
    </w:p>
    <w:p>
      <w:pPr>
        <w:pStyle w:val="BodyText"/>
        <w:spacing w:before="150"/>
      </w:pPr>
    </w:p>
    <w:p>
      <w:pPr>
        <w:pStyle w:val="Heading1"/>
        <w:numPr>
          <w:ilvl w:val="2"/>
          <w:numId w:val="4"/>
        </w:numPr>
        <w:tabs>
          <w:tab w:pos="2497" w:val="left" w:leader="none"/>
        </w:tabs>
        <w:spacing w:line="240" w:lineRule="auto" w:before="0" w:after="0"/>
        <w:ind w:left="2497" w:right="0" w:hanging="1080"/>
        <w:jc w:val="left"/>
      </w:pPr>
      <w:r>
        <w:rPr>
          <w:color w:val="231F20"/>
        </w:rPr>
        <w:t>Segregation</w:t>
      </w:r>
      <w:r>
        <w:rPr>
          <w:color w:val="231F20"/>
          <w:spacing w:val="44"/>
        </w:rPr>
        <w:t> </w:t>
      </w:r>
      <w:r>
        <w:rPr>
          <w:color w:val="231F20"/>
          <w:spacing w:val="-2"/>
        </w:rPr>
        <w:t>requirements</w:t>
      </w:r>
    </w:p>
    <w:p>
      <w:pPr>
        <w:pStyle w:val="Heading2"/>
        <w:numPr>
          <w:ilvl w:val="3"/>
          <w:numId w:val="4"/>
        </w:numPr>
        <w:tabs>
          <w:tab w:pos="2497" w:val="left" w:leader="none"/>
        </w:tabs>
        <w:spacing w:line="240" w:lineRule="auto" w:before="194" w:after="0"/>
        <w:ind w:left="2497" w:right="0" w:hanging="1080"/>
        <w:jc w:val="left"/>
      </w:pPr>
      <w:r>
        <w:rPr>
          <w:color w:val="231F20"/>
          <w:w w:val="105"/>
        </w:rPr>
        <w:t>Definition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application</w:t>
      </w:r>
    </w:p>
    <w:p>
      <w:pPr>
        <w:pStyle w:val="ListParagraph"/>
        <w:numPr>
          <w:ilvl w:val="4"/>
          <w:numId w:val="4"/>
        </w:numPr>
        <w:tabs>
          <w:tab w:pos="2497" w:val="left" w:leader="none"/>
        </w:tabs>
        <w:spacing w:line="240" w:lineRule="auto" w:before="133" w:after="0"/>
        <w:ind w:left="2497" w:right="0" w:hanging="1080"/>
        <w:jc w:val="left"/>
        <w:rPr>
          <w:sz w:val="17"/>
        </w:rPr>
      </w:pPr>
      <w:r>
        <w:rPr>
          <w:rFonts w:ascii="Arial"/>
          <w:i/>
          <w:color w:val="231F20"/>
          <w:w w:val="105"/>
          <w:sz w:val="17"/>
        </w:rPr>
        <w:t>Container</w:t>
      </w:r>
      <w:r>
        <w:rPr>
          <w:rFonts w:ascii="Arial"/>
          <w:i/>
          <w:color w:val="231F20"/>
          <w:spacing w:val="-3"/>
          <w:w w:val="105"/>
          <w:sz w:val="17"/>
        </w:rPr>
        <w:t> </w:t>
      </w:r>
      <w:r>
        <w:rPr>
          <w:rFonts w:ascii="Arial"/>
          <w:i/>
          <w:color w:val="231F20"/>
          <w:w w:val="105"/>
          <w:sz w:val="17"/>
        </w:rPr>
        <w:t>space</w:t>
      </w:r>
      <w:r>
        <w:rPr>
          <w:rFonts w:ascii="Arial"/>
          <w:i/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means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distance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not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6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m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fore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aft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or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not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less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than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2.4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w w:val="105"/>
          <w:sz w:val="17"/>
        </w:rPr>
        <w:t>m</w:t>
      </w:r>
      <w:r>
        <w:rPr>
          <w:color w:val="231F20"/>
          <w:spacing w:val="-3"/>
          <w:w w:val="105"/>
          <w:sz w:val="17"/>
        </w:rPr>
        <w:t> </w:t>
      </w:r>
      <w:r>
        <w:rPr>
          <w:color w:val="231F20"/>
          <w:spacing w:val="-2"/>
          <w:w w:val="105"/>
          <w:sz w:val="17"/>
        </w:rPr>
        <w:t>athwartships.</w:t>
      </w:r>
    </w:p>
    <w:p>
      <w:pPr>
        <w:pStyle w:val="ListParagraph"/>
        <w:numPr>
          <w:ilvl w:val="4"/>
          <w:numId w:val="4"/>
        </w:numPr>
        <w:tabs>
          <w:tab w:pos="2492" w:val="left" w:leader="none"/>
          <w:tab w:pos="2497" w:val="left" w:leader="none"/>
        </w:tabs>
        <w:spacing w:line="256" w:lineRule="auto" w:before="134" w:after="0"/>
        <w:ind w:left="2497" w:right="847" w:hanging="1081"/>
        <w:jc w:val="both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7199998</wp:posOffset>
                </wp:positionH>
                <wp:positionV relativeFrom="paragraph">
                  <wp:posOffset>1333951</wp:posOffset>
                </wp:positionV>
                <wp:extent cx="360045" cy="152146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60045" cy="1521460"/>
                          <a:chExt cx="360045" cy="1521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60045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1521460">
                                <a:moveTo>
                                  <a:pt x="36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1002"/>
                                </a:lnTo>
                                <a:lnTo>
                                  <a:pt x="360006" y="1521002"/>
                                </a:lnTo>
                                <a:lnTo>
                                  <a:pt x="36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60045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6"/>
                                <w:ind w:left="129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6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6.929016pt;margin-top:105.035538pt;width:28.35pt;height:119.8pt;mso-position-horizontal-relative:page;mso-position-vertical-relative:paragraph;z-index:15732224" id="docshapegroup9" coordorigin="11339,2101" coordsize="567,2396">
                <v:rect style="position:absolute;left:11338;top:2100;width:567;height:2396" id="docshape10" filled="true" fillcolor="#58595b" stroked="false">
                  <v:fill type="solid"/>
                </v:rect>
                <v:shape style="position:absolute;left:11338;top:2100;width:567;height:2396" type="#_x0000_t202" id="docshape11" filled="false" stroked="false">
                  <v:textbox inset="0,0,0,0">
                    <w:txbxContent>
                      <w:p>
                        <w:pPr>
                          <w:spacing w:before="826"/>
                          <w:ind w:left="129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6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  <w:sz w:val="17"/>
        </w:rPr>
        <w:t>The provisions for segregation between containers on board containerships with closed cargo holds and on board hatchless containerships are given in the tables in 7.4.3.2 and 7.4.3.3, respectively.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899999</wp:posOffset>
                </wp:positionH>
                <wp:positionV relativeFrom="paragraph">
                  <wp:posOffset>217868</wp:posOffset>
                </wp:positionV>
                <wp:extent cx="9144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17.155024pt;width:72pt;height:.1pt;mso-position-horizontal-relative:page;mso-position-vertical-relative:paragraph;z-index:-15726080;mso-wrap-distance-left:0;mso-wrap-distance-right:0" id="docshape12" coordorigin="1417,343" coordsize="1440,0" path="m1417,343l2857,343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5"/>
        <w:ind w:left="1417" w:right="0" w:firstLine="0"/>
        <w:jc w:val="left"/>
        <w:rPr>
          <w:sz w:val="16"/>
        </w:rPr>
      </w:pPr>
      <w:r>
        <w:rPr>
          <w:rFonts w:ascii="Times New Roman"/>
          <w:color w:val="231F20"/>
          <w:sz w:val="16"/>
          <w:vertAlign w:val="superscript"/>
        </w:rPr>
        <w:t>*</w:t>
      </w:r>
      <w:r>
        <w:rPr>
          <w:rFonts w:ascii="Times New Roman"/>
          <w:color w:val="231F20"/>
          <w:spacing w:val="2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For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definitions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and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details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see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MSC/Circ.1087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found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in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the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IMDG</w:t>
      </w:r>
      <w:r>
        <w:rPr>
          <w:color w:val="231F20"/>
          <w:spacing w:val="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Code</w:t>
      </w:r>
      <w:r>
        <w:rPr>
          <w:color w:val="231F20"/>
          <w:spacing w:val="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Supplement.</w:t>
      </w:r>
    </w:p>
    <w:p>
      <w:pPr>
        <w:tabs>
          <w:tab w:pos="11055" w:val="right" w:leader="none"/>
        </w:tabs>
        <w:spacing w:before="695"/>
        <w:ind w:left="141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899999</wp:posOffset>
                </wp:positionH>
                <wp:positionV relativeFrom="paragraph">
                  <wp:posOffset>409975</wp:posOffset>
                </wp:positionV>
                <wp:extent cx="6120130" cy="63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20130" cy="6350"/>
                          <a:chExt cx="612013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880000" y="3175"/>
                            <a:ext cx="3240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0">
                                <a:moveTo>
                                  <a:pt x="0" y="0"/>
                                </a:moveTo>
                                <a:lnTo>
                                  <a:pt x="3239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175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32.281525pt;width:481.9pt;height:.5pt;mso-position-horizontal-relative:page;mso-position-vertical-relative:paragraph;z-index:15731712" id="docshapegroup13" coordorigin="1417,646" coordsize="9638,10">
                <v:line style="position:absolute" from="5953,651" to="11055,651" stroked="true" strokeweight=".5pt" strokecolor="#231f20">
                  <v:stroke dashstyle="solid"/>
                </v:line>
                <v:line style="position:absolute" from="1417,651" to="5953,651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z w:val="20"/>
        </w:rPr>
        <w:t>IMDG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(Amendment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42-24)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2024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EDITION</w:t>
      </w:r>
      <w:r>
        <w:rPr>
          <w:color w:val="231F20"/>
          <w:sz w:val="20"/>
        </w:rPr>
        <w:tab/>
      </w:r>
      <w:r>
        <w:rPr>
          <w:color w:val="231F20"/>
          <w:spacing w:val="-5"/>
          <w:sz w:val="20"/>
        </w:rPr>
        <w:t>503</w:t>
      </w:r>
    </w:p>
    <w:p>
      <w:pPr>
        <w:spacing w:after="0"/>
        <w:jc w:val="left"/>
        <w:rPr>
          <w:sz w:val="20"/>
        </w:rPr>
        <w:sectPr>
          <w:pgSz w:w="11910" w:h="16840"/>
          <w:pgMar w:header="303" w:footer="0" w:top="880" w:bottom="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9885283</wp:posOffset>
                </wp:positionH>
                <wp:positionV relativeFrom="page">
                  <wp:posOffset>540000</wp:posOffset>
                </wp:positionV>
                <wp:extent cx="1270" cy="61201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6120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20130">
                              <a:moveTo>
                                <a:pt x="0" y="0"/>
                              </a:moveTo>
                              <a:lnTo>
                                <a:pt x="0" y="6120003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222208" from="778.368774pt,42.519699pt" to="778.368774pt,524.409699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533650</wp:posOffset>
                </wp:positionH>
                <wp:positionV relativeFrom="page">
                  <wp:posOffset>540000</wp:posOffset>
                </wp:positionV>
                <wp:extent cx="6350" cy="612013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50" cy="6120130"/>
                          <a:chExt cx="6350" cy="61201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0"/>
                            <a:ext cx="1270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0405">
                                <a:moveTo>
                                  <a:pt x="0" y="0"/>
                                </a:moveTo>
                                <a:lnTo>
                                  <a:pt x="0" y="32399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5" y="3239999"/>
                            <a:ext cx="127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80360">
                                <a:moveTo>
                                  <a:pt x="0" y="0"/>
                                </a:moveTo>
                                <a:lnTo>
                                  <a:pt x="0" y="288000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19699pt;margin-top:42.519699pt;width:.5pt;height:481.9pt;mso-position-horizontal-relative:page;mso-position-vertical-relative:page;z-index:15733248" id="docshapegroup16" coordorigin="840,850" coordsize="10,9638">
                <v:line style="position:absolute" from="845,850" to="845,5953" stroked="true" strokeweight=".5pt" strokecolor="#231f20">
                  <v:stroke dashstyle="solid"/>
                </v:line>
                <v:line style="position:absolute" from="845,5953" to="845,10488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21460" cy="36004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52146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 h="360045">
                              <a:moveTo>
                                <a:pt x="0" y="360006"/>
                              </a:moveTo>
                              <a:lnTo>
                                <a:pt x="1521002" y="360006"/>
                              </a:lnTo>
                              <a:lnTo>
                                <a:pt x="1521002" y="0"/>
                              </a:lnTo>
                              <a:lnTo>
                                <a:pt x="0" y="0"/>
                              </a:lnTo>
                              <a:lnTo>
                                <a:pt x="0" y="360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0.0pt;width:119.764pt;height:28.347pt;mso-position-horizontal-relative:page;mso-position-vertical-relative:page;z-index:15733760" id="docshape17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10221933</wp:posOffset>
                </wp:positionH>
                <wp:positionV relativeFrom="page">
                  <wp:posOffset>6041519</wp:posOffset>
                </wp:positionV>
                <wp:extent cx="290830" cy="9912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0830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MSC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108/20/Add.2</w:t>
                            </w:r>
                          </w:p>
                          <w:p>
                            <w:pPr>
                              <w:spacing w:before="9"/>
                              <w:ind w:left="29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Annex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8,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515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4.876648pt;margin-top:475.710175pt;width:22.9pt;height:78.05pt;mso-position-horizontal-relative:page;mso-position-vertical-relative:page;z-index:15734272" type="#_x0000_t202" id="docshape18" filled="false" stroked="false">
                <v:textbox inset="0,0,0,0" style="layout-flow:vertical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MSC</w:t>
                      </w:r>
                      <w:r>
                        <w:rPr>
                          <w:spacing w:val="-2"/>
                          <w:sz w:val="18"/>
                        </w:rPr>
                        <w:t> 108/20/Add.2</w:t>
                      </w:r>
                    </w:p>
                    <w:p>
                      <w:pPr>
                        <w:spacing w:before="9"/>
                        <w:ind w:left="29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Annex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8,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page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515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9927066</wp:posOffset>
                </wp:positionH>
                <wp:positionV relativeFrom="page">
                  <wp:posOffset>527300</wp:posOffset>
                </wp:positionV>
                <wp:extent cx="156845" cy="27368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56845" cy="273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Part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7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Provisions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concerning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w w:val="105"/>
                                <w:sz w:val="17"/>
                              </w:rPr>
                              <w:t>transport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2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231F20"/>
                                <w:spacing w:val="-2"/>
                                <w:w w:val="105"/>
                                <w:sz w:val="17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1.658813pt;margin-top:41.519699pt;width:12.35pt;height:215.5pt;mso-position-horizontal-relative:page;mso-position-vertical-relative:page;z-index:15734784" type="#_x0000_t202" id="docshape19" filled="false" stroked="false">
                <v:textbox inset="0,0,0,0" style="layout-flow:vertical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Arial" w:hAnsi="Arial"/>
                          <w:i/>
                          <w:sz w:val="17"/>
                        </w:rPr>
                      </w:pP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Part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7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–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Provisions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concerning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w w:val="105"/>
                          <w:sz w:val="17"/>
                        </w:rPr>
                        <w:t>transport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2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231F20"/>
                          <w:spacing w:val="-2"/>
                          <w:w w:val="105"/>
                          <w:sz w:val="17"/>
                        </w:rPr>
                        <w:t>operations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512090</wp:posOffset>
                </wp:positionH>
                <wp:positionV relativeFrom="page">
                  <wp:posOffset>69764</wp:posOffset>
                </wp:positionV>
                <wp:extent cx="502284" cy="220979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02284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0" w:right="0" w:firstLine="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6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22102pt;margin-top:5.49330pt;width:39.550pt;height:17.4pt;mso-position-horizontal-relative:page;mso-position-vertical-relative:page;z-index:15735296" type="#_x0000_t202" id="docshape20" filled="false" stroked="false">
                <v:textbox inset="0,0,0,0" style="layout-flow:vertical">
                  <w:txbxContent>
                    <w:p>
                      <w:pPr>
                        <w:spacing w:before="27"/>
                        <w:ind w:left="20" w:right="0" w:firstLine="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6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348628</wp:posOffset>
                </wp:positionH>
                <wp:positionV relativeFrom="page">
                  <wp:posOffset>527300</wp:posOffset>
                </wp:positionV>
                <wp:extent cx="175260" cy="24066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7526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504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51099pt;margin-top:41.519699pt;width:13.8pt;height:18.95pt;mso-position-horizontal-relative:page;mso-position-vertical-relative:page;z-index:15735808" type="#_x0000_t202" id="docshape21" filled="false" stroked="false">
                <v:textbox inset="0,0,0,0" style="layout-flow:vertical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pacing w:val="-5"/>
                          <w:sz w:val="20"/>
                        </w:rPr>
                        <w:t>504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348628</wp:posOffset>
                </wp:positionH>
                <wp:positionV relativeFrom="page">
                  <wp:posOffset>3894905</wp:posOffset>
                </wp:positionV>
                <wp:extent cx="177800" cy="27787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77800" cy="277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IMDG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(Amendment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42-24)</w:t>
                            </w:r>
                            <w:r>
                              <w:rPr>
                                <w:color w:val="231F2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2024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EDITION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51099pt;margin-top:306.685486pt;width:14pt;height:218.8pt;mso-position-horizontal-relative:page;mso-position-vertical-relative:page;z-index:15736320" type="#_x0000_t202" id="docshape22" filled="false" stroked="false">
                <v:textbox inset="0,0,0,0" style="layout-flow:vertical">
                  <w:txbxContent>
                    <w:p>
                      <w:pPr>
                        <w:spacing w:before="27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IMDG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Code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(Amendment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42-24)</w:t>
                      </w:r>
                      <w:r>
                        <w:rPr>
                          <w:color w:val="231F2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2024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EDITION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21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val="229" w:hRule="atLeast"/>
        </w:trPr>
        <w:tc>
          <w:tcPr>
            <w:tcW w:w="1138" w:type="dxa"/>
            <w:vMerge w:val="restart"/>
          </w:tcPr>
          <w:p>
            <w:pPr>
              <w:pStyle w:val="TableParagraph"/>
              <w:spacing w:before="32"/>
              <w:rPr>
                <w:sz w:val="14"/>
              </w:rPr>
            </w:pPr>
          </w:p>
          <w:p>
            <w:pPr>
              <w:pStyle w:val="TableParagraph"/>
              <w:ind w:left="163" w:hanging="3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Segregation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requirement</w:t>
            </w:r>
          </w:p>
        </w:tc>
        <w:tc>
          <w:tcPr>
            <w:tcW w:w="3414" w:type="dxa"/>
            <w:gridSpan w:val="3"/>
          </w:tcPr>
          <w:p>
            <w:pPr>
              <w:pStyle w:val="TableParagraph"/>
              <w:spacing w:before="33"/>
              <w:ind w:left="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Vertical</w:t>
            </w:r>
          </w:p>
        </w:tc>
        <w:tc>
          <w:tcPr>
            <w:tcW w:w="7966" w:type="dxa"/>
            <w:gridSpan w:val="7"/>
          </w:tcPr>
          <w:p>
            <w:pPr>
              <w:pStyle w:val="TableParagraph"/>
              <w:spacing w:before="33"/>
              <w:ind w:left="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Horizontal</w:t>
            </w:r>
          </w:p>
        </w:tc>
      </w:tr>
      <w:tr>
        <w:trPr>
          <w:trHeight w:val="229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73"/>
              <w:ind w:left="346" w:hanging="252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Closed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2"/>
                <w:w w:val="105"/>
                <w:sz w:val="14"/>
              </w:rPr>
              <w:t>closed</w:t>
            </w: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73"/>
              <w:ind w:left="400" w:hanging="307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Closed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4"/>
                <w:w w:val="105"/>
                <w:sz w:val="14"/>
              </w:rPr>
              <w:t>open</w:t>
            </w: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73"/>
              <w:ind w:left="400" w:hanging="252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Open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4"/>
                <w:w w:val="105"/>
                <w:sz w:val="14"/>
              </w:rPr>
              <w:t>open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34"/>
              <w:ind w:left="421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closed</w:t>
            </w: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34"/>
              <w:ind w:left="475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34"/>
              <w:ind w:left="530"/>
              <w:rPr>
                <w:sz w:val="14"/>
              </w:rPr>
            </w:pPr>
            <w:r>
              <w:rPr>
                <w:color w:val="231F20"/>
                <w:sz w:val="14"/>
              </w:rPr>
              <w:t>Open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19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</w:tr>
      <w:tr>
        <w:trPr>
          <w:trHeight w:val="229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</w:tr>
      <w:tr>
        <w:trPr>
          <w:trHeight w:val="539" w:hRule="atLeast"/>
        </w:trPr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1"/>
              <w:rPr>
                <w:sz w:val="14"/>
              </w:rPr>
            </w:pPr>
          </w:p>
          <w:p>
            <w:pPr>
              <w:pStyle w:val="TableParagraph"/>
              <w:spacing w:line="125" w:lineRule="exact" w:before="1"/>
              <w:ind w:left="158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“Away</w:t>
            </w:r>
            <w:r>
              <w:rPr>
                <w:color w:val="231F20"/>
                <w:spacing w:val="-2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10"/>
                <w:sz w:val="14"/>
              </w:rPr>
              <w:t>from”</w:t>
            </w:r>
          </w:p>
        </w:tc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1"/>
              <w:rPr>
                <w:sz w:val="14"/>
              </w:rPr>
            </w:pPr>
          </w:p>
          <w:p>
            <w:pPr>
              <w:pStyle w:val="TableParagraph"/>
              <w:spacing w:line="124" w:lineRule="exact" w:before="1"/>
              <w:ind w:left="10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One</w:t>
            </w:r>
            <w:r>
              <w:rPr>
                <w:color w:val="231F20"/>
                <w:spacing w:val="-6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on</w:t>
            </w:r>
            <w:r>
              <w:rPr>
                <w:color w:val="231F20"/>
                <w:spacing w:val="-6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top</w:t>
            </w:r>
            <w:r>
              <w:rPr>
                <w:color w:val="231F20"/>
                <w:spacing w:val="-6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of</w:t>
            </w:r>
            <w:r>
              <w:rPr>
                <w:color w:val="231F20"/>
                <w:spacing w:val="-6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the</w:t>
            </w:r>
          </w:p>
        </w:tc>
        <w:tc>
          <w:tcPr>
            <w:tcW w:w="1138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4"/>
              <w:ind w:left="256" w:right="151" w:hanging="88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Open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on</w:t>
            </w:r>
            <w:r>
              <w:rPr>
                <w:color w:val="231F20"/>
                <w:spacing w:val="-1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top of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closed </w:t>
            </w:r>
            <w:r>
              <w:rPr>
                <w:color w:val="231F20"/>
                <w:spacing w:val="-2"/>
                <w:w w:val="105"/>
                <w:sz w:val="14"/>
              </w:rPr>
              <w:t>permitted</w:t>
            </w: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vertical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line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unless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segregated</w:t>
            </w:r>
          </w:p>
          <w:p>
            <w:pPr>
              <w:pStyle w:val="TableParagraph"/>
              <w:spacing w:line="157" w:lineRule="exact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by a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114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</w:tr>
      <w:tr>
        <w:trPr>
          <w:trHeight w:val="28" w:hRule="atLeast"/>
        </w:trPr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591" w:hRule="atLeast"/>
        </w:trPr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46" w:lineRule="exact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.1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47" w:lineRule="exact"/>
              <w:ind w:left="70"/>
              <w:rPr>
                <w:sz w:val="14"/>
              </w:rPr>
            </w:pPr>
            <w:r>
              <w:rPr>
                <w:color w:val="231F20"/>
                <w:sz w:val="14"/>
              </w:rPr>
              <w:t>other</w:t>
            </w:r>
            <w:r>
              <w:rPr>
                <w:color w:val="231F20"/>
                <w:spacing w:val="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permitted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85"/>
              <w:ind w:left="1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Otherwise as </w:t>
            </w:r>
            <w:r>
              <w:rPr>
                <w:color w:val="231F20"/>
                <w:sz w:val="14"/>
              </w:rPr>
              <w:t>for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“open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open”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06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spacing w:before="106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</w:tr>
      <w:tr>
        <w:trPr>
          <w:trHeight w:val="529" w:hRule="atLeast"/>
        </w:trPr>
        <w:tc>
          <w:tcPr>
            <w:tcW w:w="1138" w:type="dxa"/>
            <w:vMerge w:val="restart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spacing w:before="79"/>
              <w:rPr>
                <w:sz w:val="14"/>
              </w:rPr>
            </w:pPr>
          </w:p>
          <w:p>
            <w:pPr>
              <w:pStyle w:val="TableParagraph"/>
              <w:spacing w:line="160" w:lineRule="exact"/>
              <w:ind w:left="383" w:right="151" w:hanging="19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“Separated</w:t>
            </w:r>
            <w:r>
              <w:rPr>
                <w:color w:val="231F20"/>
                <w:spacing w:val="-2"/>
                <w:w w:val="110"/>
                <w:sz w:val="14"/>
              </w:rPr>
              <w:t> from”</w:t>
            </w:r>
          </w:p>
        </w:tc>
        <w:tc>
          <w:tcPr>
            <w:tcW w:w="113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8"/>
              <w:rPr>
                <w:sz w:val="14"/>
              </w:rPr>
            </w:pPr>
          </w:p>
          <w:p>
            <w:pPr>
              <w:pStyle w:val="TableParagraph"/>
              <w:ind w:left="140" w:right="12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Not in the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vertical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line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unless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segregated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by a deck</w:t>
            </w:r>
          </w:p>
        </w:tc>
        <w:tc>
          <w:tcPr>
            <w:tcW w:w="1138" w:type="dxa"/>
            <w:vMerge w:val="restart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</w:tr>
      <w:tr>
        <w:trPr>
          <w:trHeight w:val="15" w:hRule="exact"/>
        </w:trPr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0"/>
              <w:ind w:left="128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0"/>
              <w:ind w:left="117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</w:tr>
      <w:tr>
        <w:trPr>
          <w:trHeight w:val="408" w:hRule="atLeast"/>
        </w:trPr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38" w:lineRule="exact"/>
              <w:ind w:left="54" w:right="4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.2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60" w:lineRule="exact" w:before="118"/>
              <w:ind w:left="145" w:right="46" w:firstLine="235"/>
              <w:rPr>
                <w:sz w:val="14"/>
              </w:rPr>
            </w:pPr>
            <w:r>
              <w:rPr>
                <w:color w:val="231F20"/>
                <w:sz w:val="14"/>
              </w:rPr>
              <w:t>As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for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“open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7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7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7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7"/>
              <w:ind w:left="335" w:hanging="220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before="17"/>
              <w:ind w:left="335" w:hanging="220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" w:hRule="exact"/>
        </w:trPr>
        <w:tc>
          <w:tcPr>
            <w:tcW w:w="1138" w:type="dxa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150"/>
              <w:ind w:left="164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150"/>
              <w:ind w:left="118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151"/>
              <w:ind w:left="117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top w:val="double" w:sz="4" w:space="0" w:color="231F2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151"/>
              <w:ind w:left="84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164" w:hRule="atLeast"/>
        </w:trPr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22" w:lineRule="exact" w:before="23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“Separated</w:t>
            </w:r>
            <w:r>
              <w:rPr>
                <w:color w:val="231F20"/>
                <w:spacing w:val="18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by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38" w:lineRule="exact"/>
              <w:ind w:left="375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open”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27" w:lineRule="exact" w:before="17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27" w:lineRule="exact" w:before="18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26" w:lineRule="exact" w:before="18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atLeast"/>
        </w:trPr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3" w:lineRule="exact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a</w:t>
            </w:r>
            <w:r>
              <w:rPr>
                <w:color w:val="231F20"/>
                <w:spacing w:val="-7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complete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4" w:lineRule="exact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" w:hRule="atLeast"/>
        </w:trPr>
        <w:tc>
          <w:tcPr>
            <w:tcW w:w="1138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10" w:lineRule="exact"/>
              <w:ind w:left="116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" w:hRule="atLeast"/>
        </w:trPr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1"/>
              <w:ind w:left="127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1"/>
              <w:ind w:left="117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1"/>
              <w:ind w:left="117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51"/>
              <w:ind w:left="84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132" w:hRule="atLeast"/>
        </w:trPr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2" w:lineRule="exact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16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  <w:r>
              <w:rPr>
                <w:color w:val="231F20"/>
                <w:spacing w:val="16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from”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2" w:lineRule="exact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2" w:lineRule="exact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13" w:lineRule="exact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Three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container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44" w:lineRule="exact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.3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50" w:lineRule="exact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50" w:lineRule="exact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double" w:sz="4" w:space="0" w:color="231F20"/>
            </w:tcBorders>
          </w:tcPr>
          <w:p>
            <w:pPr>
              <w:pStyle w:val="TableParagraph"/>
              <w:spacing w:line="150" w:lineRule="exact"/>
              <w:ind w:left="53" w:right="4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9" w:hRule="atLeast"/>
        </w:trPr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12" w:right="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“Separated</w:t>
            </w:r>
            <w:r>
              <w:rPr>
                <w:color w:val="231F20"/>
                <w:w w:val="105"/>
                <w:sz w:val="14"/>
              </w:rPr>
              <w:t> longitudinally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by an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intervening </w:t>
            </w:r>
            <w:r>
              <w:rPr>
                <w:color w:val="231F20"/>
                <w:spacing w:val="-2"/>
                <w:w w:val="105"/>
                <w:sz w:val="14"/>
              </w:rPr>
              <w:t>complete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</w:p>
          <w:p>
            <w:pPr>
              <w:pStyle w:val="TableParagraph"/>
              <w:spacing w:line="156" w:lineRule="exact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16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  <w:r>
              <w:rPr>
                <w:color w:val="231F20"/>
                <w:spacing w:val="16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from”</w:t>
            </w:r>
          </w:p>
          <w:p>
            <w:pPr>
              <w:pStyle w:val="TableParagraph"/>
              <w:spacing w:line="161" w:lineRule="exact"/>
              <w:ind w:left="53" w:right="45"/>
              <w:jc w:val="center"/>
              <w:rPr>
                <w:rFonts w:ascii="Times New Roman"/>
                <w:sz w:val="14"/>
              </w:rPr>
            </w:pPr>
            <w:r>
              <w:rPr>
                <w:color w:val="231F20"/>
                <w:spacing w:val="-5"/>
                <w:w w:val="105"/>
                <w:sz w:val="14"/>
              </w:rPr>
              <w:t>.4</w:t>
            </w:r>
            <w:r>
              <w:rPr>
                <w:rFonts w:ascii="Times New Roman"/>
                <w:color w:val="231F20"/>
                <w:spacing w:val="-5"/>
                <w:w w:val="105"/>
                <w:sz w:val="14"/>
                <w:vertAlign w:val="superscript"/>
              </w:rPr>
              <w:t>*</w:t>
            </w:r>
          </w:p>
        </w:tc>
        <w:tc>
          <w:tcPr>
            <w:tcW w:w="3414" w:type="dxa"/>
            <w:gridSpan w:val="3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0"/>
              <w:rPr>
                <w:sz w:val="14"/>
              </w:rPr>
            </w:pPr>
          </w:p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3"/>
              <w:ind w:left="173" w:right="16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ind w:left="119" w:right="106"/>
              <w:jc w:val="center"/>
              <w:rPr>
                <w:rFonts w:ascii="Times New Roman"/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bulkhead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 of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rFonts w:ascii="Times New Roman"/>
                <w:color w:val="231F20"/>
                <w:sz w:val="14"/>
                <w:vertAlign w:val="superscript"/>
              </w:rPr>
              <w:t>*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3"/>
              <w:ind w:left="173" w:right="16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3"/>
              <w:ind w:left="173" w:right="16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1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310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</w:tr>
    </w:tbl>
    <w:p>
      <w:pPr>
        <w:spacing w:before="49"/>
        <w:ind w:left="206" w:right="0" w:firstLine="0"/>
        <w:jc w:val="left"/>
        <w:rPr>
          <w:sz w:val="13"/>
        </w:rPr>
      </w:pPr>
      <w:r>
        <w:rPr>
          <w:rFonts w:ascii="Times New Roman"/>
          <w:color w:val="231F20"/>
          <w:sz w:val="13"/>
          <w:vertAlign w:val="superscript"/>
        </w:rPr>
        <w:t>*</w:t>
      </w:r>
      <w:r>
        <w:rPr>
          <w:rFonts w:ascii="Times New Roman"/>
          <w:color w:val="231F20"/>
          <w:spacing w:val="32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Containers</w:t>
      </w:r>
      <w:r>
        <w:rPr>
          <w:color w:val="231F20"/>
          <w:spacing w:val="8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not</w:t>
      </w:r>
      <w:r>
        <w:rPr>
          <w:color w:val="231F20"/>
          <w:spacing w:val="8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less</w:t>
      </w:r>
      <w:r>
        <w:rPr>
          <w:color w:val="231F20"/>
          <w:spacing w:val="9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than</w:t>
      </w:r>
      <w:r>
        <w:rPr>
          <w:color w:val="231F20"/>
          <w:spacing w:val="8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6</w:t>
      </w:r>
      <w:r>
        <w:rPr>
          <w:color w:val="231F20"/>
          <w:spacing w:val="9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m</w:t>
      </w:r>
      <w:r>
        <w:rPr>
          <w:color w:val="231F20"/>
          <w:spacing w:val="8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from</w:t>
      </w:r>
      <w:r>
        <w:rPr>
          <w:color w:val="231F20"/>
          <w:spacing w:val="9"/>
          <w:sz w:val="13"/>
          <w:vertAlign w:val="baseline"/>
        </w:rPr>
        <w:t> </w:t>
      </w:r>
      <w:r>
        <w:rPr>
          <w:color w:val="231F20"/>
          <w:sz w:val="13"/>
          <w:vertAlign w:val="baseline"/>
        </w:rPr>
        <w:t>intervening</w:t>
      </w:r>
      <w:r>
        <w:rPr>
          <w:color w:val="231F20"/>
          <w:spacing w:val="8"/>
          <w:sz w:val="13"/>
          <w:vertAlign w:val="baseline"/>
        </w:rPr>
        <w:t> </w:t>
      </w:r>
      <w:r>
        <w:rPr>
          <w:color w:val="231F20"/>
          <w:spacing w:val="-2"/>
          <w:sz w:val="13"/>
          <w:vertAlign w:val="baseline"/>
        </w:rPr>
        <w:t>bulkhead.</w:t>
      </w:r>
    </w:p>
    <w:p>
      <w:pPr>
        <w:pStyle w:val="BodyText"/>
        <w:rPr>
          <w:sz w:val="13"/>
        </w:rPr>
      </w:pPr>
    </w:p>
    <w:p>
      <w:pPr>
        <w:pStyle w:val="BodyText"/>
        <w:spacing w:before="37"/>
        <w:rPr>
          <w:sz w:val="13"/>
        </w:rPr>
      </w:pPr>
    </w:p>
    <w:p>
      <w:pPr>
        <w:pStyle w:val="BodyText"/>
        <w:ind w:left="201"/>
      </w:pPr>
      <w:r>
        <w:rPr>
          <w:rFonts w:ascii="Arial"/>
          <w:b/>
          <w:color w:val="231F20"/>
          <w:w w:val="105"/>
        </w:rPr>
        <w:t>Note:</w:t>
      </w:r>
      <w:r>
        <w:rPr>
          <w:rFonts w:ascii="Arial"/>
          <w:b/>
          <w:color w:val="231F20"/>
          <w:spacing w:val="-3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bulkheads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decks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shall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resistant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fire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liquids.</w:t>
      </w:r>
    </w:p>
    <w:p>
      <w:pPr>
        <w:pStyle w:val="BodyText"/>
        <w:spacing w:after="0"/>
        <w:sectPr>
          <w:headerReference w:type="default" r:id="rId6"/>
          <w:pgSz w:w="16840" w:h="11910" w:orient="landscape"/>
          <w:pgMar w:header="0" w:footer="0" w:top="0" w:bottom="280" w:left="2409" w:right="1700"/>
        </w:sect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9885283</wp:posOffset>
                </wp:positionH>
                <wp:positionV relativeFrom="page">
                  <wp:posOffset>899999</wp:posOffset>
                </wp:positionV>
                <wp:extent cx="1270" cy="61201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6120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20130">
                              <a:moveTo>
                                <a:pt x="0" y="0"/>
                              </a:moveTo>
                              <a:lnTo>
                                <a:pt x="0" y="6120003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218112" from="778.368774pt,70.866096pt" to="778.368774pt,552.756096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533650</wp:posOffset>
                </wp:positionH>
                <wp:positionV relativeFrom="page">
                  <wp:posOffset>899999</wp:posOffset>
                </wp:positionV>
                <wp:extent cx="6350" cy="612013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350" cy="6120130"/>
                          <a:chExt cx="6350" cy="61201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2880000"/>
                            <a:ext cx="1270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0405">
                                <a:moveTo>
                                  <a:pt x="0" y="0"/>
                                </a:moveTo>
                                <a:lnTo>
                                  <a:pt x="0" y="32399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5" y="0"/>
                            <a:ext cx="127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80360">
                                <a:moveTo>
                                  <a:pt x="0" y="0"/>
                                </a:moveTo>
                                <a:lnTo>
                                  <a:pt x="0" y="288000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19699pt;margin-top:70.866096pt;width:.5pt;height:481.9pt;mso-position-horizontal-relative:page;mso-position-vertical-relative:page;z-index:15737344" id="docshapegroup25" coordorigin="840,1417" coordsize="10,9638">
                <v:line style="position:absolute" from="845,5953" to="845,11055" stroked="true" strokeweight=".5pt" strokecolor="#231f20">
                  <v:stroke dashstyle="solid"/>
                </v:line>
                <v:line style="position:absolute" from="845,1417" to="845,5953" stroked="true" strokeweight=".5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7199998</wp:posOffset>
                </wp:positionV>
                <wp:extent cx="1521460" cy="3600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52146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 h="360045">
                              <a:moveTo>
                                <a:pt x="1521002" y="360006"/>
                              </a:moveTo>
                              <a:lnTo>
                                <a:pt x="1521002" y="0"/>
                              </a:lnTo>
                              <a:lnTo>
                                <a:pt x="0" y="0"/>
                              </a:lnTo>
                              <a:lnTo>
                                <a:pt x="0" y="360006"/>
                              </a:lnTo>
                              <a:lnTo>
                                <a:pt x="1521002" y="3600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566.929016pt;width:119.764pt;height:28.347001pt;mso-position-horizontal-relative:page;mso-position-vertical-relative:page;z-index:15737856" id="docshape26" filled="true" fillcolor="#58595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10221933</wp:posOffset>
                </wp:positionH>
                <wp:positionV relativeFrom="page">
                  <wp:posOffset>6041519</wp:posOffset>
                </wp:positionV>
                <wp:extent cx="290830" cy="9912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90830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MSC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108/20/Add.2</w:t>
                            </w:r>
                          </w:p>
                          <w:p>
                            <w:pPr>
                              <w:spacing w:before="9"/>
                              <w:ind w:left="29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Annex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8,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516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4.876648pt;margin-top:475.710175pt;width:22.9pt;height:78.05pt;mso-position-horizontal-relative:page;mso-position-vertical-relative:page;z-index:15738368" type="#_x0000_t202" id="docshape27" filled="false" stroked="false">
                <v:textbox inset="0,0,0,0" style="layout-flow:vertical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MSC</w:t>
                      </w:r>
                      <w:r>
                        <w:rPr>
                          <w:spacing w:val="-2"/>
                          <w:sz w:val="18"/>
                        </w:rPr>
                        <w:t> 108/20/Add.2</w:t>
                      </w:r>
                    </w:p>
                    <w:p>
                      <w:pPr>
                        <w:spacing w:before="9"/>
                        <w:ind w:left="29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Annex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8,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page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516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9927177</wp:posOffset>
                </wp:positionH>
                <wp:positionV relativeFrom="page">
                  <wp:posOffset>3987370</wp:posOffset>
                </wp:positionV>
                <wp:extent cx="156845" cy="30454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56845" cy="3045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Chapter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7.4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Stowage</w:t>
                            </w:r>
                            <w:r>
                              <w:rPr>
                                <w:color w:val="231F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segregation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containerships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1.667542pt;margin-top:313.966187pt;width:12.35pt;height:239.8pt;mso-position-horizontal-relative:page;mso-position-vertical-relative:page;z-index:15738880" type="#_x0000_t202" id="docshape28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8"/>
                        <w:ind w:left="20"/>
                      </w:pPr>
                      <w:r>
                        <w:rPr>
                          <w:color w:val="231F20"/>
                        </w:rPr>
                        <w:t>Chapter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7.4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–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Stowage</w:t>
                      </w:r>
                      <w:r>
                        <w:rPr>
                          <w:color w:val="231F20"/>
                          <w:spacing w:val="31"/>
                        </w:rPr>
                        <w:t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segregation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</w:rPr>
                        <w:t>on</w:t>
                      </w:r>
                      <w:r>
                        <w:rPr>
                          <w:color w:val="231F20"/>
                          <w:spacing w:val="3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containerships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512090</wp:posOffset>
                </wp:positionH>
                <wp:positionV relativeFrom="page">
                  <wp:posOffset>7269764</wp:posOffset>
                </wp:positionV>
                <wp:extent cx="502284" cy="220979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02284" cy="2209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0" w:right="0" w:firstLine="0"/>
                              <w:jc w:val="left"/>
                              <w:rPr>
                                <w:sz w:val="6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6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22102pt;margin-top:572.422424pt;width:39.550pt;height:17.4pt;mso-position-horizontal-relative:page;mso-position-vertical-relative:page;z-index:15739392" type="#_x0000_t202" id="docshape29" filled="false" stroked="false">
                <v:textbox inset="0,0,0,0" style="layout-flow:vertical">
                  <w:txbxContent>
                    <w:p>
                      <w:pPr>
                        <w:spacing w:before="27"/>
                        <w:ind w:left="20" w:right="0" w:firstLine="0"/>
                        <w:jc w:val="left"/>
                        <w:rPr>
                          <w:sz w:val="64"/>
                        </w:rPr>
                      </w:pPr>
                      <w:r>
                        <w:rPr>
                          <w:color w:val="FFFFFF"/>
                          <w:spacing w:val="-10"/>
                          <w:w w:val="90"/>
                          <w:sz w:val="6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348628</wp:posOffset>
                </wp:positionH>
                <wp:positionV relativeFrom="page">
                  <wp:posOffset>887299</wp:posOffset>
                </wp:positionV>
                <wp:extent cx="177800" cy="277876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77800" cy="277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IMDG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(Amendment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42-24)</w:t>
                            </w:r>
                            <w:r>
                              <w:rPr>
                                <w:color w:val="231F2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2024</w:t>
                            </w:r>
                            <w:r>
                              <w:rPr>
                                <w:color w:val="231F2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EDITION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51099pt;margin-top:69.866096pt;width:14pt;height:218.8pt;mso-position-horizontal-relative:page;mso-position-vertical-relative:page;z-index:15739904" type="#_x0000_t202" id="docshape30" filled="false" stroked="false">
                <v:textbox inset="0,0,0,0" style="layout-flow:vertical">
                  <w:txbxContent>
                    <w:p>
                      <w:pPr>
                        <w:spacing w:before="27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z w:val="20"/>
                        </w:rPr>
                        <w:t>IMDG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Code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(Amendment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42-24)</w:t>
                      </w:r>
                      <w:r>
                        <w:rPr>
                          <w:color w:val="231F2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z w:val="20"/>
                        </w:rPr>
                        <w:t>2024</w:t>
                      </w:r>
                      <w:r>
                        <w:rPr>
                          <w:color w:val="231F2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20"/>
                        </w:rPr>
                        <w:t>EDITION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348628</wp:posOffset>
                </wp:positionH>
                <wp:positionV relativeFrom="page">
                  <wp:posOffset>6792352</wp:posOffset>
                </wp:positionV>
                <wp:extent cx="175260" cy="24066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7526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505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451099pt;margin-top:534.830872pt;width:13.8pt;height:18.95pt;mso-position-horizontal-relative:page;mso-position-vertical-relative:page;z-index:15740416" type="#_x0000_t202" id="docshape31" filled="false" stroked="false">
                <v:textbox inset="0,0,0,0" style="layout-flow:vertical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1F20"/>
                          <w:spacing w:val="-5"/>
                          <w:sz w:val="20"/>
                        </w:rPr>
                        <w:t>505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1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val="229" w:hRule="atLeast"/>
        </w:trPr>
        <w:tc>
          <w:tcPr>
            <w:tcW w:w="1138" w:type="dxa"/>
            <w:vMerge w:val="restart"/>
          </w:tcPr>
          <w:p>
            <w:pPr>
              <w:pStyle w:val="TableParagraph"/>
              <w:spacing w:before="82"/>
              <w:rPr>
                <w:sz w:val="14"/>
              </w:rPr>
            </w:pPr>
          </w:p>
          <w:p>
            <w:pPr>
              <w:pStyle w:val="TableParagraph"/>
              <w:ind w:left="163" w:hanging="3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Segregation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requirement</w:t>
            </w:r>
          </w:p>
        </w:tc>
        <w:tc>
          <w:tcPr>
            <w:tcW w:w="3414" w:type="dxa"/>
            <w:gridSpan w:val="3"/>
          </w:tcPr>
          <w:p>
            <w:pPr>
              <w:pStyle w:val="TableParagraph"/>
              <w:spacing w:before="33"/>
              <w:ind w:left="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Vertical</w:t>
            </w:r>
          </w:p>
        </w:tc>
        <w:tc>
          <w:tcPr>
            <w:tcW w:w="7966" w:type="dxa"/>
            <w:gridSpan w:val="7"/>
          </w:tcPr>
          <w:p>
            <w:pPr>
              <w:pStyle w:val="TableParagraph"/>
              <w:spacing w:before="33"/>
              <w:ind w:left="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Horizontal</w:t>
            </w:r>
          </w:p>
        </w:tc>
      </w:tr>
      <w:tr>
        <w:trPr>
          <w:trHeight w:val="330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123"/>
              <w:ind w:left="346" w:hanging="252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Closed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2"/>
                <w:w w:val="105"/>
                <w:sz w:val="14"/>
              </w:rPr>
              <w:t>closed</w:t>
            </w: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123"/>
              <w:ind w:left="400" w:hanging="307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Closed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4"/>
                <w:w w:val="105"/>
                <w:sz w:val="14"/>
              </w:rPr>
              <w:t>open</w:t>
            </w:r>
          </w:p>
        </w:tc>
        <w:tc>
          <w:tcPr>
            <w:tcW w:w="1138" w:type="dxa"/>
            <w:vMerge w:val="restart"/>
          </w:tcPr>
          <w:p>
            <w:pPr>
              <w:pStyle w:val="TableParagraph"/>
              <w:spacing w:before="123"/>
              <w:ind w:left="400" w:hanging="252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Open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versus </w:t>
            </w:r>
            <w:r>
              <w:rPr>
                <w:color w:val="231F20"/>
                <w:spacing w:val="-4"/>
                <w:w w:val="105"/>
                <w:sz w:val="14"/>
              </w:rPr>
              <w:t>open</w:t>
            </w: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83"/>
              <w:ind w:left="421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closed</w:t>
            </w: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83"/>
              <w:ind w:left="475"/>
              <w:rPr>
                <w:sz w:val="14"/>
              </w:rPr>
            </w:pPr>
            <w:r>
              <w:rPr>
                <w:color w:val="231F20"/>
                <w:sz w:val="14"/>
              </w:rPr>
              <w:t>Closed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25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  <w:tc>
          <w:tcPr>
            <w:tcW w:w="2276" w:type="dxa"/>
            <w:gridSpan w:val="2"/>
          </w:tcPr>
          <w:p>
            <w:pPr>
              <w:pStyle w:val="TableParagraph"/>
              <w:spacing w:before="83"/>
              <w:ind w:left="530"/>
              <w:rPr>
                <w:sz w:val="14"/>
              </w:rPr>
            </w:pPr>
            <w:r>
              <w:rPr>
                <w:color w:val="231F20"/>
                <w:sz w:val="14"/>
              </w:rPr>
              <w:t>Open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19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open</w:t>
            </w:r>
          </w:p>
        </w:tc>
      </w:tr>
      <w:tr>
        <w:trPr>
          <w:trHeight w:val="229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Under</w:t>
            </w:r>
            <w:r>
              <w:rPr>
                <w:color w:val="231F20"/>
                <w:spacing w:val="18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deck</w:t>
            </w:r>
          </w:p>
        </w:tc>
      </w:tr>
      <w:tr>
        <w:trPr>
          <w:trHeight w:val="539" w:hRule="atLeast"/>
        </w:trPr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1"/>
              <w:rPr>
                <w:sz w:val="14"/>
              </w:rPr>
            </w:pPr>
          </w:p>
          <w:p>
            <w:pPr>
              <w:pStyle w:val="TableParagraph"/>
              <w:spacing w:line="161" w:lineRule="exact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“Away</w:t>
            </w:r>
            <w:r>
              <w:rPr>
                <w:color w:val="231F20"/>
                <w:spacing w:val="-2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10"/>
                <w:sz w:val="14"/>
              </w:rPr>
              <w:t>from”</w:t>
            </w:r>
          </w:p>
          <w:p>
            <w:pPr>
              <w:pStyle w:val="TableParagraph"/>
              <w:spacing w:line="161" w:lineRule="exact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.1</w:t>
            </w: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112"/>
              <w:rPr>
                <w:sz w:val="14"/>
              </w:rPr>
            </w:pPr>
          </w:p>
          <w:p>
            <w:pPr>
              <w:pStyle w:val="TableParagraph"/>
              <w:ind w:left="201" w:right="189" w:firstLine="10"/>
              <w:jc w:val="both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One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on</w:t>
            </w:r>
            <w:r>
              <w:rPr>
                <w:color w:val="231F20"/>
                <w:spacing w:val="-1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top of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the</w:t>
            </w:r>
            <w:r>
              <w:rPr>
                <w:color w:val="231F20"/>
                <w:spacing w:val="-1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other </w:t>
            </w:r>
            <w:r>
              <w:rPr>
                <w:color w:val="231F20"/>
                <w:spacing w:val="-2"/>
                <w:w w:val="105"/>
                <w:sz w:val="14"/>
              </w:rPr>
              <w:t>permitted</w:t>
            </w: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spacing w:before="34"/>
              <w:ind w:left="134" w:right="123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Open</w:t>
            </w:r>
            <w:r>
              <w:rPr>
                <w:color w:val="231F20"/>
                <w:spacing w:val="-11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on</w:t>
            </w:r>
            <w:r>
              <w:rPr>
                <w:color w:val="231F20"/>
                <w:spacing w:val="-1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top of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closed </w:t>
            </w:r>
            <w:r>
              <w:rPr>
                <w:color w:val="231F20"/>
                <w:spacing w:val="-2"/>
                <w:w w:val="105"/>
                <w:sz w:val="14"/>
              </w:rPr>
              <w:t>permitted</w:t>
            </w:r>
          </w:p>
          <w:p>
            <w:pPr>
              <w:pStyle w:val="TableParagraph"/>
              <w:spacing w:line="237" w:lineRule="auto"/>
              <w:ind w:left="1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otherwise as </w:t>
            </w:r>
            <w:r>
              <w:rPr>
                <w:color w:val="231F20"/>
                <w:sz w:val="14"/>
              </w:rPr>
              <w:t>for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“open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open”</w:t>
            </w:r>
          </w:p>
        </w:tc>
        <w:tc>
          <w:tcPr>
            <w:tcW w:w="1138" w:type="dxa"/>
            <w:vMerge w:val="restart"/>
            <w:tcBorders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204" w:hanging="140"/>
              <w:rPr>
                <w:sz w:val="14"/>
              </w:rPr>
            </w:pP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vertical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line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114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</w:tcPr>
          <w:p>
            <w:pPr>
              <w:pStyle w:val="TableParagraph"/>
              <w:spacing w:before="3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</w:tr>
      <w:tr>
        <w:trPr>
          <w:trHeight w:val="450" w:hRule="atLeast"/>
        </w:trPr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4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4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4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4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3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restriction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64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64"/>
              <w:ind w:left="372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</w:tr>
      <w:tr>
        <w:trPr>
          <w:trHeight w:val="689" w:hRule="atLeast"/>
        </w:trPr>
        <w:tc>
          <w:tcPr>
            <w:tcW w:w="113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2"/>
              <w:rPr>
                <w:sz w:val="14"/>
              </w:rPr>
            </w:pPr>
          </w:p>
          <w:p>
            <w:pPr>
              <w:pStyle w:val="TableParagraph"/>
              <w:ind w:left="175" w:right="16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“Separated</w:t>
            </w:r>
            <w:r>
              <w:rPr>
                <w:color w:val="231F20"/>
                <w:spacing w:val="-2"/>
                <w:w w:val="110"/>
                <w:sz w:val="14"/>
              </w:rPr>
              <w:t> from”</w:t>
            </w:r>
          </w:p>
          <w:p>
            <w:pPr>
              <w:pStyle w:val="TableParagraph"/>
              <w:spacing w:line="159" w:lineRule="exact"/>
              <w:ind w:left="54" w:right="41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.2</w:t>
            </w:r>
          </w:p>
        </w:tc>
        <w:tc>
          <w:tcPr>
            <w:tcW w:w="113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7"/>
              <w:rPr>
                <w:sz w:val="14"/>
              </w:rPr>
            </w:pPr>
          </w:p>
          <w:p>
            <w:pPr>
              <w:pStyle w:val="TableParagraph"/>
              <w:ind w:left="203" w:hanging="140"/>
              <w:rPr>
                <w:sz w:val="14"/>
              </w:rPr>
            </w:pP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the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vertical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line</w:t>
            </w:r>
          </w:p>
        </w:tc>
        <w:tc>
          <w:tcPr>
            <w:tcW w:w="113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7"/>
              <w:rPr>
                <w:sz w:val="14"/>
              </w:rPr>
            </w:pPr>
          </w:p>
          <w:p>
            <w:pPr>
              <w:pStyle w:val="TableParagraph"/>
              <w:ind w:left="145" w:firstLine="23"/>
              <w:rPr>
                <w:sz w:val="14"/>
              </w:rPr>
            </w:pPr>
            <w:r>
              <w:rPr>
                <w:color w:val="231F20"/>
                <w:sz w:val="14"/>
              </w:rPr>
              <w:t>As for “open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versus</w:t>
            </w:r>
            <w:r>
              <w:rPr>
                <w:color w:val="231F20"/>
                <w:spacing w:val="5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open”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8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 or one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4"/>
              <w:ind w:left="109" w:right="10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</w:tr>
      <w:tr>
        <w:trPr>
          <w:trHeight w:val="689" w:hRule="atLeast"/>
        </w:trPr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spacing w:before="1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spacing w:before="1"/>
              <w:ind w:left="373" w:hanging="260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spacing w:before="1"/>
              <w:ind w:left="336" w:hanging="220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spacing w:before="1"/>
              <w:ind w:left="335" w:hanging="220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10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spaces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5"/>
              <w:ind w:left="90" w:right="82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5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3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</w:t>
            </w:r>
          </w:p>
        </w:tc>
      </w:tr>
      <w:tr>
        <w:trPr>
          <w:trHeight w:val="689" w:hRule="atLeast"/>
        </w:trPr>
        <w:tc>
          <w:tcPr>
            <w:tcW w:w="1138" w:type="dxa"/>
            <w:vMerge w:val="restart"/>
            <w:tcBorders>
              <w:top w:val="double" w:sz="4" w:space="0" w:color="231F20"/>
              <w:bottom w:val="double" w:sz="4" w:space="0" w:color="231F20"/>
            </w:tcBorders>
          </w:tcPr>
          <w:p>
            <w:pPr>
              <w:pStyle w:val="TableParagraph"/>
              <w:spacing w:before="143"/>
              <w:rPr>
                <w:sz w:val="14"/>
              </w:rPr>
            </w:pPr>
          </w:p>
          <w:p>
            <w:pPr>
              <w:pStyle w:val="TableParagraph"/>
              <w:spacing w:before="1"/>
              <w:ind w:left="100" w:right="89" w:hanging="1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“Separated</w:t>
            </w:r>
            <w:r>
              <w:rPr>
                <w:color w:val="231F20"/>
                <w:spacing w:val="80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by</w:t>
            </w:r>
            <w:r>
              <w:rPr>
                <w:color w:val="231F20"/>
                <w:spacing w:val="-9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</w:t>
            </w:r>
            <w:r>
              <w:rPr>
                <w:color w:val="231F20"/>
                <w:spacing w:val="-9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complete </w:t>
            </w: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  <w:r>
              <w:rPr>
                <w:color w:val="231F20"/>
                <w:w w:val="105"/>
                <w:sz w:val="14"/>
              </w:rPr>
              <w:t> or hold from”</w:t>
            </w:r>
          </w:p>
          <w:p>
            <w:pPr>
              <w:pStyle w:val="TableParagraph"/>
              <w:spacing w:line="157" w:lineRule="exact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.3</w:t>
            </w: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110" w:right="10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110" w:right="10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5"/>
              <w:ind w:left="90" w:right="82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689" w:hRule="atLeast"/>
        </w:trPr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bottom w:val="double" w:sz="4" w:space="0" w:color="231F2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5"/>
              <w:ind w:left="90" w:right="81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4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5"/>
              <w:ind w:left="90" w:right="82" w:hanging="1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2"/>
                <w:sz w:val="14"/>
              </w:rPr>
              <w:t> bulkhead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25"/>
              <w:ind w:left="195" w:hanging="134"/>
              <w:rPr>
                <w:sz w:val="14"/>
              </w:rPr>
            </w:pPr>
            <w:r>
              <w:rPr>
                <w:color w:val="231F20"/>
                <w:sz w:val="14"/>
              </w:rPr>
              <w:t>Three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container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spaces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</w:p>
          <w:p>
            <w:pPr>
              <w:pStyle w:val="TableParagraph"/>
              <w:ind w:left="233" w:hanging="144"/>
              <w:rPr>
                <w:sz w:val="14"/>
              </w:rPr>
            </w:pP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in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or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bottom w:val="double" w:sz="4" w:space="0" w:color="231F20"/>
            </w:tcBorders>
          </w:tcPr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1019" w:hRule="atLeast"/>
        </w:trPr>
        <w:tc>
          <w:tcPr>
            <w:tcW w:w="1138" w:type="dxa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spacing w:before="26"/>
              <w:ind w:left="117" w:right="106" w:hanging="1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“Separated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longitudinally</w:t>
            </w:r>
            <w:r>
              <w:rPr>
                <w:color w:val="231F20"/>
                <w:w w:val="105"/>
                <w:sz w:val="14"/>
              </w:rPr>
              <w:t> by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 </w:t>
            </w:r>
            <w:r>
              <w:rPr>
                <w:color w:val="231F20"/>
                <w:spacing w:val="-2"/>
                <w:w w:val="105"/>
                <w:sz w:val="14"/>
              </w:rPr>
              <w:t>intervening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complete</w:t>
            </w:r>
            <w:r>
              <w:rPr>
                <w:color w:val="231F20"/>
                <w:spacing w:val="40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compartment</w:t>
            </w:r>
            <w:r>
              <w:rPr>
                <w:color w:val="231F20"/>
                <w:w w:val="105"/>
                <w:sz w:val="14"/>
              </w:rPr>
              <w:t> or</w:t>
            </w:r>
            <w:r>
              <w:rPr>
                <w:color w:val="231F20"/>
                <w:spacing w:val="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hold</w:t>
            </w:r>
            <w:r>
              <w:rPr>
                <w:color w:val="231F20"/>
                <w:spacing w:val="5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from”</w:t>
            </w:r>
          </w:p>
          <w:p>
            <w:pPr>
              <w:pStyle w:val="TableParagraph"/>
              <w:spacing w:line="154" w:lineRule="exact"/>
              <w:ind w:left="53" w:right="42"/>
              <w:jc w:val="center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.4</w:t>
            </w:r>
          </w:p>
        </w:tc>
        <w:tc>
          <w:tcPr>
            <w:tcW w:w="3414" w:type="dxa"/>
            <w:gridSpan w:val="3"/>
            <w:vMerge w:val="restart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3"/>
              <w:rPr>
                <w:sz w:val="14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Fore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and</w:t>
            </w:r>
            <w:r>
              <w:rPr>
                <w:color w:val="231F20"/>
                <w:spacing w:val="-4"/>
                <w:w w:val="105"/>
                <w:sz w:val="14"/>
              </w:rPr>
              <w:t> </w:t>
            </w:r>
            <w:r>
              <w:rPr>
                <w:color w:val="231F20"/>
                <w:spacing w:val="-5"/>
                <w:w w:val="105"/>
                <w:sz w:val="14"/>
              </w:rPr>
              <w:t>aft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6"/>
              <w:ind w:left="149" w:right="140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106"/>
              <w:ind w:left="118" w:right="107"/>
              <w:jc w:val="center"/>
              <w:rPr>
                <w:rFonts w:ascii="Times New Roman"/>
                <w:sz w:val="14"/>
              </w:rPr>
            </w:pPr>
            <w:r>
              <w:rPr>
                <w:color w:val="231F20"/>
                <w:sz w:val="14"/>
              </w:rPr>
              <w:t>One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z w:val="14"/>
              </w:rPr>
              <w:t>bulkhead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 of</w:t>
            </w:r>
            <w:r>
              <w:rPr>
                <w:color w:val="231F20"/>
                <w:spacing w:val="8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rFonts w:ascii="Times New Roman"/>
                <w:color w:val="231F20"/>
                <w:sz w:val="14"/>
                <w:vertAlign w:val="superscript"/>
              </w:rPr>
              <w:t>*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ind w:left="149" w:right="13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1"/>
              <w:rPr>
                <w:sz w:val="14"/>
              </w:rPr>
            </w:pPr>
          </w:p>
          <w:p>
            <w:pPr>
              <w:pStyle w:val="TableParagraph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spacing w:before="23"/>
              <w:ind w:left="149" w:right="140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Minimum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horizontal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distance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of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24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m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and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not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in or above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same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hold</w:t>
            </w:r>
          </w:p>
        </w:tc>
        <w:tc>
          <w:tcPr>
            <w:tcW w:w="1138" w:type="dxa"/>
            <w:tcBorders>
              <w:top w:val="double" w:sz="4" w:space="0" w:color="231F2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1"/>
              <w:rPr>
                <w:sz w:val="14"/>
              </w:rPr>
            </w:pPr>
          </w:p>
          <w:p>
            <w:pPr>
              <w:pStyle w:val="TableParagraph"/>
              <w:spacing w:before="1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Two</w:t>
            </w:r>
            <w:r>
              <w:rPr>
                <w:color w:val="231F20"/>
                <w:spacing w:val="-9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bulkheads</w:t>
            </w:r>
          </w:p>
        </w:tc>
      </w:tr>
      <w:tr>
        <w:trPr>
          <w:trHeight w:val="310" w:hRule="atLeast"/>
        </w:trPr>
        <w:tc>
          <w:tcPr>
            <w:tcW w:w="11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14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Athwartships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74"/>
              <w:ind w:left="53" w:right="48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Prohibited</w:t>
            </w:r>
          </w:p>
        </w:tc>
      </w:tr>
    </w:tbl>
    <w:p>
      <w:pPr>
        <w:spacing w:before="41"/>
        <w:ind w:left="206" w:right="0" w:firstLine="0"/>
        <w:jc w:val="left"/>
        <w:rPr>
          <w:sz w:val="14"/>
        </w:rPr>
      </w:pPr>
      <w:r>
        <w:rPr>
          <w:rFonts w:ascii="Times New Roman"/>
          <w:color w:val="231F20"/>
          <w:sz w:val="14"/>
          <w:vertAlign w:val="superscript"/>
        </w:rPr>
        <w:t>*</w:t>
      </w:r>
      <w:r>
        <w:rPr>
          <w:rFonts w:ascii="Times New Roman"/>
          <w:color w:val="231F20"/>
          <w:spacing w:val="24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Containers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not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less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than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6</w:t>
      </w:r>
      <w:r>
        <w:rPr>
          <w:color w:val="231F20"/>
          <w:spacing w:val="9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m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from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z w:val="14"/>
          <w:vertAlign w:val="baseline"/>
        </w:rPr>
        <w:t>intervening</w:t>
      </w:r>
      <w:r>
        <w:rPr>
          <w:color w:val="231F20"/>
          <w:spacing w:val="8"/>
          <w:sz w:val="14"/>
          <w:vertAlign w:val="baseline"/>
        </w:rPr>
        <w:t> </w:t>
      </w:r>
      <w:r>
        <w:rPr>
          <w:color w:val="231F20"/>
          <w:spacing w:val="-2"/>
          <w:sz w:val="14"/>
          <w:vertAlign w:val="baseline"/>
        </w:rPr>
        <w:t>bulkhead.</w:t>
      </w:r>
    </w:p>
    <w:p>
      <w:pPr>
        <w:pStyle w:val="BodyText"/>
        <w:spacing w:before="109"/>
        <w:rPr>
          <w:sz w:val="14"/>
        </w:rPr>
      </w:pPr>
    </w:p>
    <w:p>
      <w:pPr>
        <w:pStyle w:val="BodyText"/>
        <w:ind w:left="201"/>
      </w:pPr>
      <w:r>
        <w:rPr>
          <w:rFonts w:ascii="Arial"/>
          <w:b/>
          <w:color w:val="231F20"/>
          <w:w w:val="105"/>
        </w:rPr>
        <w:t>Note:</w:t>
      </w:r>
      <w:r>
        <w:rPr>
          <w:rFonts w:ascii="Arial"/>
          <w:b/>
          <w:color w:val="231F20"/>
          <w:spacing w:val="-3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bulkheads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decks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shall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resistant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fire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liquids.</w:t>
      </w:r>
    </w:p>
    <w:sectPr>
      <w:headerReference w:type="default" r:id="rId7"/>
      <w:pgSz w:w="16840" w:h="11910" w:orient="landscape"/>
      <w:pgMar w:header="1217" w:footer="0" w:top="1400" w:bottom="0" w:left="240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lfaen">
    <w:altName w:val="Sylfaen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0176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513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710175pt;margin-top:14.158673pt;width:81.05pt;height:22.9pt;mso-position-horizontal-relative:page;mso-position-vertical-relative:page;z-index:-1622630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513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959300</wp:posOffset>
              </wp:positionH>
              <wp:positionV relativeFrom="page">
                <wp:posOffset>499524</wp:posOffset>
              </wp:positionV>
              <wp:extent cx="373380" cy="1606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733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8"/>
                            </w:rPr>
                            <w:t>7.4.3.2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355pt;margin-top:39.3326pt;width:29.4pt;height:12.65pt;mso-position-horizontal-relative:page;mso-position-vertical-relative:page;z-index:-16225792" type="#_x0000_t202" id="docshape1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2"/>
                        <w:sz w:val="18"/>
                      </w:rPr>
                      <w:t>7.4.3.2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1645100</wp:posOffset>
              </wp:positionH>
              <wp:positionV relativeFrom="page">
                <wp:posOffset>499524</wp:posOffset>
              </wp:positionV>
              <wp:extent cx="4519930" cy="16065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5199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Table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segregation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containers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on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board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containerships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with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closed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cargo</w:t>
                          </w:r>
                          <w:r>
                            <w:rPr>
                              <w:color w:val="231F20"/>
                              <w:spacing w:val="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  <w:sz w:val="18"/>
                            </w:rPr>
                            <w:t>holds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9.535507pt;margin-top:39.3326pt;width:355.9pt;height:12.65pt;mso-position-horizontal-relative:page;mso-position-vertical-relative:page;z-index:-16225280" type="#_x0000_t202" id="docshape1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31F20"/>
                        <w:w w:val="105"/>
                        <w:sz w:val="18"/>
                      </w:rPr>
                      <w:t>Table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of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segregation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of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containers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on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board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containerships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with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closed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cargo</w:t>
                    </w:r>
                    <w:r>
                      <w:rPr>
                        <w:color w:val="231F20"/>
                        <w:spacing w:val="5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  <w:sz w:val="18"/>
                      </w:rPr>
                      <w:t>holds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1712">
              <wp:simplePos x="0" y="0"/>
              <wp:positionH relativeFrom="page">
                <wp:posOffset>959300</wp:posOffset>
              </wp:positionH>
              <wp:positionV relativeFrom="page">
                <wp:posOffset>859524</wp:posOffset>
              </wp:positionV>
              <wp:extent cx="372110" cy="16065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7211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sz w:val="18"/>
                            </w:rPr>
                            <w:t>7.4.3.3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355pt;margin-top:67.6791pt;width:29.3pt;height:12.65pt;mso-position-horizontal-relative:page;mso-position-vertical-relative:page;z-index:-16224768" type="#_x0000_t202" id="docshape2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31F20"/>
                        <w:spacing w:val="-2"/>
                        <w:sz w:val="18"/>
                      </w:rPr>
                      <w:t>7.4.3.3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2224">
              <wp:simplePos x="0" y="0"/>
              <wp:positionH relativeFrom="page">
                <wp:posOffset>1645100</wp:posOffset>
              </wp:positionH>
              <wp:positionV relativeFrom="page">
                <wp:posOffset>859524</wp:posOffset>
              </wp:positionV>
              <wp:extent cx="3754120" cy="16065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75412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Table</w:t>
                          </w:r>
                          <w:r>
                            <w:rPr>
                              <w:color w:val="231F20"/>
                              <w:spacing w:val="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segregation</w:t>
                          </w:r>
                          <w:r>
                            <w:rPr>
                              <w:color w:val="231F20"/>
                              <w:spacing w:val="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containers</w:t>
                          </w:r>
                          <w:r>
                            <w:rPr>
                              <w:color w:val="231F20"/>
                              <w:spacing w:val="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on</w:t>
                          </w:r>
                          <w:r>
                            <w:rPr>
                              <w:color w:val="231F20"/>
                              <w:spacing w:val="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board</w:t>
                          </w:r>
                          <w:r>
                            <w:rPr>
                              <w:color w:val="231F20"/>
                              <w:spacing w:val="1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  <w:sz w:val="18"/>
                            </w:rPr>
                            <w:t>hatchless</w:t>
                          </w:r>
                          <w:r>
                            <w:rPr>
                              <w:color w:val="231F20"/>
                              <w:spacing w:val="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  <w:sz w:val="18"/>
                            </w:rPr>
                            <w:t>containerships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9.535507pt;margin-top:67.6791pt;width:295.6pt;height:12.65pt;mso-position-horizontal-relative:page;mso-position-vertical-relative:page;z-index:-16224256" type="#_x0000_t202" id="docshape2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231F20"/>
                        <w:w w:val="105"/>
                        <w:sz w:val="18"/>
                      </w:rPr>
                      <w:t>Table</w:t>
                    </w:r>
                    <w:r>
                      <w:rPr>
                        <w:color w:val="231F20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of</w:t>
                    </w:r>
                    <w:r>
                      <w:rPr>
                        <w:color w:val="231F20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segregation</w:t>
                    </w:r>
                    <w:r>
                      <w:rPr>
                        <w:color w:val="231F20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of</w:t>
                    </w:r>
                    <w:r>
                      <w:rPr>
                        <w:color w:val="231F20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containers</w:t>
                    </w:r>
                    <w:r>
                      <w:rPr>
                        <w:color w:val="231F20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on</w:t>
                    </w:r>
                    <w:r>
                      <w:rPr>
                        <w:color w:val="231F20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board</w:t>
                    </w:r>
                    <w:r>
                      <w:rPr>
                        <w:color w:val="231F20"/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w w:val="105"/>
                        <w:sz w:val="18"/>
                      </w:rPr>
                      <w:t>hatchless</w:t>
                    </w:r>
                    <w:r>
                      <w:rPr>
                        <w:color w:val="231F20"/>
                        <w:spacing w:val="2"/>
                        <w:w w:val="105"/>
                        <w:sz w:val="18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  <w:sz w:val="18"/>
                      </w:rPr>
                      <w:t>containerships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7"/>
      <w:numFmt w:val="decimal"/>
      <w:lvlText w:val="%1"/>
      <w:lvlJc w:val="left"/>
      <w:pPr>
        <w:ind w:left="2497" w:hanging="108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497" w:hanging="1080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497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3"/>
        <w:w w:val="9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7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7"/>
        <w:w w:val="99"/>
        <w:sz w:val="18"/>
        <w:szCs w:val="1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497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6"/>
        <w:w w:val="102"/>
        <w:sz w:val="17"/>
        <w:szCs w:val="17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02" w:hanging="10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43" w:hanging="10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83" w:hanging="10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24" w:hanging="10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decimal"/>
      <w:lvlText w:val="%1"/>
      <w:lvlJc w:val="left"/>
      <w:pPr>
        <w:ind w:left="2497" w:hanging="108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2497" w:hanging="108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497" w:hanging="1080"/>
        <w:jc w:val="left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2497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7"/>
        <w:w w:val="99"/>
        <w:sz w:val="18"/>
        <w:szCs w:val="1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497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6"/>
        <w:w w:val="102"/>
        <w:sz w:val="17"/>
        <w:szCs w:val="17"/>
        <w:lang w:val="en-US" w:eastAsia="en-US" w:bidi="ar-SA"/>
      </w:rPr>
    </w:lvl>
    <w:lvl w:ilvl="5">
      <w:start w:val="0"/>
      <w:numFmt w:val="bullet"/>
      <w:lvlText w:val="–"/>
      <w:lvlJc w:val="left"/>
      <w:pPr>
        <w:ind w:left="2857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92"/>
        <w:sz w:val="17"/>
        <w:szCs w:val="17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.%1"/>
      <w:lvlJc w:val="left"/>
      <w:pPr>
        <w:ind w:left="229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1930" w:hanging="108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930" w:hanging="108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30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23"/>
        <w:w w:val="9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930" w:hanging="1080"/>
        <w:jc w:val="left"/>
      </w:pPr>
      <w:rPr>
        <w:rFonts w:hint="default"/>
        <w:spacing w:val="-17"/>
        <w:w w:val="99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1930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7"/>
        <w:w w:val="99"/>
        <w:sz w:val="18"/>
        <w:szCs w:val="18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1930" w:hanging="108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-16"/>
        <w:w w:val="102"/>
        <w:sz w:val="17"/>
        <w:szCs w:val="17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19" w:hanging="10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5" w:hanging="10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12" w:hanging="108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30" w:hanging="108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30" w:hanging="1080"/>
      <w:outlineLvl w:val="3"/>
    </w:pPr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97" w:hanging="108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2026-06-20T03:31:00Z</dcterms:created>
  <dcterms:modified xsi:type="dcterms:W3CDTF">2026-06-20T03:31:00Z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2026-06-20T00:00:00Z</vt:filetime>
  </property>
  <property fmtid="{D5CDD505-2E9C-101B-9397-08002B2CF9AE}" pid="6" name="Producer">
    <vt:lpwstr>pdf-lib (https://github.com/Hopding/pdf-lib)</vt:lpwstr>
  </property>
</Properties>
</file>