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9171000</wp:posOffset>
                </wp:positionV>
                <wp:extent cx="360045" cy="15214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60045" cy="1521460"/>
                          <a:chExt cx="360045" cy="15214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60045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521460">
                                <a:moveTo>
                                  <a:pt x="360006" y="1521002"/>
                                </a:moveTo>
                                <a:lnTo>
                                  <a:pt x="360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1002"/>
                                </a:lnTo>
                                <a:lnTo>
                                  <a:pt x="360006" y="1521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6004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9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9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6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22.126038pt;width:28.35pt;height:119.8pt;mso-position-horizontal-relative:page;mso-position-vertical-relative:page;z-index:15729664" id="docshapegroup4" coordorigin="0,14443" coordsize="567,2396">
                <v:rect style="position:absolute;left:0;top:14442;width:567;height:2396" id="docshape5" filled="true" fillcolor="#58595b" stroked="false">
                  <v:fill type="solid"/>
                </v:rect>
                <v:shape style="position:absolute;left:0;top:14442;width:567;height:2396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89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129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6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93"/>
        <w:rPr>
          <w:rFonts w:ascii="Times New Roman"/>
          <w:sz w:val="40"/>
        </w:rPr>
      </w:pPr>
    </w:p>
    <w:p>
      <w:pPr>
        <w:spacing w:before="0"/>
        <w:ind w:left="850" w:right="0" w:firstLine="0"/>
        <w:jc w:val="left"/>
        <w:rPr>
          <w:sz w:val="40"/>
        </w:rPr>
      </w:pPr>
      <w:r>
        <w:rPr>
          <w:color w:val="231F20"/>
          <w:sz w:val="40"/>
        </w:rPr>
        <w:t>Chapter</w:t>
      </w:r>
      <w:r>
        <w:rPr>
          <w:color w:val="231F20"/>
          <w:spacing w:val="33"/>
          <w:sz w:val="40"/>
        </w:rPr>
        <w:t> </w:t>
      </w:r>
      <w:r>
        <w:rPr>
          <w:color w:val="231F20"/>
          <w:spacing w:val="-5"/>
          <w:sz w:val="40"/>
        </w:rPr>
        <w:t>7.5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60953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799462pt;width:481.9pt;height:.1pt;mso-position-horizontal-relative:page;mso-position-vertical-relative:paragraph;z-index:-15728640;mso-wrap-distance-left:0;mso-wrap-distance-right:0" id="docshape7" coordorigin="850,96" coordsize="9638,0" path="m850,96l10488,96e" filled="false" stroked="true" strokeweight="2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850" w:right="0" w:firstLine="0"/>
        <w:jc w:val="left"/>
        <w:rPr>
          <w:rFonts w:ascii="Arial"/>
          <w:i/>
          <w:sz w:val="36"/>
        </w:rPr>
      </w:pPr>
      <w:r>
        <w:rPr>
          <w:rFonts w:ascii="Arial"/>
          <w:i/>
          <w:color w:val="231F20"/>
          <w:sz w:val="36"/>
        </w:rPr>
        <w:t>Stowage</w:t>
      </w:r>
      <w:r>
        <w:rPr>
          <w:rFonts w:ascii="Arial"/>
          <w:i/>
          <w:color w:val="231F20"/>
          <w:spacing w:val="-1"/>
          <w:sz w:val="36"/>
        </w:rPr>
        <w:t> </w:t>
      </w:r>
      <w:r>
        <w:rPr>
          <w:rFonts w:ascii="Arial"/>
          <w:i/>
          <w:color w:val="231F20"/>
          <w:sz w:val="36"/>
        </w:rPr>
        <w:t>and segregation on ro-ro </w:t>
      </w:r>
      <w:r>
        <w:rPr>
          <w:rFonts w:ascii="Arial"/>
          <w:i/>
          <w:color w:val="231F20"/>
          <w:spacing w:val="-2"/>
          <w:sz w:val="36"/>
        </w:rPr>
        <w:t>ships</w:t>
      </w:r>
    </w:p>
    <w:p>
      <w:pPr>
        <w:pStyle w:val="BodyText"/>
        <w:spacing w:before="183"/>
        <w:rPr>
          <w:rFonts w:ascii="Arial"/>
          <w:i/>
          <w:sz w:val="36"/>
        </w:rPr>
      </w:pPr>
    </w:p>
    <w:p>
      <w:pPr>
        <w:pStyle w:val="BodyText"/>
        <w:tabs>
          <w:tab w:pos="1930" w:val="left" w:leader="none"/>
        </w:tabs>
        <w:spacing w:line="256" w:lineRule="auto"/>
        <w:ind w:left="1930" w:right="1415" w:hanging="1081"/>
      </w:pPr>
      <w:r>
        <w:rPr>
          <w:rFonts w:ascii="Arial"/>
          <w:b/>
          <w:color w:val="231F20"/>
          <w:spacing w:val="-4"/>
          <w:w w:val="105"/>
        </w:rPr>
        <w:t>Note:</w:t>
      </w:r>
      <w:r>
        <w:rPr>
          <w:rFonts w:ascii="Arial"/>
          <w:b/>
          <w:color w:val="231F20"/>
        </w:rPr>
        <w:tab/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facilitate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familiarization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these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requirements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support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training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relevant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personnel,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illustrations applicable to the segregation requirements on ro-ro ships are given in MSC.1/Circ.1440.</w:t>
      </w:r>
    </w:p>
    <w:p>
      <w:pPr>
        <w:pStyle w:val="BodyText"/>
        <w:spacing w:before="172"/>
      </w:pPr>
    </w:p>
    <w:p>
      <w:pPr>
        <w:pStyle w:val="Heading1"/>
        <w:numPr>
          <w:ilvl w:val="2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</w:pPr>
      <w:r>
        <w:rPr>
          <w:color w:val="231F20"/>
          <w:spacing w:val="-2"/>
          <w:w w:val="105"/>
        </w:rPr>
        <w:t>Introduction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7" w:after="0"/>
        <w:ind w:left="1930" w:right="1416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w w:val="105"/>
          <w:sz w:val="17"/>
        </w:rPr>
        <w:t> provisions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this</w:t>
      </w:r>
      <w:r>
        <w:rPr>
          <w:color w:val="231F20"/>
          <w:w w:val="105"/>
          <w:sz w:val="17"/>
        </w:rPr>
        <w:t> chapter</w:t>
      </w:r>
      <w:r>
        <w:rPr>
          <w:color w:val="231F20"/>
          <w:w w:val="105"/>
          <w:sz w:val="17"/>
        </w:rPr>
        <w:t> apply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stowage</w:t>
      </w:r>
      <w:r>
        <w:rPr>
          <w:color w:val="231F20"/>
          <w:w w:val="105"/>
          <w:sz w:val="17"/>
        </w:rPr>
        <w:t> and</w:t>
      </w:r>
      <w:r>
        <w:rPr>
          <w:color w:val="231F20"/>
          <w:w w:val="105"/>
          <w:sz w:val="17"/>
        </w:rPr>
        <w:t> segregation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cargo</w:t>
      </w:r>
      <w:r>
        <w:rPr>
          <w:color w:val="231F20"/>
          <w:w w:val="105"/>
          <w:sz w:val="17"/>
        </w:rPr>
        <w:t> transport</w:t>
      </w:r>
      <w:r>
        <w:rPr>
          <w:color w:val="231F20"/>
          <w:w w:val="105"/>
          <w:sz w:val="17"/>
        </w:rPr>
        <w:t> units</w:t>
      </w:r>
      <w:r>
        <w:rPr>
          <w:color w:val="231F20"/>
          <w:w w:val="105"/>
          <w:sz w:val="17"/>
        </w:rPr>
        <w:t> which</w:t>
      </w:r>
      <w:r>
        <w:rPr>
          <w:color w:val="231F20"/>
          <w:w w:val="105"/>
          <w:sz w:val="17"/>
        </w:rPr>
        <w:t> are transported in ro-ro cargo spaces.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4" w:after="0"/>
        <w:ind w:left="1930" w:right="1414" w:hanging="1081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For ro-ro ships which incorporate stowage positions which are properly fitted to give a permanent stowage</w:t>
      </w:r>
      <w:r>
        <w:rPr>
          <w:color w:val="231F20"/>
          <w:spacing w:val="80"/>
          <w:w w:val="105"/>
          <w:sz w:val="17"/>
        </w:rPr>
        <w:t> </w:t>
      </w:r>
      <w:r>
        <w:rPr>
          <w:color w:val="231F20"/>
          <w:w w:val="105"/>
          <w:sz w:val="17"/>
        </w:rPr>
        <w:t>of containers during transport, the provisions of chapter 7.4 apply for containers carried in these spaces.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5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For ro-ro ships which incorporate conventional cargo spaces, the provisions of chapter 7.6 apply in these </w:t>
      </w:r>
      <w:r>
        <w:rPr>
          <w:color w:val="231F20"/>
          <w:spacing w:val="-2"/>
          <w:w w:val="105"/>
          <w:sz w:val="17"/>
        </w:rPr>
        <w:t>spaces.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4" w:after="0"/>
        <w:ind w:left="1930" w:right="1415" w:hanging="1081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In case more than one container is loaded on the same chassis in a ro-ro cargo space, the segregation of chapter 7.4 applies between the containers.</w:t>
      </w:r>
    </w:p>
    <w:p>
      <w:pPr>
        <w:pStyle w:val="BodyText"/>
        <w:spacing w:before="172"/>
      </w:pPr>
    </w:p>
    <w:p>
      <w:pPr>
        <w:pStyle w:val="Heading1"/>
        <w:numPr>
          <w:ilvl w:val="2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</w:pPr>
      <w:r>
        <w:rPr>
          <w:color w:val="231F20"/>
        </w:rPr>
        <w:t>Stowage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provisions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7" w:after="0"/>
        <w:ind w:left="1930" w:right="1414" w:hanging="1081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Loading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unloading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operations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each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ro-ro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take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place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under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supervision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either a working party consisting of officers and other crew members or responsible persons appointed by the </w:t>
      </w:r>
      <w:r>
        <w:rPr>
          <w:color w:val="231F20"/>
          <w:spacing w:val="-2"/>
          <w:w w:val="105"/>
          <w:sz w:val="17"/>
        </w:rPr>
        <w:t>master.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5" w:after="0"/>
        <w:ind w:left="1930" w:right="1415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During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voyage,</w:t>
      </w:r>
      <w:r>
        <w:rPr>
          <w:color w:val="231F20"/>
          <w:w w:val="105"/>
          <w:sz w:val="17"/>
        </w:rPr>
        <w:t> access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such</w:t>
      </w:r>
      <w:r>
        <w:rPr>
          <w:color w:val="231F20"/>
          <w:w w:val="105"/>
          <w:sz w:val="17"/>
        </w:rPr>
        <w:t> spaces</w:t>
      </w:r>
      <w:r>
        <w:rPr>
          <w:color w:val="231F20"/>
          <w:w w:val="105"/>
          <w:sz w:val="17"/>
        </w:rPr>
        <w:t> by</w:t>
      </w:r>
      <w:r>
        <w:rPr>
          <w:color w:val="231F20"/>
          <w:w w:val="105"/>
          <w:sz w:val="17"/>
        </w:rPr>
        <w:t> passengers</w:t>
      </w:r>
      <w:r>
        <w:rPr>
          <w:color w:val="231F20"/>
          <w:w w:val="105"/>
          <w:sz w:val="17"/>
        </w:rPr>
        <w:t> and</w:t>
      </w:r>
      <w:r>
        <w:rPr>
          <w:color w:val="231F20"/>
          <w:w w:val="105"/>
          <w:sz w:val="17"/>
        </w:rPr>
        <w:t> other</w:t>
      </w:r>
      <w:r>
        <w:rPr>
          <w:color w:val="231F20"/>
          <w:w w:val="105"/>
          <w:sz w:val="17"/>
        </w:rPr>
        <w:t> unauthorized</w:t>
      </w:r>
      <w:r>
        <w:rPr>
          <w:color w:val="231F20"/>
          <w:w w:val="105"/>
          <w:sz w:val="17"/>
        </w:rPr>
        <w:t> persons</w:t>
      </w:r>
      <w:r>
        <w:rPr>
          <w:color w:val="231F20"/>
          <w:w w:val="105"/>
          <w:sz w:val="17"/>
        </w:rPr>
        <w:t> shall</w:t>
      </w:r>
      <w:r>
        <w:rPr>
          <w:color w:val="231F20"/>
          <w:w w:val="105"/>
          <w:sz w:val="17"/>
        </w:rPr>
        <w:t> only</w:t>
      </w:r>
      <w:r>
        <w:rPr>
          <w:color w:val="231F20"/>
          <w:w w:val="105"/>
          <w:sz w:val="17"/>
        </w:rPr>
        <w:t> be permitted when such persons are accompanied by an authorized crew member.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5" w:after="0"/>
        <w:ind w:left="1930" w:right="1414" w:hanging="1081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All doors leading directly to these spaces shall be securely closed during the voyage and notices or signs prohibiting entrance to such spaces shall be conspicuously displayed.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4" w:after="0"/>
        <w:ind w:left="1930" w:right="1415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w w:val="105"/>
          <w:sz w:val="17"/>
        </w:rPr>
        <w:t> transport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dangerous</w:t>
      </w:r>
      <w:r>
        <w:rPr>
          <w:color w:val="231F20"/>
          <w:w w:val="105"/>
          <w:sz w:val="17"/>
        </w:rPr>
        <w:t> goods</w:t>
      </w:r>
      <w:r>
        <w:rPr>
          <w:color w:val="231F20"/>
          <w:w w:val="105"/>
          <w:sz w:val="17"/>
        </w:rPr>
        <w:t> shall</w:t>
      </w:r>
      <w:r>
        <w:rPr>
          <w:color w:val="231F20"/>
          <w:w w:val="105"/>
          <w:sz w:val="17"/>
        </w:rPr>
        <w:t> be</w:t>
      </w:r>
      <w:r>
        <w:rPr>
          <w:color w:val="231F20"/>
          <w:w w:val="105"/>
          <w:sz w:val="17"/>
        </w:rPr>
        <w:t> prohibited</w:t>
      </w:r>
      <w:r>
        <w:rPr>
          <w:color w:val="231F20"/>
          <w:w w:val="105"/>
          <w:sz w:val="17"/>
        </w:rPr>
        <w:t> in</w:t>
      </w:r>
      <w:r>
        <w:rPr>
          <w:color w:val="231F20"/>
          <w:w w:val="105"/>
          <w:sz w:val="17"/>
        </w:rPr>
        <w:t> any</w:t>
      </w:r>
      <w:r>
        <w:rPr>
          <w:color w:val="231F20"/>
          <w:w w:val="105"/>
          <w:sz w:val="17"/>
        </w:rPr>
        <w:t> ro-ro</w:t>
      </w:r>
      <w:r>
        <w:rPr>
          <w:color w:val="231F20"/>
          <w:w w:val="105"/>
          <w:sz w:val="17"/>
        </w:rPr>
        <w:t> cargo</w:t>
      </w:r>
      <w:r>
        <w:rPr>
          <w:color w:val="231F20"/>
          <w:w w:val="105"/>
          <w:sz w:val="17"/>
        </w:rPr>
        <w:t> space</w:t>
      </w:r>
      <w:r>
        <w:rPr>
          <w:color w:val="231F20"/>
          <w:w w:val="105"/>
          <w:sz w:val="17"/>
        </w:rPr>
        <w:t> in</w:t>
      </w:r>
      <w:r>
        <w:rPr>
          <w:color w:val="231F20"/>
          <w:w w:val="105"/>
          <w:sz w:val="17"/>
        </w:rPr>
        <w:t> which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foregoing provisions cannot be met.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5" w:after="0"/>
        <w:ind w:left="1930" w:right="1413" w:hanging="1081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Closing arrangements for the openings between ro-ro cargo spaces and machinery and accommodation spaces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such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to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avoid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possibility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dangerous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vapours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liquids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entering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such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spaces.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Such openings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normally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kept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securely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closed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when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dangerous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board,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except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to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permit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access by authorized persons or for emergency use.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46" w:after="0"/>
        <w:ind w:left="1930" w:right="1416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Dangerous goods required to be carried on deck only shall not be carried in closed ro-ro cargo spaces, but may be carried in open ro-ro cargo spaces when authorized by the Administration.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37" w:lineRule="auto" w:before="134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Flammable gases or liquids having a flashpoint of less than 23</w:t>
      </w:r>
      <w:r>
        <w:rPr>
          <w:rFonts w:ascii="Sylfaen" w:hAnsi="Sylfaen"/>
          <w:color w:val="231F20"/>
          <w:w w:val="105"/>
          <w:sz w:val="17"/>
        </w:rPr>
        <w:t>°</w:t>
      </w:r>
      <w:r>
        <w:rPr>
          <w:color w:val="231F20"/>
          <w:w w:val="105"/>
          <w:sz w:val="17"/>
        </w:rPr>
        <w:t>C c.c. shall not be stowed in a closed ro-ro cargo space or special category space on a passenger ship unless:</w:t>
      </w:r>
    </w:p>
    <w:p>
      <w:pPr>
        <w:pStyle w:val="ListParagraph"/>
        <w:numPr>
          <w:ilvl w:val="4"/>
          <w:numId w:val="1"/>
        </w:numPr>
        <w:tabs>
          <w:tab w:pos="2290" w:val="left" w:leader="none"/>
        </w:tabs>
        <w:spacing w:line="256" w:lineRule="auto" w:before="98" w:after="0"/>
        <w:ind w:left="2290" w:right="1414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design,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construction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equipment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comply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provisions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regulation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II-2/19 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SOLAS,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amended,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regulation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II-2/54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SOLAS,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amended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by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resolutions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indicated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in II-2/1.2.1, as applicable, and the ventilation system is operated to maintain at least six air changes per hour; or</w:t>
      </w:r>
    </w:p>
    <w:p>
      <w:pPr>
        <w:pStyle w:val="ListParagraph"/>
        <w:numPr>
          <w:ilvl w:val="4"/>
          <w:numId w:val="1"/>
        </w:numPr>
        <w:tabs>
          <w:tab w:pos="2290" w:val="left" w:leader="none"/>
        </w:tabs>
        <w:spacing w:line="256" w:lineRule="auto" w:before="86" w:after="0"/>
        <w:ind w:left="2290" w:right="1414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ventilation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system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operated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to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maintain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at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least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ten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air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changes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per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hour</w:t>
      </w:r>
      <w:r>
        <w:rPr>
          <w:color w:val="231F20"/>
          <w:spacing w:val="36"/>
          <w:w w:val="105"/>
          <w:sz w:val="17"/>
        </w:rPr>
        <w:t> </w:t>
      </w:r>
      <w:r>
        <w:rPr>
          <w:color w:val="231F20"/>
          <w:w w:val="105"/>
          <w:sz w:val="17"/>
        </w:rPr>
        <w:t>and non-certified safe electrical systems in the space are capable of being isolated by means other than removal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fuses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event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failure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ventilation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system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any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other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circumstance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likely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to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cause accumulation of flammable vapours.</w:t>
      </w:r>
    </w:p>
    <w:p>
      <w:pPr>
        <w:spacing w:before="146"/>
        <w:ind w:left="1930" w:right="0" w:firstLine="0"/>
        <w:jc w:val="left"/>
        <w:rPr>
          <w:sz w:val="17"/>
        </w:rPr>
      </w:pPr>
      <w:r>
        <w:rPr>
          <w:color w:val="231F20"/>
          <w:w w:val="105"/>
          <w:sz w:val="17"/>
        </w:rPr>
        <w:t>Otherwise stowage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restricted to</w:t>
      </w:r>
      <w:r>
        <w:rPr>
          <w:color w:val="231F20"/>
          <w:spacing w:val="1"/>
          <w:w w:val="105"/>
          <w:sz w:val="17"/>
        </w:rPr>
        <w:t> </w:t>
      </w:r>
      <w:r>
        <w:rPr>
          <w:rFonts w:ascii="Arial"/>
          <w:i/>
          <w:color w:val="231F20"/>
          <w:w w:val="105"/>
          <w:sz w:val="17"/>
        </w:rPr>
        <w:t>on</w:t>
      </w:r>
      <w:r>
        <w:rPr>
          <w:rFonts w:ascii="Arial"/>
          <w:i/>
          <w:color w:val="231F20"/>
          <w:spacing w:val="1"/>
          <w:w w:val="105"/>
          <w:sz w:val="17"/>
        </w:rPr>
        <w:t> </w:t>
      </w:r>
      <w:r>
        <w:rPr>
          <w:rFonts w:ascii="Arial"/>
          <w:i/>
          <w:color w:val="231F20"/>
          <w:w w:val="105"/>
          <w:sz w:val="17"/>
        </w:rPr>
        <w:t>deck </w:t>
      </w:r>
      <w:r>
        <w:rPr>
          <w:rFonts w:ascii="Arial"/>
          <w:i/>
          <w:color w:val="231F20"/>
          <w:spacing w:val="-4"/>
          <w:w w:val="105"/>
          <w:sz w:val="17"/>
        </w:rPr>
        <w:t>only</w:t>
      </w:r>
      <w:r>
        <w:rPr>
          <w:color w:val="231F20"/>
          <w:spacing w:val="-4"/>
          <w:w w:val="105"/>
          <w:sz w:val="17"/>
        </w:rPr>
        <w:t>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37" w:lineRule="auto" w:before="148" w:after="0"/>
        <w:ind w:left="1930" w:right="1415" w:hanging="1080"/>
        <w:jc w:val="both"/>
        <w:rPr>
          <w:color w:val="231F20"/>
          <w:sz w:val="17"/>
        </w:rPr>
      </w:pPr>
      <w:r>
        <w:rPr>
          <w:color w:val="231F20"/>
          <w:sz w:val="17"/>
        </w:rPr>
        <w:t>Cargo transport units with flammable gases or liquids having a flashpoint of less than 23</w:t>
      </w:r>
      <w:r>
        <w:rPr>
          <w:rFonts w:ascii="Sylfaen" w:hAnsi="Sylfaen"/>
          <w:color w:val="231F20"/>
          <w:sz w:val="17"/>
        </w:rPr>
        <w:t>°</w:t>
      </w:r>
      <w:r>
        <w:rPr>
          <w:color w:val="231F20"/>
          <w:sz w:val="17"/>
        </w:rPr>
        <w:t>C c.c. and transported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on deck shall be stowed at least 3 m from any potential sources of ignition.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262877</wp:posOffset>
                </wp:positionV>
                <wp:extent cx="6120130" cy="63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699024pt;width:481.9pt;height:.5pt;mso-position-horizontal-relative:page;mso-position-vertical-relative:paragraph;z-index:-15728128;mso-wrap-distance-left:0;mso-wrap-distance-right:0" id="docshapegroup8" coordorigin="850,414" coordsize="9638,10">
                <v:line style="position:absolute" from="850,419" to="5953,419" stroked="true" strokeweight=".5pt" strokecolor="#231f20">
                  <v:stroke dashstyle="solid"/>
                </v:line>
                <v:line style="position:absolute" from="5953,419" to="10488,41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303" w:footer="546" w:top="880" w:bottom="740" w:left="0" w:right="0"/>
          <w:pgNumType w:start="517"/>
        </w:sectPr>
      </w:pPr>
    </w:p>
    <w:p>
      <w:pPr>
        <w:pStyle w:val="BodyText"/>
        <w:spacing w:before="98"/>
        <w:ind w:left="66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7199998</wp:posOffset>
                </wp:positionH>
                <wp:positionV relativeFrom="page">
                  <wp:posOffset>9171000</wp:posOffset>
                </wp:positionV>
                <wp:extent cx="360045" cy="152146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60045" cy="1521460"/>
                          <a:chExt cx="360045" cy="15214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60045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521460">
                                <a:moveTo>
                                  <a:pt x="36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1002"/>
                                </a:lnTo>
                                <a:lnTo>
                                  <a:pt x="360006" y="1521002"/>
                                </a:lnTo>
                                <a:lnTo>
                                  <a:pt x="36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6004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9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9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6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6.929016pt;margin-top:722.126038pt;width:28.35pt;height:119.8pt;mso-position-horizontal-relative:page;mso-position-vertical-relative:page;z-index:15731200" id="docshapegroup12" coordorigin="11339,14443" coordsize="567,2396">
                <v:rect style="position:absolute;left:11338;top:14442;width:567;height:2396" id="docshape13" filled="true" fillcolor="#58595b" stroked="false">
                  <v:fill type="solid"/>
                </v:rect>
                <v:shape style="position:absolute;left:11338;top:14442;width:567;height:2396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89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129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6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Chapter</w:t>
      </w:r>
      <w:r>
        <w:rPr>
          <w:color w:val="231F20"/>
          <w:spacing w:val="32"/>
        </w:rPr>
        <w:t> </w:t>
      </w:r>
      <w:r>
        <w:rPr>
          <w:color w:val="231F20"/>
        </w:rPr>
        <w:t>7.5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Stowage</w:t>
      </w:r>
      <w:r>
        <w:rPr>
          <w:color w:val="231F20"/>
          <w:spacing w:val="33"/>
        </w:rPr>
        <w:t> </w:t>
      </w:r>
      <w:r>
        <w:rPr>
          <w:color w:val="231F20"/>
        </w:rPr>
        <w:t>and</w:t>
      </w:r>
      <w:r>
        <w:rPr>
          <w:color w:val="231F20"/>
          <w:spacing w:val="33"/>
        </w:rPr>
        <w:t> </w:t>
      </w:r>
      <w:r>
        <w:rPr>
          <w:color w:val="231F20"/>
        </w:rPr>
        <w:t>segregation</w:t>
      </w:r>
      <w:r>
        <w:rPr>
          <w:color w:val="231F20"/>
          <w:spacing w:val="33"/>
        </w:rPr>
        <w:t> </w:t>
      </w:r>
      <w:r>
        <w:rPr>
          <w:color w:val="231F20"/>
        </w:rPr>
        <w:t>on</w:t>
      </w:r>
      <w:r>
        <w:rPr>
          <w:color w:val="231F20"/>
          <w:spacing w:val="33"/>
        </w:rPr>
        <w:t> </w:t>
      </w:r>
      <w:r>
        <w:rPr>
          <w:color w:val="231F20"/>
        </w:rPr>
        <w:t>ro-ro</w:t>
      </w:r>
      <w:r>
        <w:rPr>
          <w:color w:val="231F20"/>
          <w:spacing w:val="33"/>
        </w:rPr>
        <w:t> </w:t>
      </w:r>
      <w:r>
        <w:rPr>
          <w:color w:val="231F20"/>
          <w:spacing w:val="-4"/>
        </w:rPr>
        <w:t>ships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27104;mso-wrap-distance-left:0;mso-wrap-distance-right:0" id="docshape15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</w:pPr>
    </w:p>
    <w:p>
      <w:pPr>
        <w:pStyle w:val="ListParagraph"/>
        <w:numPr>
          <w:ilvl w:val="3"/>
          <w:numId w:val="1"/>
        </w:numPr>
        <w:tabs>
          <w:tab w:pos="2497" w:val="left" w:leader="none"/>
        </w:tabs>
        <w:spacing w:line="256" w:lineRule="auto" w:before="0" w:after="0"/>
        <w:ind w:left="2497" w:right="848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Mechanically</w:t>
      </w:r>
      <w:r>
        <w:rPr>
          <w:color w:val="231F20"/>
          <w:w w:val="105"/>
          <w:sz w:val="17"/>
        </w:rPr>
        <w:t> operated</w:t>
      </w:r>
      <w:r>
        <w:rPr>
          <w:color w:val="231F20"/>
          <w:w w:val="105"/>
          <w:sz w:val="17"/>
        </w:rPr>
        <w:t> refrigeration</w:t>
      </w:r>
      <w:r>
        <w:rPr>
          <w:color w:val="231F20"/>
          <w:w w:val="105"/>
          <w:sz w:val="17"/>
        </w:rPr>
        <w:t> or</w:t>
      </w:r>
      <w:r>
        <w:rPr>
          <w:color w:val="231F20"/>
          <w:w w:val="105"/>
          <w:sz w:val="17"/>
        </w:rPr>
        <w:t> heating</w:t>
      </w:r>
      <w:r>
        <w:rPr>
          <w:color w:val="231F20"/>
          <w:w w:val="105"/>
          <w:sz w:val="17"/>
        </w:rPr>
        <w:t> equipment</w:t>
      </w:r>
      <w:r>
        <w:rPr>
          <w:color w:val="231F20"/>
          <w:w w:val="105"/>
          <w:sz w:val="17"/>
        </w:rPr>
        <w:t> fitted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any</w:t>
      </w:r>
      <w:r>
        <w:rPr>
          <w:color w:val="231F20"/>
          <w:w w:val="105"/>
          <w:sz w:val="17"/>
        </w:rPr>
        <w:t> cargo</w:t>
      </w:r>
      <w:r>
        <w:rPr>
          <w:color w:val="231F20"/>
          <w:w w:val="105"/>
          <w:sz w:val="17"/>
        </w:rPr>
        <w:t> transport</w:t>
      </w:r>
      <w:r>
        <w:rPr>
          <w:color w:val="231F20"/>
          <w:w w:val="105"/>
          <w:sz w:val="17"/>
        </w:rPr>
        <w:t> unit</w:t>
      </w:r>
      <w:r>
        <w:rPr>
          <w:color w:val="231F20"/>
          <w:w w:val="105"/>
          <w:sz w:val="17"/>
        </w:rPr>
        <w:t> shall</w:t>
      </w:r>
      <w:r>
        <w:rPr>
          <w:color w:val="231F20"/>
          <w:w w:val="105"/>
          <w:sz w:val="17"/>
        </w:rPr>
        <w:t> not</w:t>
      </w:r>
      <w:r>
        <w:rPr>
          <w:color w:val="231F20"/>
          <w:w w:val="105"/>
          <w:sz w:val="17"/>
        </w:rPr>
        <w:t> be operated during the voyage when stowed in a closed ro-ro cargo space or a special category space on a passenger ship.</w:t>
      </w:r>
    </w:p>
    <w:p>
      <w:pPr>
        <w:pStyle w:val="ListParagraph"/>
        <w:numPr>
          <w:ilvl w:val="3"/>
          <w:numId w:val="1"/>
        </w:numPr>
        <w:tabs>
          <w:tab w:pos="2492" w:val="left" w:leader="none"/>
          <w:tab w:pos="2497" w:val="left" w:leader="none"/>
        </w:tabs>
        <w:spacing w:line="247" w:lineRule="auto" w:before="136" w:after="0"/>
        <w:ind w:left="2497" w:right="848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Electrically operated refrigeration or heating equipment fitted to any cargo transport unit stowed in a closed ro-ro cargo space or special category space on a passenger ship shall not be operated when flammable gases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liquids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having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flashpoint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23</w:t>
      </w:r>
      <w:r>
        <w:rPr>
          <w:rFonts w:ascii="Sylfaen" w:hAnsi="Sylfaen"/>
          <w:color w:val="231F20"/>
          <w:w w:val="105"/>
          <w:sz w:val="17"/>
        </w:rPr>
        <w:t>°</w:t>
      </w:r>
      <w:r>
        <w:rPr>
          <w:color w:val="231F20"/>
          <w:w w:val="105"/>
          <w:sz w:val="17"/>
        </w:rPr>
        <w:t>C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c.c.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are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present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transport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unit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same space, unless:</w:t>
      </w:r>
    </w:p>
    <w:p>
      <w:pPr>
        <w:pStyle w:val="ListParagraph"/>
        <w:numPr>
          <w:ilvl w:val="4"/>
          <w:numId w:val="1"/>
        </w:numPr>
        <w:tabs>
          <w:tab w:pos="2857" w:val="left" w:leader="none"/>
        </w:tabs>
        <w:spacing w:line="256" w:lineRule="auto" w:before="78" w:after="0"/>
        <w:ind w:left="2857" w:right="847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design,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construction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equipment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comply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provisions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regulation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II-2/19 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SOLAS,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amended,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regulation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II-2/54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SOLAS,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amended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by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resolutions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indicated</w:t>
      </w:r>
      <w:r>
        <w:rPr>
          <w:color w:val="231F20"/>
          <w:spacing w:val="21"/>
          <w:w w:val="105"/>
          <w:sz w:val="17"/>
        </w:rPr>
        <w:t> </w:t>
      </w:r>
      <w:r>
        <w:rPr>
          <w:color w:val="231F20"/>
          <w:w w:val="105"/>
          <w:sz w:val="17"/>
        </w:rPr>
        <w:t>in II-2/1.2.1, as applicable; or</w:t>
      </w:r>
    </w:p>
    <w:p>
      <w:pPr>
        <w:pStyle w:val="ListParagraph"/>
        <w:numPr>
          <w:ilvl w:val="4"/>
          <w:numId w:val="1"/>
        </w:numPr>
        <w:tabs>
          <w:tab w:pos="2857" w:val="left" w:leader="none"/>
        </w:tabs>
        <w:spacing w:line="256" w:lineRule="auto" w:before="75" w:after="0"/>
        <w:ind w:left="2857" w:right="847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 ventilation</w:t>
      </w:r>
      <w:r>
        <w:rPr>
          <w:color w:val="231F20"/>
          <w:w w:val="105"/>
          <w:sz w:val="17"/>
        </w:rPr>
        <w:t> system of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space is</w:t>
      </w:r>
      <w:r>
        <w:rPr>
          <w:color w:val="231F20"/>
          <w:w w:val="105"/>
          <w:sz w:val="17"/>
        </w:rPr>
        <w:t> operated to</w:t>
      </w:r>
      <w:r>
        <w:rPr>
          <w:color w:val="231F20"/>
          <w:w w:val="105"/>
          <w:sz w:val="17"/>
        </w:rPr>
        <w:t> maintain</w:t>
      </w:r>
      <w:r>
        <w:rPr>
          <w:color w:val="231F20"/>
          <w:w w:val="105"/>
          <w:sz w:val="17"/>
        </w:rPr>
        <w:t> at</w:t>
      </w:r>
      <w:r>
        <w:rPr>
          <w:color w:val="231F20"/>
          <w:w w:val="105"/>
          <w:sz w:val="17"/>
        </w:rPr>
        <w:t> least</w:t>
      </w:r>
      <w:r>
        <w:rPr>
          <w:color w:val="231F20"/>
          <w:w w:val="105"/>
          <w:sz w:val="17"/>
        </w:rPr>
        <w:t> ten air</w:t>
      </w:r>
      <w:r>
        <w:rPr>
          <w:color w:val="231F20"/>
          <w:w w:val="105"/>
          <w:sz w:val="17"/>
        </w:rPr>
        <w:t> changes</w:t>
      </w:r>
      <w:r>
        <w:rPr>
          <w:color w:val="231F20"/>
          <w:w w:val="105"/>
          <w:sz w:val="17"/>
        </w:rPr>
        <w:t> per hour</w:t>
      </w:r>
      <w:r>
        <w:rPr>
          <w:color w:val="231F20"/>
          <w:w w:val="105"/>
          <w:sz w:val="17"/>
        </w:rPr>
        <w:t> and</w:t>
      </w:r>
      <w:r>
        <w:rPr>
          <w:color w:val="231F20"/>
          <w:w w:val="105"/>
          <w:sz w:val="17"/>
        </w:rPr>
        <w:t> all electrical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systems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are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capable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being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isolated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by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means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other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removal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fuses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the event of ventilation failure or other circumstance likely to cause accumulation of flammable vapours;</w:t>
      </w:r>
    </w:p>
    <w:p>
      <w:pPr>
        <w:pStyle w:val="ListParagraph"/>
        <w:numPr>
          <w:ilvl w:val="4"/>
          <w:numId w:val="1"/>
        </w:numPr>
        <w:tabs>
          <w:tab w:pos="2857" w:val="left" w:leader="none"/>
        </w:tabs>
        <w:spacing w:line="256" w:lineRule="auto" w:before="76" w:after="0"/>
        <w:ind w:left="2857" w:right="849" w:hanging="360"/>
        <w:jc w:val="both"/>
        <w:rPr>
          <w:sz w:val="17"/>
        </w:rPr>
      </w:pPr>
      <w:r>
        <w:rPr>
          <w:color w:val="231F20"/>
          <w:w w:val="105"/>
          <w:sz w:val="17"/>
        </w:rPr>
        <w:t>and, in either case, the refrigeration or heating equipment of the cargo transport unit shall comply with paragraph 7.3.7.6.</w:t>
      </w:r>
    </w:p>
    <w:p>
      <w:pPr>
        <w:pStyle w:val="ListParagraph"/>
        <w:numPr>
          <w:ilvl w:val="3"/>
          <w:numId w:val="1"/>
        </w:numPr>
        <w:tabs>
          <w:tab w:pos="2492" w:val="left" w:leader="none"/>
          <w:tab w:pos="2497" w:val="left" w:leader="none"/>
        </w:tabs>
        <w:spacing w:line="256" w:lineRule="auto" w:before="135" w:after="0"/>
        <w:ind w:left="2497" w:right="848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In ships the keel of which was laid before 1 September 1984 and for which regulation II-2/20 of SOLAS, as amended, or regulations II-2/37 and 38 of SOLAS, as amended by the resolutions indicated in II-2/1.2.1, are not applicable to a closed ro-ro cargo space, mechanical ventilation shall be provided to the satisfaction of the Administration. The ventilation fans shall be operating at all times when vehicles are in such spaces.</w:t>
      </w:r>
    </w:p>
    <w:p>
      <w:pPr>
        <w:pStyle w:val="ListParagraph"/>
        <w:numPr>
          <w:ilvl w:val="3"/>
          <w:numId w:val="1"/>
        </w:numPr>
        <w:tabs>
          <w:tab w:pos="2492" w:val="left" w:leader="none"/>
          <w:tab w:pos="2497" w:val="left" w:leader="none"/>
        </w:tabs>
        <w:spacing w:line="256" w:lineRule="auto" w:before="136" w:after="0"/>
        <w:ind w:left="2497" w:right="849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If continuous ventilation is impracticable in a closed ro-ro cargo space other than a special category space on a passenger ship, ventilation fans shall be operated daily for a limited period, as weather permits. In any case, prior to discharge, the fans shall be operated for a reasonable period. The ro-ro cargo space shall be proved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gas-free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end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period.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When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ventilation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not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continuous,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electrical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systems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which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are not certified safe shall be isolated.</w:t>
      </w:r>
    </w:p>
    <w:p>
      <w:pPr>
        <w:pStyle w:val="ListParagraph"/>
        <w:numPr>
          <w:ilvl w:val="3"/>
          <w:numId w:val="1"/>
        </w:numPr>
        <w:tabs>
          <w:tab w:pos="2492" w:val="left" w:leader="none"/>
          <w:tab w:pos="2497" w:val="left" w:leader="none"/>
        </w:tabs>
        <w:spacing w:line="256" w:lineRule="auto" w:before="137" w:after="0"/>
        <w:ind w:left="2497" w:right="849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The master of a ship carrying dangerous goods in ro-ro cargo spaces shall ensure that, during loading and unloading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operations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during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voyage,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regular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inspections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these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spaces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are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made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by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authorized crew member or responsible person in order to achieve early detection of any hazard.</w:t>
      </w:r>
    </w:p>
    <w:p>
      <w:pPr>
        <w:pStyle w:val="BodyText"/>
        <w:spacing w:before="162"/>
      </w:pPr>
    </w:p>
    <w:p>
      <w:pPr>
        <w:pStyle w:val="Heading1"/>
        <w:numPr>
          <w:ilvl w:val="2"/>
          <w:numId w:val="1"/>
        </w:numPr>
        <w:tabs>
          <w:tab w:pos="2497" w:val="left" w:leader="none"/>
        </w:tabs>
        <w:spacing w:line="240" w:lineRule="auto" w:before="1" w:after="0"/>
        <w:ind w:left="2497" w:right="0" w:hanging="1080"/>
        <w:jc w:val="left"/>
      </w:pPr>
      <w:r>
        <w:rPr>
          <w:color w:val="231F20"/>
        </w:rPr>
        <w:t>Segregation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provisions</w:t>
      </w:r>
    </w:p>
    <w:p>
      <w:pPr>
        <w:pStyle w:val="ListParagraph"/>
        <w:numPr>
          <w:ilvl w:val="3"/>
          <w:numId w:val="1"/>
        </w:numPr>
        <w:tabs>
          <w:tab w:pos="2497" w:val="left" w:leader="none"/>
        </w:tabs>
        <w:spacing w:line="256" w:lineRule="auto" w:before="136" w:after="0"/>
        <w:ind w:left="2497" w:right="847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provisions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for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segregation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between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transport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units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onboard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ro-ro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ships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are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given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7"/>
          <w:w w:val="105"/>
          <w:sz w:val="17"/>
        </w:rPr>
        <w:t> </w:t>
      </w:r>
      <w:r>
        <w:rPr>
          <w:color w:val="231F20"/>
          <w:w w:val="105"/>
          <w:sz w:val="17"/>
        </w:rPr>
        <w:t>table in 7.5.3.2.</w:t>
      </w:r>
    </w:p>
    <w:p>
      <w:pPr>
        <w:pStyle w:val="BodyText"/>
        <w:spacing w:before="50"/>
      </w:pPr>
    </w:p>
    <w:p>
      <w:pPr>
        <w:pStyle w:val="Heading2"/>
        <w:numPr>
          <w:ilvl w:val="3"/>
          <w:numId w:val="1"/>
        </w:numPr>
        <w:tabs>
          <w:tab w:pos="2497" w:val="left" w:leader="none"/>
        </w:tabs>
        <w:spacing w:line="240" w:lineRule="auto" w:before="0" w:after="0"/>
        <w:ind w:left="2497" w:right="0" w:hanging="1080"/>
        <w:jc w:val="left"/>
        <w:rPr>
          <w:color w:val="231F20"/>
        </w:rPr>
      </w:pPr>
      <w:r>
        <w:rPr>
          <w:color w:val="231F20"/>
          <w:w w:val="105"/>
        </w:rPr>
        <w:t>Table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segregation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cargo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transport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units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board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ro-ro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2"/>
          <w:w w:val="105"/>
        </w:rPr>
        <w:t>ships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250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val="273" w:hRule="atLeast"/>
        </w:trPr>
        <w:tc>
          <w:tcPr>
            <w:tcW w:w="1068" w:type="dxa"/>
            <w:vMerge w:val="restart"/>
          </w:tcPr>
          <w:p>
            <w:pPr>
              <w:pStyle w:val="TableParagraph"/>
              <w:spacing w:before="98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129" w:right="0" w:hanging="3"/>
              <w:jc w:val="lef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Segregation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requirement</w:t>
            </w:r>
          </w:p>
        </w:tc>
        <w:tc>
          <w:tcPr>
            <w:tcW w:w="7476" w:type="dxa"/>
            <w:gridSpan w:val="7"/>
          </w:tcPr>
          <w:p>
            <w:pPr>
              <w:pStyle w:val="TableParagraph"/>
              <w:spacing w:before="55"/>
              <w:ind w:left="13" w:right="0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Horizontal</w:t>
            </w:r>
          </w:p>
        </w:tc>
      </w:tr>
      <w:tr>
        <w:trPr>
          <w:trHeight w:val="274" w:hRule="atLeast"/>
        </w:trPr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55"/>
              <w:ind w:left="353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closed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55"/>
              <w:ind w:left="409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55"/>
              <w:ind w:left="464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Open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19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</w:tr>
      <w:tr>
        <w:trPr>
          <w:trHeight w:val="273" w:hRule="atLeast"/>
        </w:trPr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4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068" w:type="dxa"/>
          </w:tcPr>
          <w:p>
            <w:pPr>
              <w:pStyle w:val="TableParagraph"/>
              <w:spacing w:before="56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</w:tr>
      <w:tr>
        <w:trPr>
          <w:trHeight w:val="359" w:hRule="atLeast"/>
        </w:trPr>
        <w:tc>
          <w:tcPr>
            <w:tcW w:w="106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65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spacing w:line="161" w:lineRule="exact"/>
              <w:ind w:left="44" w:right="34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“Away</w:t>
            </w:r>
            <w:r>
              <w:rPr>
                <w:color w:val="231F20"/>
                <w:spacing w:val="-2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10"/>
                <w:sz w:val="14"/>
              </w:rPr>
              <w:t>from”</w:t>
            </w:r>
          </w:p>
          <w:p>
            <w:pPr>
              <w:pStyle w:val="TableParagraph"/>
              <w:spacing w:line="161" w:lineRule="exact"/>
              <w:ind w:left="44" w:right="3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.1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4" w:right="33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</w:tcPr>
          <w:p>
            <w:pPr>
              <w:pStyle w:val="TableParagraph"/>
              <w:spacing w:before="103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</w:tr>
      <w:tr>
        <w:trPr>
          <w:trHeight w:val="374" w:hRule="atLeast"/>
        </w:trPr>
        <w:tc>
          <w:tcPr>
            <w:tcW w:w="106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48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</w:tr>
      <w:tr>
        <w:trPr>
          <w:trHeight w:val="529" w:hRule="atLeast"/>
        </w:trPr>
        <w:tc>
          <w:tcPr>
            <w:tcW w:w="106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spacing w:before="142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4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“Separated</w:t>
            </w:r>
            <w:r>
              <w:rPr>
                <w:color w:val="231F20"/>
                <w:spacing w:val="-2"/>
                <w:w w:val="110"/>
                <w:sz w:val="14"/>
              </w:rPr>
              <w:t> from”</w:t>
            </w:r>
          </w:p>
          <w:p>
            <w:pPr>
              <w:pStyle w:val="TableParagraph"/>
              <w:spacing w:line="159" w:lineRule="exact"/>
              <w:ind w:left="46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.2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2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33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2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line="161" w:lineRule="exact" w:before="104"/>
              <w:ind w:left="73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1" w:lineRule="exact"/>
              <w:ind w:left="99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2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line="161" w:lineRule="exact" w:before="104"/>
              <w:ind w:left="74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1" w:lineRule="exact"/>
              <w:ind w:left="100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left="472" w:right="53" w:hanging="35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12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or</w:t>
            </w:r>
          </w:p>
          <w:p>
            <w:pPr>
              <w:pStyle w:val="TableParagraph"/>
              <w:spacing w:line="159" w:lineRule="exact"/>
              <w:ind w:left="101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</w:tr>
      <w:tr>
        <w:trPr>
          <w:trHeight w:val="529" w:hRule="atLeast"/>
        </w:trPr>
        <w:tc>
          <w:tcPr>
            <w:tcW w:w="106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line="161" w:lineRule="exact" w:before="104"/>
              <w:ind w:left="73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1" w:lineRule="exact"/>
              <w:ind w:left="99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line="161" w:lineRule="exact" w:before="104"/>
              <w:ind w:left="74" w:right="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1" w:lineRule="exact"/>
              <w:ind w:left="100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4"/>
              <w:ind w:left="472" w:right="53" w:hanging="350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12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or</w:t>
            </w:r>
          </w:p>
          <w:p>
            <w:pPr>
              <w:pStyle w:val="TableParagraph"/>
              <w:spacing w:line="159" w:lineRule="exact"/>
              <w:ind w:left="101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one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</w:tr>
      <w:tr>
        <w:trPr>
          <w:trHeight w:val="369" w:hRule="atLeast"/>
        </w:trPr>
        <w:tc>
          <w:tcPr>
            <w:tcW w:w="106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spacing w:before="24"/>
              <w:ind w:left="65" w:right="53" w:hanging="1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“Separated</w:t>
            </w:r>
            <w:r>
              <w:rPr>
                <w:color w:val="231F20"/>
                <w:spacing w:val="8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by</w:t>
            </w:r>
            <w:r>
              <w:rPr>
                <w:color w:val="231F20"/>
                <w:spacing w:val="-8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</w:t>
            </w:r>
            <w:r>
              <w:rPr>
                <w:color w:val="231F20"/>
                <w:spacing w:val="-8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complete </w:t>
            </w: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  <w:r>
              <w:rPr>
                <w:color w:val="231F20"/>
                <w:w w:val="105"/>
                <w:sz w:val="14"/>
              </w:rPr>
              <w:t> or hold from”</w:t>
            </w:r>
          </w:p>
          <w:p>
            <w:pPr>
              <w:pStyle w:val="TableParagraph"/>
              <w:spacing w:line="157" w:lineRule="exact"/>
              <w:ind w:left="4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.3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44" w:right="33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12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line="161" w:lineRule="exact" w:before="24"/>
              <w:ind w:left="44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  <w:p>
            <w:pPr>
              <w:pStyle w:val="TableParagraph"/>
              <w:spacing w:line="161" w:lineRule="exact"/>
              <w:ind w:left="44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+</w:t>
            </w:r>
            <w:r>
              <w:rPr>
                <w:color w:val="231F20"/>
                <w:spacing w:val="-5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deck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line="161" w:lineRule="exact" w:before="24"/>
              <w:ind w:left="46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  <w:p>
            <w:pPr>
              <w:pStyle w:val="TableParagraph"/>
              <w:spacing w:line="161" w:lineRule="exact"/>
              <w:ind w:left="46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+</w:t>
            </w:r>
            <w:r>
              <w:rPr>
                <w:color w:val="231F20"/>
                <w:spacing w:val="-5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deck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5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z w:val="14"/>
              </w:rPr>
              <w:t>36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line="161" w:lineRule="exact" w:before="25"/>
              <w:ind w:left="111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Two</w:t>
            </w:r>
            <w:r>
              <w:rPr>
                <w:rFonts w:ascii="Arial"/>
                <w:i/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decks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or</w:t>
            </w:r>
          </w:p>
          <w:p>
            <w:pPr>
              <w:pStyle w:val="TableParagraph"/>
              <w:spacing w:line="161" w:lineRule="exact"/>
              <w:ind w:left="66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w w:val="105"/>
                <w:sz w:val="14"/>
              </w:rPr>
              <w:t>two</w:t>
            </w:r>
            <w:r>
              <w:rPr>
                <w:rFonts w:ascii="Arial"/>
                <w:i/>
                <w:color w:val="231F20"/>
                <w:spacing w:val="3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bulkheads</w:t>
            </w:r>
          </w:p>
        </w:tc>
      </w:tr>
      <w:tr>
        <w:trPr>
          <w:trHeight w:val="450" w:hRule="atLeast"/>
        </w:trPr>
        <w:tc>
          <w:tcPr>
            <w:tcW w:w="106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5"/>
              <w:ind w:left="4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5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12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line="161" w:lineRule="exact" w:before="65"/>
              <w:ind w:left="44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  <w:p>
            <w:pPr>
              <w:pStyle w:val="TableParagraph"/>
              <w:spacing w:line="161" w:lineRule="exact"/>
              <w:ind w:left="44" w:right="32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+</w:t>
            </w:r>
            <w:r>
              <w:rPr>
                <w:color w:val="231F20"/>
                <w:spacing w:val="-5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deck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5"/>
              <w:ind w:left="44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line="161" w:lineRule="exact" w:before="65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  <w:p>
            <w:pPr>
              <w:pStyle w:val="TableParagraph"/>
              <w:spacing w:line="161" w:lineRule="exact"/>
              <w:ind w:left="45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+</w:t>
            </w:r>
            <w:r>
              <w:rPr>
                <w:color w:val="231F20"/>
                <w:spacing w:val="-5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deck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5"/>
              <w:ind w:left="46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5"/>
              <w:ind w:left="47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</w:tr>
      <w:tr>
        <w:trPr>
          <w:trHeight w:val="539" w:hRule="atLeast"/>
        </w:trPr>
        <w:tc>
          <w:tcPr>
            <w:tcW w:w="106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83" w:right="70" w:hanging="1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“Separated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longitudinally</w:t>
            </w:r>
            <w:r>
              <w:rPr>
                <w:color w:val="231F20"/>
                <w:w w:val="105"/>
                <w:sz w:val="14"/>
              </w:rPr>
              <w:t> by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 </w:t>
            </w:r>
            <w:r>
              <w:rPr>
                <w:color w:val="231F20"/>
                <w:spacing w:val="-2"/>
                <w:w w:val="105"/>
                <w:sz w:val="14"/>
              </w:rPr>
              <w:t>intervening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complete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  <w:r>
              <w:rPr>
                <w:color w:val="231F20"/>
                <w:w w:val="105"/>
                <w:sz w:val="14"/>
              </w:rPr>
              <w:t> or</w:t>
            </w:r>
            <w:r>
              <w:rPr>
                <w:color w:val="231F20"/>
                <w:spacing w:val="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hold</w:t>
            </w:r>
            <w:r>
              <w:rPr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from”</w:t>
            </w:r>
          </w:p>
          <w:p>
            <w:pPr>
              <w:pStyle w:val="TableParagraph"/>
              <w:spacing w:line="154" w:lineRule="exact"/>
              <w:ind w:left="44" w:right="32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.4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4" w:right="33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4" w:right="32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z w:val="14"/>
              </w:rPr>
              <w:t>36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41" w:right="0" w:firstLine="12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sz w:val="14"/>
              </w:rPr>
              <w:t>Two</w:t>
            </w:r>
            <w:r>
              <w:rPr>
                <w:rFonts w:ascii="Arial"/>
                <w:i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bulkheads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2"/>
                <w:sz w:val="14"/>
              </w:rPr>
              <w:t> </w:t>
            </w: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z w:val="14"/>
              </w:rPr>
              <w:t>36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  <w:p>
            <w:pPr>
              <w:pStyle w:val="TableParagraph"/>
              <w:spacing w:line="159" w:lineRule="exact"/>
              <w:ind w:left="143" w:right="0"/>
              <w:jc w:val="left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+</w:t>
            </w:r>
            <w:r>
              <w:rPr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rFonts w:ascii="Arial"/>
                <w:i/>
                <w:color w:val="231F20"/>
                <w:w w:val="105"/>
                <w:sz w:val="14"/>
              </w:rPr>
              <w:t>two</w:t>
            </w:r>
            <w:r>
              <w:rPr>
                <w:rFonts w:ascii="Arial"/>
                <w:i/>
                <w:color w:val="231F20"/>
                <w:spacing w:val="-1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decks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z w:val="14"/>
              </w:rPr>
              <w:t>36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244" w:right="0" w:hanging="127"/>
              <w:jc w:val="left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48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including</w:t>
            </w:r>
          </w:p>
          <w:p>
            <w:pPr>
              <w:pStyle w:val="TableParagraph"/>
              <w:spacing w:line="159" w:lineRule="exact"/>
              <w:ind w:left="66" w:right="0"/>
              <w:jc w:val="left"/>
              <w:rPr>
                <w:sz w:val="14"/>
              </w:rPr>
            </w:pPr>
            <w:r>
              <w:rPr>
                <w:rFonts w:ascii="Arial"/>
                <w:i/>
                <w:color w:val="231F20"/>
                <w:w w:val="105"/>
                <w:sz w:val="14"/>
              </w:rPr>
              <w:t>two</w:t>
            </w:r>
            <w:r>
              <w:rPr>
                <w:rFonts w:ascii="Arial"/>
                <w:i/>
                <w:color w:val="231F20"/>
                <w:spacing w:val="3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bulkheads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color w:val="231F20"/>
                <w:sz w:val="14"/>
              </w:rPr>
              <w:t>At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z w:val="14"/>
              </w:rPr>
              <w:t>least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z w:val="14"/>
              </w:rPr>
              <w:t>48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10"/>
                <w:sz w:val="14"/>
              </w:rPr>
              <w:t>m</w:t>
            </w:r>
          </w:p>
        </w:tc>
        <w:tc>
          <w:tcPr>
            <w:tcW w:w="106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</w:tr>
      <w:tr>
        <w:trPr>
          <w:trHeight w:val="790" w:hRule="atLeast"/>
        </w:trPr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4" w:right="32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6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068" w:type="dxa"/>
          </w:tcPr>
          <w:p>
            <w:pPr>
              <w:pStyle w:val="TableParagraph"/>
              <w:spacing w:before="154"/>
              <w:ind w:right="0"/>
              <w:jc w:val="left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</w:tr>
    </w:tbl>
    <w:p>
      <w:pPr>
        <w:pStyle w:val="BodyText"/>
        <w:spacing w:before="63"/>
        <w:rPr>
          <w:sz w:val="18"/>
        </w:rPr>
      </w:pPr>
    </w:p>
    <w:p>
      <w:pPr>
        <w:pStyle w:val="BodyText"/>
        <w:spacing w:before="1"/>
        <w:ind w:left="2497"/>
      </w:pPr>
      <w:r>
        <w:rPr>
          <w:rFonts w:ascii="Arial"/>
          <w:b/>
          <w:color w:val="231F20"/>
          <w:w w:val="105"/>
        </w:rPr>
        <w:t>Note:</w:t>
      </w:r>
      <w:r>
        <w:rPr>
          <w:rFonts w:ascii="Arial"/>
          <w:b/>
          <w:color w:val="231F20"/>
          <w:spacing w:val="-3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bulkheads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decks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shall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resistant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fire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liquid.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899999</wp:posOffset>
                </wp:positionH>
                <wp:positionV relativeFrom="paragraph">
                  <wp:posOffset>262964</wp:posOffset>
                </wp:positionV>
                <wp:extent cx="6120130" cy="635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0.705885pt;width:481.9pt;height:.5pt;mso-position-horizontal-relative:page;mso-position-vertical-relative:paragraph;z-index:-15726592;mso-wrap-distance-left:0;mso-wrap-distance-right:0" id="docshapegroup16" coordorigin="1417,414" coordsize="9638,10">
                <v:line style="position:absolute" from="5953,419" to="11055,419" stroked="true" strokeweight=".5pt" strokecolor="#231f20">
                  <v:stroke dashstyle="solid"/>
                </v:line>
                <v:line style="position:absolute" from="1417,419" to="5953,419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sectPr>
      <w:headerReference w:type="default" r:id="rId7"/>
      <w:footerReference w:type="default" r:id="rId8"/>
      <w:pgSz w:w="11910" w:h="16840"/>
      <w:pgMar w:header="303" w:footer="546" w:top="880" w:bottom="7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lfaen">
    <w:altName w:val="Sylfae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41300" cy="1752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130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506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9pt;height:13.8pt;mso-position-horizontal-relative:page;mso-position-vertical-relative:page;z-index:-15932416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506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5931904" type="#_x0000_t202" id="docshape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5930880" type="#_x0000_t202" id="docshape1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6795629</wp:posOffset>
              </wp:positionH>
              <wp:positionV relativeFrom="page">
                <wp:posOffset>10168114</wp:posOffset>
              </wp:positionV>
              <wp:extent cx="236220" cy="1752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3622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507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88928pt;margin-top:800.638916pt;width:18.6pt;height:13.8pt;mso-position-horizontal-relative:page;mso-position-vertical-relative:page;z-index:-15930368" type="#_x0000_t202" id="docshape1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507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517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710175pt;margin-top:14.158673pt;width:81.05pt;height:22.9pt;mso-position-horizontal-relative:page;mso-position-vertical-relative:page;z-index:-159329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517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518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5931392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518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1930" w:hanging="108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930" w:hanging="108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30" w:hanging="108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3"/>
        <w:w w:val="9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7" w:hanging="1080"/>
        <w:jc w:val="left"/>
      </w:pPr>
      <w:rPr>
        <w:rFonts w:hint="default"/>
        <w:spacing w:val="-16"/>
        <w:w w:val="102"/>
        <w:lang w:val="en-US" w:eastAsia="en-US" w:bidi="ar-SA"/>
      </w:rPr>
    </w:lvl>
    <w:lvl w:ilvl="4">
      <w:start w:val="0"/>
      <w:numFmt w:val="bullet"/>
      <w:lvlText w:val="–"/>
      <w:lvlJc w:val="left"/>
      <w:pPr>
        <w:ind w:left="2290" w:hanging="108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92"/>
        <w:sz w:val="17"/>
        <w:szCs w:val="1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10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10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10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1" w:hanging="10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30" w:hanging="108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"/>
      <w:ind w:left="20"/>
      <w:outlineLvl w:val="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30" w:right="1414" w:hanging="108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right="31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2026-06-20T03:31:14Z</dcterms:created>
  <dcterms:modified xsi:type="dcterms:W3CDTF">2026-06-20T03:31:14Z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2026-06-20T00:00:00Z</vt:filetime>
  </property>
  <property fmtid="{D5CDD505-2E9C-101B-9397-08002B2CF9AE}" pid="6" name="Producer">
    <vt:lpwstr>pdf-lib (https://github.com/Hopding/pdf-lib)</vt:lpwstr>
  </property>
</Properties>
</file>