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Phase 2 | Business &amp; Product Alignment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Align business inputs with products before Phase 2 startup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Focus on: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User Case/Info Flow/Fund Flow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Phase 2 Background and Objectives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1.1.1 </w:t>
      </w:r>
      <w:r>
        <w:rPr>
          <w:rFonts w:eastAsia="等线" w:ascii="Arial" w:cs="Arial" w:hAnsi="Arial"/>
          <w:b w:val="true"/>
          <w:sz w:val="30"/>
        </w:rPr>
        <w:t>Core business objectives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2 hopes to solve the main business problems: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Signs of success after achieving Phase 2: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1.1.2 </w:t>
      </w:r>
      <w:r>
        <w:rPr>
          <w:rFonts w:eastAsia="等线" w:ascii="Arial" w:cs="Arial" w:hAnsi="Arial"/>
          <w:b w:val="true"/>
          <w:sz w:val="30"/>
        </w:rPr>
        <w:t>Business boundary assumption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2 leans more towards (multiple options available):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Build underlying capabilities, market expansion, business model expansion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Clearly define directions (if any) that are not within the scope of Phase 2.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1.1.3 </w:t>
      </w:r>
      <w:r>
        <w:rPr>
          <w:rFonts w:eastAsia="等线" w:ascii="Arial" w:cs="Arial" w:hAnsi="Arial"/>
          <w:b w:val="true"/>
          <w:sz w:val="30"/>
        </w:rPr>
        <w:t>Business boundary assumption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2 leans more towards (multiple options available):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Build underlying capabilities, market expansion, business model expansion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Clearly define directions (if any) that are not within the scope of Phase 2.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1.1.4 </w:t>
      </w:r>
      <w:r>
        <w:rPr>
          <w:rFonts w:eastAsia="等线" w:ascii="Arial" w:cs="Arial" w:hAnsi="Arial"/>
          <w:b w:val="true"/>
          <w:sz w:val="30"/>
        </w:rPr>
        <w:t>Business Model address</w:t>
      </w:r>
      <w:bookmarkEnd w:id="4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AIX Phase 2 Business Model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R&amp;R &amp; Contractual Relationship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Roles &amp; Responsibilities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MVP Function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User Case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695"/>
        <w:gridCol w:w="1230"/>
        <w:gridCol w:w="429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Domain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Functional </w:t>
            </w:r>
            <w:r>
              <w:rPr>
                <w:rFonts w:eastAsia="等线" w:ascii="Arial" w:cs="Arial" w:hAnsi="Arial"/>
                <w:b w:val="true"/>
                <w:sz w:val="22"/>
              </w:rPr>
              <w:t>Flow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Information source/interaction pattern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Note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opening KYC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Passport OCR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  <w:r>
              <w:rPr>
                <w:rFonts w:eastAsia="等线" w:ascii="Arial" w:cs="Arial" w:hAnsi="Arial"/>
                <w:sz w:val="22"/>
              </w:rPr>
              <w:t xml:space="preserve"> → AAI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Passport information recognition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liveness+Face Comparison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  <w:r>
              <w:rPr>
                <w:rFonts w:eastAsia="等线" w:ascii="Arial" w:cs="Arial" w:hAnsi="Arial"/>
                <w:sz w:val="22"/>
              </w:rPr>
              <w:t xml:space="preserve"> → AAI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 detection and face comparing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POA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  <w:r>
              <w:rPr>
                <w:rFonts w:eastAsia="等线" w:ascii="Arial" w:cs="Arial" w:hAnsi="Arial"/>
                <w:sz w:val="22"/>
              </w:rPr>
              <w:t xml:space="preserve"> → AAI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proof of address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Agreement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confirms KYC related agreement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management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card information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activation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 PIN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 PIN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 Card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Unlock Card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AIX → </w:t>
            </w:r>
            <w:r>
              <w:rPr>
                <w:rFonts w:eastAsia="等线" w:ascii="Arial" w:cs="Arial" w:hAnsi="Arial"/>
                <w:sz w:val="22"/>
              </w:rPr>
              <w:t>KUN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On-Chain Transfer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on-chain deposit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Cobo → Chainalysis → Notabene → Cobo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Chainalysis: Incoming KYT checks against source of funds risks, sanction list, illicit activity, etc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Notabene: Travel Rule check against Travel Rule check for counterparty type (custodial vs non-custodial wallet), jurisdiction, sender's account information. Actual requirements may vary depending on which jurisdiction's travel rule requirements we shall follow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Cobo: receives and detects on-chain transactions into the user’s wallet and notify AIX via webhook notification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on-chain withdrawal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Travel Rule → Chainalysis → Cobo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Chainalysis: Incoming KYT checks against destination address risks (e.g., scam, hacks, darknet, etc), sanction list, and velocity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Notabene: Travel Rule check for counterparty type (custodial vs non-custodial wallet), jurisdiction, receiver's account information. Actual requirements may vary depending on which jurisdiction's travel rule requirements we shall follow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Cobo: broadcasts withdrawal transactions from the withdrawal wallet to the blockchain, sending funds to the destination wallet address.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Swapping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Swapping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Swap USDC to USDT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Stablecoins Yield Product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Deposit stablecoins into the yield account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yield partner</w:t>
            </w:r>
          </w:p>
        </w:tc>
        <w:tc>
          <w:tcPr>
            <w:tcW w:w="4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liquidity rebalancing for principal held with the yield partner.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balance held with the yield partner is calculated from: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principal deposited by users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buffer applied to users' principal (number 1)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Treasury balance allocated for AIX revenue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Withdraw stablecoins into the yield account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yield partner</w:t>
            </w:r>
          </w:p>
        </w:tc>
        <w:tc>
          <w:tcPr>
            <w:tcW w:w="4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 calculation of earned yield based on the stored principle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yield partner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System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695"/>
        <w:gridCol w:w="1230"/>
        <w:gridCol w:w="429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Domain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Functional Flow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Information source/interaction pattern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Note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Sweeping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Automated sweeping from individual user's wallet to omnibus wallet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Cobo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Sweep logic defined by user's wallet balance, estimated gas fees, and system liquidity requirements.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Withdrawal Top-up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 top-up from omnibus wallet to withdrawal wallet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Cobo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 top-up is triggered based on the withdrawal wallet's balance threshold and liquidity requirements.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Deposit Escrow 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Hold incoming token deposit in escrow and allow for manual release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 → Cobo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Incoming deposit tokens may be held in escrow if KYT and/or travel rule policies are triggered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 ledger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 each user’s credit and debit transactions to calculate the current balance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balance displayed in the user's wallet may not reflect their actual balance due to liquidity pooling for system optimization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Info &amp; Fund Flow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 xml:space="preserve">Account </w:t>
      </w:r>
      <w:r>
        <w:rPr>
          <w:rFonts w:eastAsia="等线" w:ascii="Arial" w:cs="Arial" w:hAnsi="Arial"/>
          <w:b w:val="true"/>
          <w:sz w:val="32"/>
        </w:rPr>
        <w:t>O</w:t>
      </w:r>
      <w:r>
        <w:rPr>
          <w:rFonts w:eastAsia="等线" w:ascii="Arial" w:cs="Arial" w:hAnsi="Arial"/>
          <w:b w:val="true"/>
          <w:sz w:val="32"/>
        </w:rPr>
        <w:t xml:space="preserve">pening </w:t>
      </w:r>
      <w:r>
        <w:rPr>
          <w:rFonts w:eastAsia="等线" w:ascii="Arial" w:cs="Arial" w:hAnsi="Arial"/>
          <w:b w:val="true"/>
          <w:sz w:val="32"/>
        </w:rPr>
        <w:t>KYC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@Yifeng Wu 吴忆锋</w:t>
      </w:r>
      <w:r>
        <w:rPr>
          <w:rFonts w:eastAsia="等线" w:ascii="Arial" w:cs="Arial" w:hAnsi="Arial"/>
          <w:sz w:val="22"/>
        </w:rPr>
        <w:t>Can you attach the current account opening KYC flow with dtcPay? It should remain the same, with dtcPay replaced by KUN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Card Application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 xml:space="preserve">Card </w:t>
      </w:r>
      <w:r>
        <w:rPr>
          <w:rFonts w:eastAsia="等线" w:ascii="Arial" w:cs="Arial" w:hAnsi="Arial"/>
          <w:b w:val="true"/>
          <w:sz w:val="32"/>
        </w:rPr>
        <w:t>M</w:t>
      </w:r>
      <w:r>
        <w:rPr>
          <w:rFonts w:eastAsia="等线" w:ascii="Arial" w:cs="Arial" w:hAnsi="Arial"/>
          <w:b w:val="true"/>
          <w:sz w:val="32"/>
        </w:rPr>
        <w:t>anagement</w:t>
      </w:r>
      <w:r>
        <w:rPr>
          <w:rFonts w:eastAsia="等线" w:ascii="Arial" w:cs="Arial" w:hAnsi="Arial"/>
          <w:b w:val="true"/>
          <w:sz w:val="32"/>
        </w:rPr>
        <w:t xml:space="preserve"> Flow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On-chain Deposit with KYT and Travel Rule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On-Chain Withdrawal with KYT and Travel Rule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Token Swapping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4.7 </w:t>
      </w:r>
      <w:r>
        <w:rPr>
          <w:rFonts w:eastAsia="等线" w:ascii="Arial" w:cs="Arial" w:hAnsi="Arial"/>
          <w:b w:val="true"/>
          <w:sz w:val="32"/>
        </w:rPr>
        <w:t>Yield Account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4.8 </w:t>
      </w:r>
      <w:r>
        <w:rPr>
          <w:rFonts w:eastAsia="等线" w:ascii="Arial" w:cs="Arial" w:hAnsi="Arial"/>
          <w:b w:val="true"/>
          <w:sz w:val="32"/>
        </w:rPr>
        <w:t xml:space="preserve">Card </w:t>
      </w:r>
      <w:r>
        <w:rPr>
          <w:rFonts w:eastAsia="等线" w:ascii="Arial" w:cs="Arial" w:hAnsi="Arial"/>
          <w:b w:val="true"/>
          <w:sz w:val="32"/>
        </w:rPr>
        <w:t>T</w:t>
      </w:r>
      <w:r>
        <w:rPr>
          <w:rFonts w:eastAsia="等线" w:ascii="Arial" w:cs="Arial" w:hAnsi="Arial"/>
          <w:b w:val="true"/>
          <w:sz w:val="32"/>
        </w:rPr>
        <w:t>ransactions</w:t>
      </w:r>
      <w:r>
        <w:rPr>
          <w:rFonts w:eastAsia="等线" w:ascii="Arial" w:cs="Arial" w:hAnsi="Arial"/>
          <w:b w:val="true"/>
          <w:sz w:val="32"/>
        </w:rPr>
        <w:t xml:space="preserve"> (Auth &amp; Capture)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 Rain with KUN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Auth Flow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Capture Flow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4.9 </w:t>
      </w:r>
      <w:r>
        <w:rPr>
          <w:rFonts w:eastAsia="等线" w:ascii="Arial" w:cs="Arial" w:hAnsi="Arial"/>
          <w:b w:val="true"/>
          <w:sz w:val="32"/>
        </w:rPr>
        <w:t>Refund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 Rain with KUN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Refund Flow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External dependencies and constraints</w:t>
      </w:r>
      <w:bookmarkEnd w:id="2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Dependent external roles/systems: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☐ Custody Provider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☐ Issuer / BIN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☐ KYT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</w:t>
      </w:r>
      <w:r>
        <w:rPr>
          <w:rFonts w:eastAsia="等线" w:ascii="Arial" w:cs="Arial" w:hAnsi="Arial"/>
          <w:sz w:val="22"/>
        </w:rPr>
        <w:t>ravel Rule Vendor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Banks/Payment Institutions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Other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Uncertainty and risk</w:t>
      </w:r>
      <w:bookmarkEnd w:id="2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Currently identified uncertain points or risks: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Factors that may affect the rhythm or scope of Phase 2: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35">
    <w:lvl>
      <w:numFmt w:val="bullet"/>
      <w:suff w:val="tab"/>
      <w:lvlText w:val="•"/>
      <w:rPr>
        <w:color w:val="3370ff"/>
      </w:rPr>
    </w:lvl>
  </w:abstractNum>
  <w:abstractNum w:abstractNumId="5736">
    <w:lvl>
      <w:numFmt w:val="bullet"/>
      <w:suff w:val="tab"/>
      <w:lvlText w:val="•"/>
      <w:rPr>
        <w:color w:val="3370ff"/>
      </w:rPr>
    </w:lvl>
  </w:abstractNum>
  <w:abstractNum w:abstractNumId="5737">
    <w:lvl>
      <w:numFmt w:val="bullet"/>
      <w:suff w:val="tab"/>
      <w:lvlText w:val="•"/>
      <w:rPr>
        <w:color w:val="3370ff"/>
      </w:rPr>
    </w:lvl>
  </w:abstractNum>
  <w:abstractNum w:abstractNumId="5738">
    <w:lvl>
      <w:numFmt w:val="bullet"/>
      <w:suff w:val="tab"/>
      <w:lvlText w:val="•"/>
      <w:rPr>
        <w:color w:val="3370ff"/>
      </w:rPr>
    </w:lvl>
  </w:abstractNum>
  <w:abstractNum w:abstractNumId="5739">
    <w:lvl>
      <w:numFmt w:val="bullet"/>
      <w:suff w:val="tab"/>
      <w:lvlText w:val="•"/>
      <w:rPr>
        <w:color w:val="3370ff"/>
      </w:rPr>
    </w:lvl>
  </w:abstractNum>
  <w:abstractNum w:abstractNumId="5740">
    <w:lvl>
      <w:numFmt w:val="bullet"/>
      <w:suff w:val="tab"/>
      <w:lvlText w:val="•"/>
      <w:rPr>
        <w:color w:val="3370ff"/>
      </w:rPr>
    </w:lvl>
  </w:abstractNum>
  <w:abstractNum w:abstractNumId="5741">
    <w:lvl>
      <w:numFmt w:val="bullet"/>
      <w:suff w:val="tab"/>
      <w:lvlText w:val="•"/>
      <w:rPr>
        <w:color w:val="3370ff"/>
      </w:rPr>
    </w:lvl>
  </w:abstractNum>
  <w:abstractNum w:abstractNumId="5742">
    <w:lvl>
      <w:numFmt w:val="bullet"/>
      <w:suff w:val="tab"/>
      <w:lvlText w:val="•"/>
      <w:rPr>
        <w:color w:val="3370ff"/>
      </w:rPr>
    </w:lvl>
  </w:abstractNum>
  <w:abstractNum w:abstractNumId="5743">
    <w:lvl>
      <w:numFmt w:val="bullet"/>
      <w:suff w:val="tab"/>
      <w:lvlText w:val="•"/>
      <w:rPr>
        <w:color w:val="3370ff"/>
      </w:rPr>
    </w:lvl>
  </w:abstractNum>
  <w:abstractNum w:abstractNumId="5744">
    <w:lvl>
      <w:numFmt w:val="bullet"/>
      <w:suff w:val="tab"/>
      <w:lvlText w:val="•"/>
      <w:rPr>
        <w:color w:val="3370ff"/>
      </w:rPr>
    </w:lvl>
  </w:abstractNum>
  <w:abstractNum w:abstractNumId="5745">
    <w:lvl>
      <w:numFmt w:val="bullet"/>
      <w:suff w:val="tab"/>
      <w:lvlText w:val="•"/>
      <w:rPr>
        <w:color w:val="3370ff"/>
      </w:rPr>
    </w:lvl>
  </w:abstractNum>
  <w:abstractNum w:abstractNumId="5746">
    <w:lvl>
      <w:numFmt w:val="bullet"/>
      <w:suff w:val="tab"/>
      <w:lvlText w:val="•"/>
      <w:rPr>
        <w:color w:val="3370ff"/>
      </w:rPr>
    </w:lvl>
  </w:abstractNum>
  <w:abstractNum w:abstractNumId="5747">
    <w:lvl>
      <w:numFmt w:val="bullet"/>
      <w:suff w:val="tab"/>
      <w:lvlText w:val="•"/>
      <w:rPr>
        <w:color w:val="3370ff"/>
      </w:rPr>
    </w:lvl>
  </w:abstractNum>
  <w:abstractNum w:abstractNumId="5748">
    <w:lvl>
      <w:numFmt w:val="bullet"/>
      <w:suff w:val="tab"/>
      <w:lvlText w:val="•"/>
      <w:rPr>
        <w:color w:val="3370ff"/>
      </w:rPr>
    </w:lvl>
  </w:abstractNum>
  <w:abstractNum w:abstractNumId="5749">
    <w:lvl>
      <w:start w:val="1"/>
      <w:numFmt w:val="decimal"/>
      <w:suff w:val="tab"/>
      <w:lvlText w:val="%1."/>
      <w:rPr>
        <w:color w:val="3370ff"/>
      </w:rPr>
    </w:lvl>
  </w:abstractNum>
  <w:abstractNum w:abstractNumId="5750">
    <w:lvl>
      <w:start w:val="2"/>
      <w:numFmt w:val="decimal"/>
      <w:suff w:val="tab"/>
      <w:lvlText w:val="%1."/>
      <w:rPr>
        <w:color w:val="3370ff"/>
      </w:rPr>
    </w:lvl>
  </w:abstractNum>
  <w:abstractNum w:abstractNumId="5751">
    <w:lvl>
      <w:start w:val="3"/>
      <w:numFmt w:val="decimal"/>
      <w:suff w:val="tab"/>
      <w:lvlText w:val="%1."/>
      <w:rPr>
        <w:color w:val="3370ff"/>
      </w:rPr>
    </w:lvl>
  </w:abstractNum>
  <w:abstractNum w:abstractNumId="5752">
    <w:lvl>
      <w:numFmt w:val="bullet"/>
      <w:suff w:val="tab"/>
      <w:lvlText w:val="•"/>
      <w:rPr>
        <w:color w:val="3370ff"/>
      </w:rPr>
    </w:lvl>
  </w:abstractNum>
  <w:abstractNum w:abstractNumId="5753">
    <w:lvl>
      <w:numFmt w:val="bullet"/>
      <w:suff w:val="tab"/>
      <w:lvlText w:val="￮"/>
      <w:rPr>
        <w:color w:val="3370ff"/>
      </w:rPr>
    </w:lvl>
  </w:abstractNum>
  <w:abstractNum w:abstractNumId="5754">
    <w:lvl>
      <w:numFmt w:val="bullet"/>
      <w:suff w:val="tab"/>
      <w:lvlText w:val="￮"/>
      <w:rPr>
        <w:color w:val="3370ff"/>
      </w:rPr>
    </w:lvl>
  </w:abstractNum>
  <w:abstractNum w:abstractNumId="5755">
    <w:lvl>
      <w:numFmt w:val="bullet"/>
      <w:suff w:val="tab"/>
      <w:lvlText w:val="￮"/>
      <w:rPr>
        <w:color w:val="3370ff"/>
      </w:rPr>
    </w:lvl>
  </w:abstractNum>
  <w:abstractNum w:abstractNumId="5756">
    <w:lvl>
      <w:numFmt w:val="bullet"/>
      <w:suff w:val="tab"/>
      <w:lvlText w:val="￮"/>
      <w:rPr>
        <w:color w:val="3370ff"/>
      </w:rPr>
    </w:lvl>
  </w:abstractNum>
  <w:abstractNum w:abstractNumId="5757">
    <w:lvl>
      <w:numFmt w:val="bullet"/>
      <w:suff w:val="tab"/>
      <w:lvlText w:val="￮"/>
      <w:rPr>
        <w:color w:val="3370ff"/>
      </w:rPr>
    </w:lvl>
  </w:abstractNum>
  <w:abstractNum w:abstractNumId="5758">
    <w:lvl>
      <w:numFmt w:val="bullet"/>
      <w:suff w:val="tab"/>
      <w:lvlText w:val="￮"/>
      <w:rPr>
        <w:color w:val="3370ff"/>
      </w:rPr>
    </w:lvl>
  </w:abstractNum>
  <w:abstractNum w:abstractNumId="5759">
    <w:lvl>
      <w:numFmt w:val="bullet"/>
      <w:suff w:val="tab"/>
      <w:lvlText w:val="•"/>
      <w:rPr>
        <w:color w:val="3370ff"/>
      </w:rPr>
    </w:lvl>
  </w:abstractNum>
  <w:abstractNum w:abstractNumId="5760">
    <w:lvl>
      <w:numFmt w:val="bullet"/>
      <w:suff w:val="tab"/>
      <w:lvlText w:val="•"/>
      <w:rPr>
        <w:color w:val="3370ff"/>
      </w:rPr>
    </w:lvl>
  </w:abstractNum>
  <w:num w:numId="1">
    <w:abstractNumId w:val="5735"/>
  </w:num>
  <w:num w:numId="2">
    <w:abstractNumId w:val="5736"/>
  </w:num>
  <w:num w:numId="3">
    <w:abstractNumId w:val="5737"/>
  </w:num>
  <w:num w:numId="4">
    <w:abstractNumId w:val="5738"/>
  </w:num>
  <w:num w:numId="5">
    <w:abstractNumId w:val="5739"/>
  </w:num>
  <w:num w:numId="6">
    <w:abstractNumId w:val="5740"/>
  </w:num>
  <w:num w:numId="7">
    <w:abstractNumId w:val="5741"/>
  </w:num>
  <w:num w:numId="8">
    <w:abstractNumId w:val="5742"/>
  </w:num>
  <w:num w:numId="9">
    <w:abstractNumId w:val="5743"/>
  </w:num>
  <w:num w:numId="10">
    <w:abstractNumId w:val="5744"/>
  </w:num>
  <w:num w:numId="11">
    <w:abstractNumId w:val="5745"/>
  </w:num>
  <w:num w:numId="12">
    <w:abstractNumId w:val="5746"/>
  </w:num>
  <w:num w:numId="13">
    <w:abstractNumId w:val="5747"/>
  </w:num>
  <w:num w:numId="14">
    <w:abstractNumId w:val="5748"/>
  </w:num>
  <w:num w:numId="15">
    <w:abstractNumId w:val="5749"/>
  </w:num>
  <w:num w:numId="16">
    <w:abstractNumId w:val="5750"/>
  </w:num>
  <w:num w:numId="17">
    <w:abstractNumId w:val="5751"/>
  </w:num>
  <w:num w:numId="18">
    <w:abstractNumId w:val="5752"/>
  </w:num>
  <w:num w:numId="19">
    <w:abstractNumId w:val="5753"/>
  </w:num>
  <w:num w:numId="20">
    <w:abstractNumId w:val="5754"/>
  </w:num>
  <w:num w:numId="21">
    <w:abstractNumId w:val="5755"/>
  </w:num>
  <w:num w:numId="22">
    <w:abstractNumId w:val="5756"/>
  </w:num>
  <w:num w:numId="23">
    <w:abstractNumId w:val="5757"/>
  </w:num>
  <w:num w:numId="24">
    <w:abstractNumId w:val="5758"/>
  </w:num>
  <w:num w:numId="25">
    <w:abstractNumId w:val="5759"/>
  </w:num>
  <w:num w:numId="26">
    <w:abstractNumId w:val="57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dvancegroup.sg.larksuite.com/wiki/A6trwIYjciQacok2T9XlkD8Egbh?from=from_copylink" TargetMode="External" Type="http://schemas.openxmlformats.org/officeDocument/2006/relationships/hyperlink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media/image3.png" Type="http://schemas.openxmlformats.org/officeDocument/2006/relationships/image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2026-04-04T16:13:34Z</dcterms:created>
  <dc:creator>Apache POI</dc:creator>
</cp:coreProperties>
</file>