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aix-phase-2-概要设计方案"/>
    <w:p>
      <w:pPr>
        <w:pStyle w:val="Heading1"/>
      </w:pPr>
      <w:r>
        <w:t xml:space="preserve">AIX Phase 2 概要设计方案</w:t>
      </w:r>
    </w:p>
    <w:p>
      <w:pPr>
        <w:pStyle w:val="FirstParagraph"/>
      </w:pPr>
      <w:r>
        <w:t xml:space="preserve">角色与职责 · MVP 功能 · 核心业务流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概要设计（Solution Architecture）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 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待内部评审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一方案概述"/>
    <w:p>
      <w:pPr>
        <w:pStyle w:val="Heading2"/>
      </w:pPr>
      <w:r>
        <w:t xml:space="preserve">一、方案概述</w:t>
      </w:r>
    </w:p>
    <w:p>
      <w:pPr>
        <w:pStyle w:val="FirstParagraph"/>
      </w:pPr>
      <w:r>
        <w:t xml:space="preserve">Phase 2 的本质转变：从依赖 dtcPay 单一合作方的卡产品，升级为以 自主牌照 + 模块化基础设施为核心的稳定币资金账户平台。 AIX 自主掌控：账户体系、账本、合规策略、风控规则、资金归集与分配。 外部 Vendor 负责：链上资产托管（Custody）、区块链风险分析（KYT）、合规报文交换（Travel Rule）、卡发行清算（BIN Issuer）、流动性补仓（Liquidity Partner）。</w:t>
      </w:r>
    </w:p>
    <w:p>
      <w:r>
        <w:pict>
          <v:rect style="width:0;height:1.5pt" o:hralign="center" o:hrstd="t" o:hr="t"/>
        </w:pict>
      </w:r>
    </w:p>
    <w:bookmarkEnd w:id="20"/>
    <w:bookmarkStart w:id="22" w:name="二aix系统说明"/>
    <w:p>
      <w:pPr>
        <w:pStyle w:val="Heading2"/>
      </w:pPr>
      <w:r>
        <w:t xml:space="preserve">二、AIX系统说明</w:t>
      </w:r>
    </w:p>
    <w:bookmarkStart w:id="21" w:name="aix-内部两层核心子系统"/>
    <w:p>
      <w:pPr>
        <w:pStyle w:val="Heading3"/>
      </w:pPr>
      <w:r>
        <w:t xml:space="preserve">AIX 内部两层核心子系统</w:t>
      </w:r>
    </w:p>
    <w:p>
      <w:pPr>
        <w:pStyle w:val="FirstParagraph"/>
      </w:pPr>
      <w:r>
        <w:t xml:space="preserve">AIX 自有系统在逻辑上分为两个相互独立、职责清晰的核心子系统：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9"/>
        <w:gridCol w:w="203"/>
        <w:gridCol w:w="6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子系统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AIX Platform</w:t>
            </w:r>
            <w:r>
              <w:t xml:space="preserve">（业务中台）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编排层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接收用户/外部请求；管理全流程状态机；调用外部 Vendor（KUN、Cobo、KYT、Travel Rule、Liquidity Partner）；将账本操作指令下发给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AIX Ledger</w:t>
            </w:r>
            <w:r>
              <w:t xml:space="preserve">（核心账本）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账本层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以双记账法维护每用户余额；执行预扣/冻结/结算/划拨；触发 Cobo 链上资金转移指令；保持账本与 Custody 的一致性</w:t>
            </w:r>
          </w:p>
        </w:tc>
      </w:tr>
    </w:tbl>
    <w:p>
      <w:pPr>
        <w:pStyle w:val="BodyText"/>
      </w:pPr>
      <w:r>
        <w:t xml:space="preserve">两层子系统之间单向依赖：Platform 调用 Ledger，Ledger 不反向依赖 Platform 的业务逻辑。KYC 身份核验不在 AIX 内部完成——AIX Platform 仅串联 KUN（持牌合规网关），由 KUN + AAI 完成证件核验与合规审定，AIX 保存结论，不存储原始证件。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三角色与职责roles-responsibilities"/>
    <w:p>
      <w:pPr>
        <w:pStyle w:val="Heading2"/>
      </w:pPr>
      <w:r>
        <w:t xml:space="preserve">三、角色与职责（Roles &amp; Responsibilities）</w:t>
      </w:r>
    </w:p>
    <w:p>
      <w:pPr>
        <w:pStyle w:val="FirstParagraph"/>
      </w:pPr>
      <w:r>
        <w:rPr>
          <w:bCs/>
          <w:b/>
        </w:rPr>
        <w:t xml:space="preserve">AIXPAY LIMITED</w:t>
      </w:r>
      <w:r>
        <w:t xml:space="preserve"> </w:t>
      </w:r>
      <w:r>
        <w:t xml:space="preserve">作为核心运营主体，与用户直接建立产品与服务法律关系（T&amp;C + Privacy Policy），并分别与下列</w:t>
      </w:r>
      <w:r>
        <w:rPr>
          <w:bCs/>
          <w:b/>
        </w:rPr>
        <w:t xml:space="preserve">法定主体</w:t>
      </w:r>
      <w:r>
        <w:t xml:space="preserve">通过商业合同与技术集成对接，组合形成完整的数字资产账户与卡支付能力栈。</w:t>
      </w:r>
    </w:p>
    <w:p>
      <w:pPr>
        <w:pStyle w:val="BodyText"/>
      </w:pPr>
      <w:r>
        <w:rPr>
          <w:bCs/>
          <w:b/>
        </w:rPr>
        <w:t xml:space="preserve">生态关系总览</w:t>
      </w:r>
      <w:r>
        <w:t xml:space="preserve">：</w:t>
      </w:r>
    </w:p>
    <w:p>
      <w:pPr>
        <w:pStyle w:val="CaptionedFigure"/>
      </w:pPr>
      <w:r>
        <w:drawing>
          <wp:inline>
            <wp:extent cx="5334000" cy="2548311"/>
            <wp:effectExtent b="0" l="0" r="0" t="0"/>
            <wp:docPr descr="图 1" title="" id="24" name="Picture"/>
            <a:graphic>
              <a:graphicData uri="http://schemas.openxmlformats.org/drawingml/2006/picture">
                <pic:pic>
                  <pic:nvPicPr>
                    <pic:cNvPr descr="docx-mermaid-assets/mermaid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</w:t>
      </w:r>
    </w:p>
    <w:p>
      <w:pPr>
        <w:pStyle w:val="BodyText"/>
      </w:pPr>
      <w:r>
        <w:rPr>
          <w:bCs/>
          <w:b/>
        </w:rPr>
        <w:t xml:space="preserve">各方角色与职责详述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8"/>
        <w:gridCol w:w="1201"/>
        <w:gridCol w:w="59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职责范围与边界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Cobo Singapore Technology Pte.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Asset Custody &amp; On-Chain Transfer Technology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AIX 提供</w:t>
            </w:r>
            <w:r>
              <w:rPr>
                <w:bCs/>
                <w:b/>
              </w:rPr>
              <w:t xml:space="preserve">数字资产托管</w:t>
            </w:r>
            <w:r>
              <w:t xml:space="preserve">基础设施：私钥管理（MPC 多方计算）、充值地址生成、链上转账执行（含 Gas 管理）、余额快照与 Webhook 通知。AIX 通过 API 向 Cobo 下发转账指令，Cobo 负责签名广播并回传链上确认。双方通过</w:t>
            </w:r>
            <w:r>
              <w:rPr>
                <w:bCs/>
                <w:b/>
              </w:rPr>
              <w:t xml:space="preserve">日终对账</w:t>
            </w:r>
            <w:r>
              <w:t xml:space="preserve">（AIX Ledger 账本 vs Cobo 余额报告）保证账实一致。</w:t>
            </w:r>
            <w:r>
              <w:rPr>
                <w:bCs/>
                <w:b/>
              </w:rPr>
              <w:t xml:space="preserve">私钥始终不离开 Cobo 侧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YEEWALLEX HK LIMITED（aka KUN）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BIN Sponsorship +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 AIX 的</w:t>
            </w:r>
            <w:r>
              <w:rPr>
                <w:bCs/>
                <w:b/>
              </w:rPr>
              <w:t xml:space="preserve">卡业务核心合作方</w:t>
            </w:r>
            <w:r>
              <w:t xml:space="preserve">，提供三重能力：①</w:t>
            </w:r>
            <w:r>
              <w:t xml:space="preserve"> </w:t>
            </w:r>
            <w:r>
              <w:rPr>
                <w:bCs/>
                <w:b/>
              </w:rPr>
              <w:t xml:space="preserve">BIN Sponsorship</w:t>
            </w:r>
            <w:r>
              <w:t xml:space="preserve">——以 KUN 持有的发卡牌照为 AIX 用户发行 Visa / Mastercard 卡片（虚拟卡 + 实体卡）；②</w:t>
            </w:r>
            <w:r>
              <w:t xml:space="preserve"> </w:t>
            </w:r>
            <w:r>
              <w:rPr>
                <w:bCs/>
                <w:b/>
              </w:rPr>
              <w:t xml:space="preserve">Card Processing</w:t>
            </w:r>
            <w:r>
              <w:t xml:space="preserve">——处理实时授权（Auth）、清算（Clearing）、结算（Settlement）等卡网络交互，AIX 作为 Online Issuer 提供授权决策；③</w:t>
            </w:r>
            <w:r>
              <w:t xml:space="preserve"> </w:t>
            </w:r>
            <w:r>
              <w:rPr>
                <w:bCs/>
                <w:b/>
              </w:rPr>
              <w:t xml:space="preserve">KYC 协同入口</w:t>
            </w:r>
            <w:r>
              <w:t xml:space="preserve">——KUN 整合 AAI 身份核验能力，AIX App 通过 SDK 直连 AAI 采集证件/人脸（敏感数据不经 AIX 后台），KUN 输出最终合规结论给 AIX。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Chainalysis Singapore Pte.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KYT Technology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AIX 提供</w:t>
            </w:r>
            <w:r>
              <w:t xml:space="preserve"> </w:t>
            </w:r>
            <w:r>
              <w:rPr>
                <w:bCs/>
                <w:b/>
              </w:rPr>
              <w:t xml:space="preserve">KYT（Know Your Transaction）</w:t>
            </w:r>
            <w:r>
              <w:t xml:space="preserve"> </w:t>
            </w:r>
            <w:r>
              <w:t xml:space="preserve">能力：对链上地址与交易进行风险评分（Risk Score）、制裁名单匹配（OFAC / EU / UN）、黑名单筛查。AIX 在用户充值到账与提现发起时调用 Chainalysis API，根据返回的风险等级决定放行、人工审核或拒绝。评分规则阈值由 AIX 合规团队配置。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WalletConnect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deposit PSP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</w:t>
            </w:r>
            <w:r>
              <w:rPr>
                <w:bCs/>
                <w:b/>
              </w:rPr>
              <w:t xml:space="preserve">链上入金</w:t>
            </w:r>
            <w:r>
              <w:t xml:space="preserve">路径上的</w:t>
            </w:r>
            <w:r>
              <w:t xml:space="preserve"> </w:t>
            </w:r>
            <w:r>
              <w:rPr>
                <w:bCs/>
                <w:b/>
              </w:rPr>
              <w:t xml:space="preserve">PSP（Payment Service Provider）</w:t>
            </w:r>
            <w:r>
              <w:t xml:space="preserve"> </w:t>
            </w:r>
            <w:r>
              <w:t xml:space="preserve">能力提供方，为用户提供从外部钱包向 AIX 充值地址转入数字资产时的连接与交互体验（如 WalletConnect 协议支持的多钱包扫码连接）。AIX 平台侧集成该通道能力，具体产品形态随链与钱包生态演进调整。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Notabene Pte.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Rule Technology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 AIX 提供</w:t>
            </w:r>
            <w:r>
              <w:t xml:space="preserve"> </w:t>
            </w:r>
            <w:r>
              <w:rPr>
                <w:bCs/>
                <w:b/>
              </w:rPr>
              <w:t xml:space="preserve">Travel Rule</w:t>
            </w:r>
            <w:r>
              <w:t xml:space="preserve"> </w:t>
            </w:r>
            <w:r>
              <w:t xml:space="preserve">合规能力：在用户链上充值/提现时，按 FATF 要求与对手方 VASP 交换</w:t>
            </w:r>
            <w:r>
              <w:t xml:space="preserve"> </w:t>
            </w:r>
            <w:r>
              <w:rPr>
                <w:bCs/>
                <w:b/>
              </w:rPr>
              <w:t xml:space="preserve">IVMS101</w:t>
            </w:r>
            <w:r>
              <w:t xml:space="preserve"> </w:t>
            </w:r>
            <w:r>
              <w:t xml:space="preserve">格式的发起方/受益方信息。Notabene 负责对手方 VASP 发现（Discovery）、报文路由与加密传输。AIX 作为 Originating / Beneficiary VASP 发起或响应合规报文，超时未响应的交易按 AIX 内部策略降级处理。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QCP Capital Pte.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 AIX 在</w:t>
            </w:r>
            <w:r>
              <w:rPr>
                <w:bCs/>
                <w:b/>
              </w:rPr>
              <w:t xml:space="preserve">流动性补仓</w:t>
            </w:r>
            <w:r>
              <w:t xml:space="preserve">场景下的</w:t>
            </w:r>
            <w:r>
              <w:t xml:space="preserve"> </w:t>
            </w:r>
            <w:r>
              <w:rPr>
                <w:bCs/>
                <w:b/>
              </w:rPr>
              <w:t xml:space="preserve">做市商</w:t>
            </w:r>
            <w:r>
              <w:t xml:space="preserve">：提供实时汇率报价、执行大额换汇、完成 Crypto 划转至 AIX 企业账户。用于支撑平台侧的 B2B 资金清算与备付金补充。AIX 承担报价锁定期后的汇率波动风险。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4" w:name="四mvp-功能范围mvp-function-scope"/>
    <w:p>
      <w:pPr>
        <w:pStyle w:val="Heading2"/>
      </w:pPr>
      <w:r>
        <w:t xml:space="preserve">四、MVP 功能范围（MVP Function Scope）</w:t>
      </w:r>
    </w:p>
    <w:p>
      <w:pPr>
        <w:pStyle w:val="FirstParagraph"/>
      </w:pPr>
      <w:r>
        <w:t xml:space="preserve">本章锁定 Phase 2 MVP 交付边界，回答「</w:t>
      </w:r>
      <w:r>
        <w:rPr>
          <w:bCs/>
          <w:b/>
        </w:rPr>
        <w:t xml:space="preserve">做什么、不做什么、谁参与</w:t>
      </w:r>
      <w:r>
        <w:t xml:space="preserve">」。内容与业务 BRD §3 对齐；每项功能的详细步骤交互见</w:t>
      </w:r>
      <w:r>
        <w:rPr>
          <w:bCs/>
          <w:b/>
        </w:rPr>
        <w:t xml:space="preserve">第五章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2" w:name="用户侧功能user-facing"/>
    <w:p>
      <w:pPr>
        <w:pStyle w:val="Heading3"/>
      </w:pPr>
      <w:r>
        <w:t xml:space="preserve">4.1 用户侧功能（User-Facing）</w:t>
      </w:r>
    </w:p>
    <w:bookmarkStart w:id="27" w:name="a.-开户与身份认证account-opening-kyc"/>
    <w:p>
      <w:pPr>
        <w:pStyle w:val="Heading4"/>
      </w:pPr>
      <w:r>
        <w:t xml:space="preserve">A. 开户与身份认证（Account Opening / KYC）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KUN → AAI →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护照信息自动识别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+ Face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KUN → AAI →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活体检测与人脸比对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 地址证明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KUN → AAI →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上传并核验地址证明</w:t>
            </w:r>
          </w:p>
        </w:tc>
      </w:tr>
    </w:tbl>
    <w:bookmarkEnd w:id="27"/>
    <w:bookmarkStart w:id="28" w:name="b.-卡片管理card-management"/>
    <w:p>
      <w:pPr>
        <w:pStyle w:val="Heading4"/>
      </w:pPr>
      <w:r>
        <w:t xml:space="preserve">B. 卡片管理（Card Management）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Card Info / Activation / Set PIN / Change PIN / Lock / 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统一经 KUN 网关处理卡片全生命周期操作，AIX 仅存储脱敏信息</w:t>
            </w:r>
          </w:p>
        </w:tc>
      </w:tr>
    </w:tbl>
    <w:bookmarkEnd w:id="28"/>
    <w:bookmarkStart w:id="29" w:name="c.-链上充提token-on-chain-transfer"/>
    <w:p>
      <w:pPr>
        <w:pStyle w:val="Heading4"/>
      </w:pPr>
      <w:r>
        <w:t xml:space="preserve">C. 链上充提（Token On-Chain Transfer）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Deposit（充值）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Cobo → AIX → KYT / TR → AIX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Cobo</w:t>
            </w:r>
            <w:r>
              <w:t xml:space="preserve"> </w:t>
            </w:r>
            <w:r>
              <w:t xml:space="preserve">监测入账并通知；</w:t>
            </w:r>
            <w:r>
              <w:rPr>
                <w:bCs/>
                <w:b/>
              </w:rPr>
              <w:t xml:space="preserve">AIX</w:t>
            </w:r>
            <w:r>
              <w:t xml:space="preserve"> </w:t>
            </w:r>
            <w:r>
              <w:t xml:space="preserve">独立调用 KYT/TR 插件；合规通过后正式 credit 账本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Withdrawal（提现）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KYT / TR → Cobo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AIX</w:t>
            </w:r>
            <w:r>
              <w:t xml:space="preserve"> </w:t>
            </w:r>
            <w:r>
              <w:t xml:space="preserve">先冻结账本，完成合规校验后向</w:t>
            </w:r>
            <w:r>
              <w:t xml:space="preserve"> </w:t>
            </w:r>
            <w:r>
              <w:rPr>
                <w:bCs/>
                <w:b/>
              </w:rPr>
              <w:t xml:space="preserve">Cobo</w:t>
            </w:r>
            <w:r>
              <w:t xml:space="preserve"> </w:t>
            </w:r>
            <w:r>
              <w:t xml:space="preserve">下发广播指令</w:t>
            </w:r>
          </w:p>
        </w:tc>
      </w:tr>
    </w:tbl>
    <w:bookmarkEnd w:id="29"/>
    <w:bookmarkStart w:id="30" w:name="d.-内部兑换token-swapping"/>
    <w:p>
      <w:pPr>
        <w:pStyle w:val="Heading4"/>
      </w:pPr>
      <w:r>
        <w:t xml:space="preserve">D. 内部兑换（Token Swapping）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Swapping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内部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账本层原子操作，秒级成交，不发生链上交易</w:t>
            </w:r>
          </w:p>
        </w:tc>
      </w:tr>
    </w:tbl>
    <w:bookmarkEnd w:id="30"/>
    <w:bookmarkStart w:id="31" w:name="e.-稳定币生息产品stablecoins-yield"/>
    <w:p>
      <w:pPr>
        <w:pStyle w:val="Heading4"/>
      </w:pPr>
      <w:r>
        <w:t xml:space="preserve">E. 稳定币生息产品（Stablecoins Yield）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申购 / 赎回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Yield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用户侧“秒申秒赎”体验；底层资金由 AIX 统一与合作方进行异步再平衡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Yield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按约定规则日结收益并发放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系统侧能力system-internal"/>
    <w:p>
      <w:pPr>
        <w:pStyle w:val="Heading3"/>
      </w:pPr>
      <w:r>
        <w:t xml:space="preserve">4.2 系统侧能力（System-Internal）</w:t>
      </w:r>
    </w:p>
    <w:p>
      <w:pPr>
        <w:pStyle w:val="FirstParagraph"/>
      </w:pPr>
      <w:r>
        <w:t xml:space="preserve">对用户不可见，但支撑风控、流动性与账务一致性的核心能力。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Sweeping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用户充值钱包 → Omnibus Pool 自动归集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Rebalancing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内部头寸补仓（Flow 10），确保 Swap 业务流动性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Withdrawal Top-up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提现热钱包余额低于阈值时自动从 Pool 补仓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Deposit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KYT / Travel Rule 触发时，入账暂缓释放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 → Cobo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双记账法追踪每笔 credit / debit，计算用户当前余额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80" w:name="五核心业务流与系统交互-main-business-flows"/>
    <w:p>
      <w:pPr>
        <w:pStyle w:val="Heading2"/>
      </w:pPr>
      <w:r>
        <w:t xml:space="preserve">五、核心业务流与系统交互 (Main Business Flows)</w:t>
      </w:r>
    </w:p>
    <w:bookmarkStart w:id="74" w:name="客户核心旅程-customer-facing-flows"/>
    <w:p>
      <w:pPr>
        <w:pStyle w:val="Heading3"/>
      </w:pPr>
      <w:r>
        <w:t xml:space="preserve">5.1 客户核心旅程 (Customer-Facing Flows)</w:t>
      </w:r>
    </w:p>
    <w:bookmarkStart w:id="38" w:name="flow-1account-opening-kyc开户与身份认证"/>
    <w:p>
      <w:pPr>
        <w:pStyle w:val="Heading4"/>
      </w:pPr>
      <w:r>
        <w:t xml:space="preserve">Flow 1：Account Opening &amp; KYC（开户与身份认证）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：用户经 App 提交开户审核；AIX Platform（业务中台）向 KUN（Issuer Gateway）请求身份核验服务。证件、人脸、地址证明由 AIX App 采集并上传，由 KUN 输出审核结论并通知平台；平台侧在审核通过后联动 AIX Ledger（核心账本）开立用户账户。App 向用户展示最终开户结果。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：展示系统边界与数据走向。</w:t>
      </w:r>
    </w:p>
    <w:p>
      <w:pPr>
        <w:pStyle w:val="CaptionedFigure"/>
      </w:pPr>
      <w:r>
        <w:drawing>
          <wp:inline>
            <wp:extent cx="5334000" cy="2037919"/>
            <wp:effectExtent b="0" l="0" r="0" t="0"/>
            <wp:docPr descr="图 2" title="" id="36" name="Picture"/>
            <a:graphic>
              <a:graphicData uri="http://schemas.openxmlformats.org/drawingml/2006/picture">
                <pic:pic>
                  <pic:nvPicPr>
                    <pic:cNvPr descr="docx-mermaid-assets/mermaid-0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7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</w:t>
      </w:r>
    </w:p>
    <w:bookmarkEnd w:id="38"/>
    <w:bookmarkStart w:id="42" w:name="flow-2card-application-issuance卡片申请与发卡"/>
    <w:p>
      <w:pPr>
        <w:pStyle w:val="Heading4"/>
      </w:pPr>
      <w:r>
        <w:t xml:space="preserve">Flow 2：Card Application &amp; Issuance（卡片申请与发卡）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：AIX Platform（业务中台）全程负责申卡流程编排；AIX Ledger（核心账本）负责开卡手续费的冻结与结算。KUN（Issuer Gateway）将开卡请求路由至 Issue（实际发卡处理商），Issue 完成内部合规审核后逐级回传结果。审核通过后，由 AIX Platform 调用 Cobo（Custody）执行物理资金划拨。实体卡申请同步触发制卡商制卡与物流商寄送流程。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：展示申卡申请、开卡审核、手续费结算以及实体卡物流追踪的完整闭环。</w:t>
      </w:r>
    </w:p>
    <w:p>
      <w:pPr>
        <w:pStyle w:val="CaptionedFigure"/>
      </w:pPr>
      <w:r>
        <w:drawing>
          <wp:inline>
            <wp:extent cx="5334000" cy="870129"/>
            <wp:effectExtent b="0" l="0" r="0" t="0"/>
            <wp:docPr descr="图 3" title="" id="40" name="Picture"/>
            <a:graphic>
              <a:graphicData uri="http://schemas.openxmlformats.org/drawingml/2006/picture">
                <pic:pic>
                  <pic:nvPicPr>
                    <pic:cNvPr descr="docx-mermaid-assets/mermaid-0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0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</w:t>
      </w:r>
    </w:p>
    <w:p>
      <w:pPr>
        <w:pStyle w:val="BodyText"/>
      </w:pPr>
      <w:r>
        <w:rPr>
          <w:bCs/>
          <w:b/>
        </w:rPr>
        <w:t xml:space="preserve">关键约束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职责分离</w:t>
      </w:r>
      <w:r>
        <w:t xml:space="preserve">：AIX Platform 负责业务串联（验资格、调 KUN、调用 Cobo 结算）；AIX Ledger 负责账本操作（冻结手续费③、记录冻结转结算⑫）。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实体卡配送追踪</w:t>
      </w:r>
      <w:r>
        <w:t xml:space="preserve">：Issue 触发制卡商制卡后，AIX Platform 主动查询物流状态并同步给用户。</w:t>
      </w:r>
    </w:p>
    <w:bookmarkEnd w:id="42"/>
    <w:bookmarkStart w:id="46" w:name="X796f4d2b833b743205a36847380933e0051f4d9"/>
    <w:p>
      <w:pPr>
        <w:pStyle w:val="Heading4"/>
      </w:pPr>
      <w:r>
        <w:t xml:space="preserve">Flow 3：On-chain Deposit with KYT &amp; Travel Rule（链上充值与合规流程）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：用户通过 WalletConnect 等协议向 AIX 专属充值地址发起转账。Cobo 监测入账后通知 AIX，AIX 独立调用 KYT/TR 插件进行合规审查；合规通过后由 AIX Ledger 正式 credit 用户余额。资金物理归集（Sweeping）异步进行。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：展示从地址申请、链上入账、合规校验到账本 credit 的完整链路。</w:t>
      </w:r>
    </w:p>
    <w:p>
      <w:pPr>
        <w:pStyle w:val="CaptionedFigure"/>
      </w:pPr>
      <w:r>
        <w:drawing>
          <wp:inline>
            <wp:extent cx="5334000" cy="2862917"/>
            <wp:effectExtent b="0" l="0" r="0" t="0"/>
            <wp:docPr descr="图 4" title="" id="44" name="Picture"/>
            <a:graphic>
              <a:graphicData uri="http://schemas.openxmlformats.org/drawingml/2006/picture">
                <pic:pic>
                  <pic:nvPicPr>
                    <pic:cNvPr descr="docx-mermaid-assets/mermaid-0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</w:t>
      </w:r>
    </w:p>
    <w:p>
      <w:pPr>
        <w:pStyle w:val="BodyText"/>
      </w:pPr>
      <w:r>
        <w:rPr>
          <w:bCs/>
          <w:b/>
        </w:rPr>
        <w:t xml:space="preserve">关键约束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Deposit Escrow</w:t>
      </w:r>
      <w:r>
        <w:t xml:space="preserve">：合规未通过或待人工复核的资金停留在</w:t>
      </w:r>
      <w:r>
        <w:t xml:space="preserve"> </w:t>
      </w:r>
      <w:r>
        <w:rPr>
          <w:rStyle w:val="VerbatimChar"/>
        </w:rPr>
        <w:t xml:space="preserve">pending review</w:t>
      </w:r>
      <w:r>
        <w:t xml:space="preserve"> </w:t>
      </w:r>
      <w:r>
        <w:t xml:space="preserve">状态，不映射到用户可用余额。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异步 Sweeping</w:t>
      </w:r>
      <w:r>
        <w:t xml:space="preserve">：物理资金归集不阻塞用户账本加钱。</w:t>
      </w:r>
    </w:p>
    <w:bookmarkEnd w:id="46"/>
    <w:bookmarkStart w:id="50" w:name="X15edf4898e53d539ff96daeac45fa478c05c574"/>
    <w:p>
      <w:pPr>
        <w:pStyle w:val="Heading4"/>
      </w:pPr>
      <w:r>
        <w:t xml:space="preserve">Flow 4：On-chain Withdrawal with Travel Rule（链上提现与合规流程）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：严格遵循”先冻结账本，后下发打钱指令”原则。提现场景统一使用</w:t>
      </w:r>
      <w:r>
        <w:t xml:space="preserve"> </w:t>
      </w:r>
      <w:r>
        <w:rPr>
          <w:rStyle w:val="VerbatimChar"/>
        </w:rPr>
        <w:t xml:space="preserve">freeze / settle / unfreeze</w:t>
      </w:r>
      <w:r>
        <w:t xml:space="preserve"> </w:t>
      </w:r>
      <w:r>
        <w:t xml:space="preserve">语义，资金从公共提现热钱包（Withdrawal Wallet）流出。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：展示从发起提现、账本冻结、合规校验到链上转账与账务结算的完整流程。</w:t>
      </w:r>
    </w:p>
    <w:p>
      <w:pPr>
        <w:pStyle w:val="CaptionedFigure"/>
      </w:pPr>
      <w:r>
        <w:drawing>
          <wp:inline>
            <wp:extent cx="5334000" cy="4506503"/>
            <wp:effectExtent b="0" l="0" r="0" t="0"/>
            <wp:docPr descr="图 5" title="" id="48" name="Picture"/>
            <a:graphic>
              <a:graphicData uri="http://schemas.openxmlformats.org/drawingml/2006/picture">
                <pic:pic>
                  <pic:nvPicPr>
                    <pic:cNvPr descr="docx-mermaid-assets/mermaid-0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</w:t>
      </w:r>
    </w:p>
    <w:bookmarkEnd w:id="50"/>
    <w:bookmarkStart w:id="54" w:name="X04795b233a3b1ed0779cfc56a34ff5502aaa4c2"/>
    <w:p>
      <w:pPr>
        <w:pStyle w:val="Heading4"/>
      </w:pPr>
      <w:r>
        <w:t xml:space="preserve">Flow 5：Card Transaction (Auth &amp; Capture)（刷卡消费：授权与清算）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：毫秒级实时授权（Auth）执行</w:t>
      </w:r>
      <w:r>
        <w:t xml:space="preserve"> </w:t>
      </w:r>
      <w:r>
        <w:rPr>
          <w:rStyle w:val="VerbatimChar"/>
        </w:rPr>
        <w:t xml:space="preserve">hold</w:t>
      </w:r>
      <w:r>
        <w:t xml:space="preserve">，T+1 异步清算（Capture）执行</w:t>
      </w:r>
      <w:r>
        <w:t xml:space="preserve"> </w:t>
      </w:r>
      <w:r>
        <w:rPr>
          <w:rStyle w:val="VerbatimChar"/>
        </w:rPr>
        <w:t xml:space="preserve">capture / release</w:t>
      </w:r>
      <w:r>
        <w:t xml:space="preserve">。资金补足阶段，AIX 通过 Cobo（Custody）将稳定币从</w:t>
      </w:r>
      <w:r>
        <w:t xml:space="preserve"> </w:t>
      </w:r>
      <w:r>
        <w:rPr>
          <w:rStyle w:val="VerbatimChar"/>
        </w:rPr>
        <w:t xml:space="preserve">AIX Pool Account</w:t>
      </w:r>
      <w:r>
        <w:t xml:space="preserve"> </w:t>
      </w:r>
      <w:r>
        <w:t xml:space="preserve">转出，经外部资金通道补足至</w:t>
      </w:r>
      <w:r>
        <w:t xml:space="preserve"> </w:t>
      </w:r>
      <w:r>
        <w:rPr>
          <w:rStyle w:val="VerbatimChar"/>
        </w:rPr>
        <w:t xml:space="preserve">Issuer Float Account</w:t>
      </w:r>
      <w:r>
        <w:t xml:space="preserve">，后续法币清算由传统卡网络完成。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：展示授权、请款、清算、资金补足四个阶段。</w:t>
      </w:r>
    </w:p>
    <w:p>
      <w:pPr>
        <w:pStyle w:val="CaptionedFigure"/>
      </w:pPr>
      <w:r>
        <w:drawing>
          <wp:inline>
            <wp:extent cx="5334000" cy="1016898"/>
            <wp:effectExtent b="0" l="0" r="0" t="0"/>
            <wp:docPr descr="图 6" title="" id="52" name="Picture"/>
            <a:graphic>
              <a:graphicData uri="http://schemas.openxmlformats.org/drawingml/2006/picture">
                <pic:pic>
                  <pic:nvPicPr>
                    <pic:cNvPr descr="docx-mermaid-assets/mermaid-0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</w:t>
      </w:r>
    </w:p>
    <w:bookmarkEnd w:id="54"/>
    <w:bookmarkStart w:id="61" w:name="flow-6card-refund-dispute退款与争议处理"/>
    <w:p>
      <w:pPr>
        <w:pStyle w:val="Heading4"/>
      </w:pPr>
      <w:r>
        <w:t xml:space="preserve">Flow 6：Card Refund &amp; Dispute（退款与争议处理）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：退款和争议均为异步流程。退款由商户发起，争议（Chargeback）由用户发起。AIX Platform 负责流程编排、账本更新及资金对齐。</w:t>
      </w:r>
    </w:p>
    <w:p>
      <w:pPr>
        <w:pStyle w:val="BodyText"/>
      </w:pPr>
      <w:r>
        <w:rPr>
          <w:bCs/>
          <w:b/>
        </w:rPr>
        <w:t xml:space="preserve">场景 A：商户主动退款 (Refund)</w:t>
      </w:r>
      <w:r>
        <w:br/>
      </w:r>
      <w:r>
        <w:rPr>
          <w:bCs/>
          <w:b/>
        </w:rPr>
        <w:t xml:space="preserve">业务含义</w:t>
      </w:r>
      <w:r>
        <w:t xml:space="preserve">：退款是商户触发、发卡侧回传、AIX 先更新用户账务、后完成资金对齐的异步流程。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：展示从商户发起退款到 AIX 账本更新及资金回补的闭环。</w:t>
      </w:r>
    </w:p>
    <w:p>
      <w:pPr>
        <w:pStyle w:val="CaptionedFigure"/>
      </w:pPr>
      <w:r>
        <w:drawing>
          <wp:inline>
            <wp:extent cx="5334000" cy="909966"/>
            <wp:effectExtent b="0" l="0" r="0" t="0"/>
            <wp:docPr descr="图 7" title="" id="56" name="Picture"/>
            <a:graphic>
              <a:graphicData uri="http://schemas.openxmlformats.org/drawingml/2006/picture">
                <pic:pic>
                  <pic:nvPicPr>
                    <pic:cNvPr descr="docx-mermaid-assets/mermaid-0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7</w:t>
      </w:r>
    </w:p>
    <w:p>
      <w:pPr>
        <w:pStyle w:val="BodyText"/>
      </w:pPr>
      <w:r>
        <w:rPr>
          <w:bCs/>
          <w:b/>
        </w:rPr>
        <w:t xml:space="preserve">场景 B：用户发起争议 (Dispute / Chargeback)</w:t>
      </w:r>
      <w:r>
        <w:br/>
      </w:r>
      <w:r>
        <w:rPr>
          <w:bCs/>
          <w:b/>
        </w:rPr>
        <w:t xml:space="preserve">业务含义</w:t>
      </w:r>
      <w:r>
        <w:t xml:space="preserve">：争议是用户触发、平台判断是否满足发起条件、卡组织和收单侧完成举证裁定、AIX 再进行账务调整的异步流程。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：展示从用户发起争议到最终资金回补的闭环。</w:t>
      </w:r>
    </w:p>
    <w:p>
      <w:pPr>
        <w:pStyle w:val="CaptionedFigure"/>
      </w:pPr>
      <w:r>
        <w:drawing>
          <wp:inline>
            <wp:extent cx="5334000" cy="1726024"/>
            <wp:effectExtent b="0" l="0" r="0" t="0"/>
            <wp:docPr descr="图 8" title="" id="59" name="Picture"/>
            <a:graphic>
              <a:graphicData uri="http://schemas.openxmlformats.org/drawingml/2006/picture">
                <pic:pic>
                  <pic:nvPicPr>
                    <pic:cNvPr descr="docx-mermaid-assets/mermaid-0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8</w:t>
      </w:r>
    </w:p>
    <w:bookmarkEnd w:id="61"/>
    <w:bookmarkStart w:id="65" w:name="Xd08aaa1794be72307d784a131335195a7663021"/>
    <w:p>
      <w:pPr>
        <w:pStyle w:val="Heading4"/>
      </w:pPr>
      <w:r>
        <w:t xml:space="preserve">Flow 7：Card Management (Freeze, Unfreeze, Replace)（卡片管理）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：支持用户主动通过 App 进行卡片生命周期管理（激活、设置/修改 PIN、锁定/解锁、换卡）。AIX Platform 负责业务编排与 KUN 对接，AIX Ledger 负责换卡时的账户绑定迁移。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：展示从用户发起操作到 KUN 执行及账本同步的完整链路。</w:t>
      </w:r>
    </w:p>
    <w:p>
      <w:pPr>
        <w:pStyle w:val="CaptionedFigure"/>
      </w:pPr>
      <w:r>
        <w:drawing>
          <wp:inline>
            <wp:extent cx="5334000" cy="1065411"/>
            <wp:effectExtent b="0" l="0" r="0" t="0"/>
            <wp:docPr descr="图 9" title="" id="63" name="Picture"/>
            <a:graphic>
              <a:graphicData uri="http://schemas.openxmlformats.org/drawingml/2006/picture">
                <pic:pic>
                  <pic:nvPicPr>
                    <pic:cNvPr descr="docx-mermaid-assets/mermaid-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5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9</w:t>
      </w:r>
    </w:p>
    <w:bookmarkEnd w:id="65"/>
    <w:bookmarkStart w:id="69" w:name="flow-8token-swapping内部代币兑换"/>
    <w:p>
      <w:pPr>
        <w:pStyle w:val="Heading4"/>
      </w:pPr>
      <w:r>
        <w:t xml:space="preserve">Flow 8：Token Swapping（内部代币兑换）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：零 Gas 费、秒级成交的内部账本转换，不发生真实链上交易。AIX Platform 负责报价与编排，AIX Ledger 负责原子记账并维护内部头寸账户。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：展示用户发起兑换到账本原子记账的实时链路。</w:t>
      </w:r>
    </w:p>
    <w:p>
      <w:pPr>
        <w:pStyle w:val="CaptionedFigure"/>
      </w:pPr>
      <w:r>
        <w:drawing>
          <wp:inline>
            <wp:extent cx="5334000" cy="1282949"/>
            <wp:effectExtent b="0" l="0" r="0" t="0"/>
            <wp:docPr descr="图 10" title="" id="67" name="Picture"/>
            <a:graphic>
              <a:graphicData uri="http://schemas.openxmlformats.org/drawingml/2006/picture">
                <pic:pic>
                  <pic:nvPicPr>
                    <pic:cNvPr descr="docx-mermaid-assets/mermaid-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2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10</w:t>
      </w:r>
    </w:p>
    <w:bookmarkEnd w:id="69"/>
    <w:bookmarkStart w:id="73" w:name="Xffebffd1fecb0493cccb02908ad30877af1f1bf"/>
    <w:p>
      <w:pPr>
        <w:pStyle w:val="Heading4"/>
      </w:pPr>
      <w:r>
        <w:t xml:space="preserve">Flow 9：Yield Subscription / Redemption（生息产品的申购与赎回）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：用户侧实现“活期秒退”的账本划转，平台侧通过资金池缓冲（Liquidity Buffer）异步投资底层资产。AIX Platform 负责业务编排与调仓触发，AIX Ledger 负责钱包余额、收益余额与头寸状态的映射记账。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：展示用户账务侧与底层调仓侧的解耦链路。</w:t>
      </w:r>
    </w:p>
    <w:p>
      <w:pPr>
        <w:pStyle w:val="CaptionedFigure"/>
      </w:pPr>
      <w:r>
        <w:drawing>
          <wp:inline>
            <wp:extent cx="5334000" cy="1870961"/>
            <wp:effectExtent b="0" l="0" r="0" t="0"/>
            <wp:docPr descr="图 11" title="" id="71" name="Picture"/>
            <a:graphic>
              <a:graphicData uri="http://schemas.openxmlformats.org/drawingml/2006/picture">
                <pic:pic>
                  <pic:nvPicPr>
                    <pic:cNvPr descr="docx-mermaid-assets/mermaid-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11</w:t>
      </w:r>
    </w:p>
    <w:p>
      <w:pPr>
        <w:pStyle w:val="BodyText"/>
      </w:pPr>
      <w:r>
        <w:rPr>
          <w:bCs/>
          <w:b/>
        </w:rPr>
        <w:t xml:space="preserve">关键约束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资金池模式</w:t>
      </w:r>
      <w:r>
        <w:t xml:space="preserve">：底层资产方仅对接 AIX 机构账户，不感知散户。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消费隔离</w:t>
      </w:r>
      <w:r>
        <w:t xml:space="preserve">：</w:t>
      </w:r>
      <w:r>
        <w:rPr>
          <w:rStyle w:val="VerbatimChar"/>
        </w:rPr>
        <w:t xml:space="preserve">Yield Balance</w:t>
      </w:r>
      <w:r>
        <w:t xml:space="preserve"> </w:t>
      </w:r>
      <w:r>
        <w:t xml:space="preserve">不能直接用于刷卡消费，必须先赎回到</w:t>
      </w:r>
      <w:r>
        <w:t xml:space="preserve"> </w:t>
      </w:r>
      <w:r>
        <w:rPr>
          <w:rStyle w:val="VerbatimChar"/>
        </w:rPr>
        <w:t xml:space="preserve">Wallet Balance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流动性缓冲</w:t>
      </w:r>
      <w:r>
        <w:t xml:space="preserve">：平台需维持一定比例的</w:t>
      </w:r>
      <w:r>
        <w:t xml:space="preserve"> </w:t>
      </w:r>
      <w:r>
        <w:rPr>
          <w:rStyle w:val="VerbatimChar"/>
        </w:rPr>
        <w:t xml:space="preserve">Pool Account</w:t>
      </w:r>
      <w:r>
        <w:t xml:space="preserve"> </w:t>
      </w:r>
      <w:r>
        <w:t xml:space="preserve">余额，以支持散户的实时赎回需求。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调仓周期</w:t>
      </w:r>
      <w:r>
        <w:t xml:space="preserve">：外部 B2B 调仓通常为 T+1 或定时批处理，与散户端的 T+0 体验通过内部账本解耦。</w:t>
      </w:r>
    </w:p>
    <w:bookmarkEnd w:id="73"/>
    <w:bookmarkEnd w:id="74"/>
    <w:bookmarkStart w:id="79" w:name="系统能力层-system-capability-flows"/>
    <w:p>
      <w:pPr>
        <w:pStyle w:val="Heading3"/>
      </w:pPr>
      <w:r>
        <w:t xml:space="preserve">5.2 系统能力层 (System Capability Flows)</w:t>
      </w:r>
    </w:p>
    <w:p>
      <w:pPr>
        <w:pStyle w:val="FirstParagraph"/>
      </w:pPr>
      <w:r>
        <w:t xml:space="preserve">本节为对用户不可见的后台系统能力，支撑风控、流动性与账务一致性。</w:t>
      </w:r>
    </w:p>
    <w:bookmarkStart w:id="78" w:name="flow-10inventory-rebalancing头寸补仓"/>
    <w:p>
      <w:pPr>
        <w:pStyle w:val="Heading4"/>
      </w:pPr>
      <w:r>
        <w:t xml:space="preserve">Flow 10：Inventory Rebalancing（头寸补仓）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：当内部头寸账户（Inventory Account）的某一币种余额低于安全阈值时，由平台侧自动或人工触发外部流动性补仓。该过程异步进行，不影响用户端的实时兑换体验。</w:t>
      </w:r>
    </w:p>
    <w:p>
      <w:pPr>
        <w:pStyle w:val="BodyText"/>
      </w:pPr>
      <w:r>
        <w:rPr>
          <w:bCs/>
          <w:b/>
        </w:rPr>
        <w:t xml:space="preserve">业务交互结构图（Mermaid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flowchart</w:t>
      </w:r>
      <w:r>
        <w:rPr>
          <w:bCs/>
          <w:b/>
        </w:rPr>
        <w:t xml:space="preserve">）</w:t>
      </w:r>
      <w:r>
        <w:t xml:space="preserve">：展示从头寸监控到外部补仓回写的系统后台链路。</w:t>
      </w:r>
    </w:p>
    <w:p>
      <w:pPr>
        <w:pStyle w:val="CaptionedFigure"/>
      </w:pPr>
      <w:r>
        <w:drawing>
          <wp:inline>
            <wp:extent cx="5334000" cy="1726834"/>
            <wp:effectExtent b="0" l="0" r="0" t="0"/>
            <wp:docPr descr="图 12" title="" id="76" name="Picture"/>
            <a:graphic>
              <a:graphicData uri="http://schemas.openxmlformats.org/drawingml/2006/picture">
                <pic:pic>
                  <pic:nvPicPr>
                    <pic:cNvPr descr="docx-mermaid-assets/mermaid-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6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12</w:t>
      </w:r>
    </w:p>
    <w:p>
      <w:pPr>
        <w:pStyle w:val="BodyText"/>
      </w:pPr>
      <w:r>
        <w:rPr>
          <w:bCs/>
          <w:b/>
        </w:rPr>
        <w:t xml:space="preserve">关键约束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库存管理</w:t>
      </w:r>
      <w:r>
        <w:t xml:space="preserve">：AIX 内部头寸账户需实时监控各币种库存，确保内部流动性充足。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六外部依赖和约束"/>
    <w:p>
      <w:pPr>
        <w:pStyle w:val="Heading2"/>
      </w:pPr>
      <w:r>
        <w:t xml:space="preserve">六、外部依赖和约束</w:t>
      </w:r>
    </w:p>
    <w:p>
      <w:pPr>
        <w:pStyle w:val="FirstParagraph"/>
      </w:pPr>
      <w:r>
        <w:t xml:space="preserve">本方案的实施与运行高度依赖下列外部合作方及技术约束：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持牌网关 (KUN)</w:t>
      </w:r>
      <w:r>
        <w:t xml:space="preserve">：依赖 KUN 提供的 BIN Sponsor 资质及交易处理接口。若 KUN 侧服务中断或牌照变更，将直接影响卡片发行与消费授权。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数字资产托管 (Cobo)</w:t>
      </w:r>
      <w:r>
        <w:t xml:space="preserve">：依赖 Cobo 的 MPC 钱包技术与链上交互 API。私钥管理安全与链上转账时效由其保障。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合规插件 (Chainalysis &amp; Notabene)</w:t>
      </w:r>
      <w:r>
        <w:t xml:space="preserve">：依赖 KYT 风险评分与 Travel Rule 报文交换。合规策略的配置需与 AIX 内部风控逻辑深度对齐。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卡组织规范 (Visa / Mastercard)</w:t>
      </w:r>
      <w:r>
        <w:t xml:space="preserve">：所有卡业务逻辑必须遵循卡组织的实时授权 SLA（如 &lt;200ms 响应）及清算结算规则。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网络与延迟</w:t>
      </w:r>
      <w:r>
        <w:t xml:space="preserve">：跨境支付场景对网络延迟极其敏感，AIX 与各 Vendor 间的 API 调用需具备高可用性与低延迟保障。</w:t>
      </w:r>
    </w:p>
    <w:p>
      <w:r>
        <w:pict>
          <v:rect style="width:0;height:1.5pt" o:hralign="center" o:hrstd="t" o:hr="t"/>
        </w:pict>
      </w:r>
    </w:p>
    <w:bookmarkEnd w:id="81"/>
    <w:bookmarkStart w:id="82" w:name="七不确定性和风险"/>
    <w:p>
      <w:pPr>
        <w:pStyle w:val="Heading2"/>
      </w:pPr>
      <w:r>
        <w:t xml:space="preserve">七、不确定性和风险</w:t>
      </w:r>
    </w:p>
    <w:p>
      <w:pPr>
        <w:pStyle w:val="FirstParagraph"/>
      </w:pPr>
      <w:r>
        <w:t xml:space="preserve">针对 Phase 2 交付，需关注以下核心不确定性与风险：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合规政策波动</w:t>
      </w:r>
      <w:r>
        <w:t xml:space="preserve">：不同司法辖区对稳定币及加密资产支付的监管政策处于动态调整中，可能导致部分市场准入延迟或合规成本上升。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多方集成复杂度</w:t>
      </w:r>
      <w:r>
        <w:t xml:space="preserve">：方案涉及 KUN、Cobo、KYT、Travel Rule 等多个外部系统，任何一方的接口变更或联调进度滞后都可能推迟 MVP 交付。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汇率敞口风险</w:t>
      </w:r>
      <w:r>
        <w:t xml:space="preserve">：在 Auth 冻结与 Capture 清算的时间差内，稳定币与法币间的汇率波动由平台承担（Float 模型），需建立完善的对冲或库存管理机制。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流动性风险</w:t>
      </w:r>
      <w:r>
        <w:t xml:space="preserve">：若生息产品（Yield）出现大规模集中赎回，且平台资金池（Pool Account）缓冲不足，可能面临实时赎回降级为 T+N 的风险。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资金对账闭环</w:t>
      </w:r>
      <w:r>
        <w:t xml:space="preserve">：多币种、多账户、多合作方的复杂账务体系下，需确保 AIX Ledger 与外部余额报告的每日对账 100% 准确，防范资金损失。</w:t>
      </w:r>
    </w:p>
    <w:p>
      <w:r>
        <w:pict>
          <v:rect style="width:0;height:1.5pt" o:hralign="center" o:hrstd="t" o:hr="t"/>
        </w:pic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2026-04-08T03:50:35Z</dcterms:created>
  <dcterms:modified xsi:type="dcterms:W3CDTF">2026-04-08T03:50:35Z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