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AIX Card交易【transaction】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需求变更日志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90"/>
        <w:gridCol w:w="990"/>
        <w:gridCol w:w="4200"/>
        <w:gridCol w:w="2115"/>
      </w:tblGrid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变更时间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变更人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变更内容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@Yifeng Wu 吴忆锋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初稿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引用资料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@Yifeng Wu 吴忆锋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Figma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BRD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技术方案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需求索引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项目概述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项目背景</w:t>
      </w:r>
      <w:bookmarkEnd w:id="4"/>
    </w:p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为满足全球用户对一体化、便捷安全数字金融服务的需求，本项目旨在开发一款创新的移动应用。该应用将整合先进的支付与账户管理技术，致力于为用户提供全新的移动端金融管理体验。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项目目的</w:t>
      </w:r>
      <w:bookmarkEnd w:id="5"/>
    </w:p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构建基础​：建立安全、便捷的用户注册登录与账户体系。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核心功能​：实现充值、提现、转账、消费等关键支付功能。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安全保障​：通过多层验证与风控策略，确保用户资产与信息安全。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体验优化​：提供流畅直观的操作流程，提升用户留存。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名词解释</w:t>
      </w:r>
      <w:bookmarkEnd w:id="6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575"/>
              <w:gridCol w:w="6465"/>
            </w:tblGrid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名词/缩写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说明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DeviceID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用于唯一识别用户客户端的设备编号。用于实现设备绑定、可信设备判断及风险控制等。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IVS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Identity Verification Service，身份验证服务。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通常指用于进行高强度实名验证的服务（如证件识别、人脸比对等），在注册或敏感操作流程中可能被调用。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Biometric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通过用户的生物特征（如指纹、面部信息）进行身份验证的技术。支持iOS Face ID/Android指纹/人脸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AIX Tag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用户在AIX平台上的身份标识符。用于在转账、社交等场景中代替复杂的钱包地址，使用户能够被轻松找到和支付。此标识一旦设置，通常不可更改。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DTC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AIX项目的合作伙伴，提供加密钱包、卡片发行和KYC服务的后端平台，支持OpenAPI接口，用于处理交易、认证和账户管理。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AAI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第三方身份验证服务提供商，用于KYC流程中的护照上传、活体检测和人脸比对。支持Webhook回调和URL生成。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Master Account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DTC侧的账户概念，主账户，可申请API Key管理多个Sub Account。敏感操作需Sub Account授权。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Sub Account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DTC侧的账户概念，子账户，由Master创建，用于分离用户资产。KYC需独立完成。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WalletConnect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通过Deeplink/QR链接外部钱包充值。自动加白名单、交易报备，直接到账。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PIN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Personal Identification Number，卡片PIN码，用于线下交易。4位数字，支持Set/Change/Reset。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稳定币类型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稳定币类型USDC, USDT, FDUSD, WUSD，支持在BASE/BSC/ETHEREUM/SOLANA网络充值/转账/兑换。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区块链网络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支持的区块链网络，各网络币种不同（e.g., BASE: USDC）。包括：BASE, BSC, ETHEREUM, SOLANA</w:t>
                  </w:r>
                </w:p>
              </w:tc>
            </w:tr>
            <w:tr>
              <w:tc>
                <w:tcPr>
                  <w:tcW w:w="15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Global Travel Rule</w:t>
                  </w:r>
                </w:p>
              </w:tc>
              <w:tc>
                <w:tcPr>
                  <w:tcW w:w="646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全球旅行规则，合规要求，仅支持如Binance的白名单钱包充值。自动报备，无需声明。</w:t>
                  </w:r>
                </w:p>
              </w:tc>
            </w:tr>
          </w:tbl>
          <w:p/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  <w:t xml:space="preserve">同步自文档: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https://advancegroup.sg.larksuite.com/docx/Sy4TdCxUFoCEWbxdcoQlBgzhgfh#WEeGd3rFjsp8Kjb59vLlbcdog1n</w:t>
              </w:r>
            </w:hyperlink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项目计划</w:t>
      </w:r>
      <w:bookmarkEnd w:id="7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AIX项目管理表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功能结构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00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国家线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1500"/>
        <w:gridCol w:w="15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VN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AU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统一规则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需求描述</w:t>
      </w:r>
      <w:bookmarkEnd w:id="1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DTC的知识点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Refund 场景：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 - 无论退款交易的币种是否与原卡消费币种一致，</w:t>
            </w:r>
            <w:r>
              <w:rPr>
                <w:rFonts w:eastAsia="等线" w:ascii="Arial" w:cs="Arial" w:hAnsi="Arial"/>
                <w:b w:val="true"/>
                <w:sz w:val="22"/>
              </w:rPr>
              <w:t>退款金额均退回到卡余额。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 - 退款时，系统会</w:t>
            </w:r>
            <w:r>
              <w:rPr>
                <w:rFonts w:eastAsia="等线" w:ascii="Arial" w:cs="Arial" w:hAnsi="Arial"/>
                <w:b w:val="true"/>
                <w:sz w:val="22"/>
              </w:rPr>
              <w:t>根据交易发生时的汇率</w:t>
            </w:r>
            <w:r>
              <w:rPr>
                <w:rFonts w:eastAsia="等线" w:ascii="Arial" w:cs="Arial" w:hAnsi="Arial"/>
                <w:sz w:val="22"/>
              </w:rPr>
              <w:t>，将 USD 金额转换为 USDT 等值金额后再退回。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 - 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退款仅退还净商品金额</w:t>
            </w:r>
            <w:r>
              <w:rPr>
                <w:rFonts w:eastAsia="等线" w:ascii="Arial" w:cs="Arial" w:hAnsi="Arial"/>
                <w:color w:val="d83931"/>
                <w:sz w:val="22"/>
              </w:rPr>
              <w:t>，不包含 FX 费用和 Transaction Fee。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 - 退款过程中</w:t>
            </w:r>
            <w:r>
              <w:rPr>
                <w:rFonts w:eastAsia="等线" w:ascii="Arial" w:cs="Arial" w:hAnsi="Arial"/>
                <w:b w:val="true"/>
                <w:sz w:val="22"/>
              </w:rPr>
              <w:t>不收取额外手续费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sz w:val="32"/>
        </w:rPr>
        <w:t>功能概述</w:t>
      </w:r>
      <w:bookmarkEnd w:id="1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作为AIX用户</w:t>
      </w:r>
      <w:r>
        <w:rPr>
          <w:rFonts w:eastAsia="等线" w:ascii="Arial" w:cs="Arial" w:hAnsi="Arial"/>
          <w:sz w:val="22"/>
        </w:rPr>
        <w:t>，希望在卡收到资金，自动回退到钱包账户。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7.2 </w:t>
      </w:r>
      <w:r>
        <w:rPr>
          <w:rFonts w:eastAsia="等线" w:ascii="Arial" w:cs="Arial" w:hAnsi="Arial"/>
          <w:b w:val="true"/>
          <w:sz w:val="32"/>
        </w:rPr>
        <w:t>业务流程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7.3 </w:t>
      </w:r>
      <w:r>
        <w:rPr>
          <w:rFonts w:eastAsia="等线" w:ascii="Arial" w:cs="Arial" w:hAnsi="Arial"/>
          <w:b w:val="true"/>
          <w:sz w:val="32"/>
        </w:rPr>
        <w:t>流程说明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690"/>
        <w:gridCol w:w="615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关键节点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执行方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触发通知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DTC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DTC检测发生交易，通过【</w:t>
            </w:r>
            <w:r>
              <w:rPr>
                <w:rFonts w:eastAsia="等线" w:ascii="Arial" w:cs="Arial" w:hAnsi="Arial"/>
                <w:b w:val="true"/>
                <w:sz w:val="22"/>
              </w:rPr>
              <w:t>Card Transaction Notification</w:t>
            </w:r>
            <w:r>
              <w:rPr>
                <w:rFonts w:eastAsia="等线" w:ascii="Arial" w:cs="Arial" w:hAnsi="Arial"/>
                <w:sz w:val="22"/>
              </w:rPr>
              <w:t>】接口，DTCPay 向 AIX 发送交易通知。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主动查询卡余额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AIX 收到交易通知后，先校验type是否为 </w:t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  <w:shd w:fill="EFF0F1"/>
              </w:rPr>
              <w:t>refund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、 </w:t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  <w:shd w:fill="EFF0F1"/>
              </w:rPr>
              <w:t>reversal</w:t>
            </w:r>
            <w:r>
              <w:rPr>
                <w:rFonts w:eastAsia="等线" w:ascii="Arial" w:cs="Arial" w:hAnsi="Arial"/>
                <w:b w:val="true"/>
                <w:i w:val="true"/>
                <w:sz w:val="22"/>
              </w:rPr>
              <w:t>、</w:t>
            </w:r>
            <w:r>
              <w:rPr>
                <w:rFonts w:eastAsia="Consolas" w:ascii="Consolas" w:cs="Consolas" w:hAnsi="Consolas"/>
                <w:b w:val="true"/>
                <w:i w:val="true"/>
                <w:strike w:val="true"/>
                <w:sz w:val="22"/>
                <w:shd w:fill="EFF0F1"/>
              </w:rPr>
              <w:t>Top-up</w:t>
            </w:r>
            <w:r>
              <w:rPr>
                <w:rFonts w:eastAsia="等线" w:ascii="Arial" w:cs="Arial" w:hAnsi="Arial"/>
                <w:b w:val="true"/>
                <w:i w:val="true"/>
                <w:strike w:val="true"/>
                <w:sz w:val="22"/>
              </w:rPr>
              <w:t>、</w:t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  <w:shd w:fill="EFF0F1"/>
              </w:rPr>
              <w:t>deposit</w:t>
            </w:r>
            <w:r>
              <w:rPr>
                <w:rFonts w:eastAsia="等线" w:ascii="Arial" w:cs="Arial" w:hAnsi="Arial"/>
                <w:b w:val="true"/>
                <w:i w:val="true"/>
                <w:sz w:val="22"/>
              </w:rPr>
              <w:t>；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若不是则终止流程。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若匹配，则调用【</w:t>
            </w:r>
            <w:r>
              <w:rPr>
                <w:rFonts w:eastAsia="等线" w:ascii="Arial" w:cs="Arial" w:hAnsi="Arial"/>
                <w:b w:val="true"/>
                <w:sz w:val="22"/>
              </w:rPr>
              <w:t>Inquiry Card Basic Info</w:t>
            </w:r>
            <w:r>
              <w:rPr>
                <w:rFonts w:eastAsia="等线" w:ascii="Arial" w:cs="Arial" w:hAnsi="Arial"/>
                <w:sz w:val="22"/>
              </w:rPr>
              <w:t>】主动查询当前卡余额，DTCPay 返回最新卡 balance。记录接口字段：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balance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请求资金回退钱包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判断卡余额：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若卡当前余额 balance &gt; 0，AIX 调用【</w:t>
            </w:r>
            <w:r>
              <w:rPr>
                <w:rFonts w:eastAsia="等线" w:ascii="Arial" w:cs="Arial" w:hAnsi="Arial"/>
                <w:b w:val="true"/>
                <w:sz w:val="22"/>
              </w:rPr>
              <w:t>transfer to wallet</w:t>
            </w:r>
            <w:r>
              <w:rPr>
                <w:rFonts w:eastAsia="等线" w:ascii="Arial" w:cs="Arial" w:hAnsi="Arial"/>
                <w:sz w:val="22"/>
              </w:rPr>
              <w:t xml:space="preserve">】，请求将卡内余额归集到用户钱包，入参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amount</w:t>
            </w:r>
            <w:r>
              <w:rPr>
                <w:rFonts w:eastAsia="等线" w:ascii="Arial" w:cs="Arial" w:hAnsi="Arial"/>
                <w:sz w:val="22"/>
              </w:rPr>
              <w:t xml:space="preserve"> = 返回字段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balance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若卡当前余额 balance = 0，则终止流程。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回退结果校验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AIX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AIX 校验回退接口返回结果。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若失败，则发送异常告警至监控群，人工介入处理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失败原因为系统原因，则开发跟进处理；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失败原因为交易金额大于卡余额，则</w:t>
            </w:r>
            <w:r>
              <w:rPr>
                <w:rFonts w:eastAsia="等线" w:ascii="Arial" w:cs="Arial" w:hAnsi="Arial"/>
                <w:color w:val="3370ff"/>
                <w:sz w:val="22"/>
              </w:rPr>
              <w:t>@Yifeng Wu 吴忆锋</w:t>
            </w:r>
            <w:r>
              <w:rPr>
                <w:rFonts w:eastAsia="等线" w:ascii="Arial" w:cs="Arial" w:hAnsi="Arial"/>
                <w:sz w:val="22"/>
              </w:rPr>
              <w:t>跟进处理；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若成功，资金已转入用户钱包，流程结束。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外部接口依赖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8.1 </w:t>
      </w:r>
      <w:r>
        <w:rPr>
          <w:rFonts w:eastAsia="等线" w:ascii="Arial" w:cs="Arial" w:hAnsi="Arial"/>
          <w:b w:val="true"/>
          <w:sz w:val="32"/>
        </w:rPr>
        <w:t>外部接口清单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2445"/>
        <w:gridCol w:w="1230"/>
        <w:gridCol w:w="2700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接口名称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接口地址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涉及功能模块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接口说明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Card Transaction Notificatio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Card Balance History Inquiry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openapi/v1/card/inquiry-card-balance-history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Transfer Balance to Wallet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openapi/v1/card/transfer-to-wallet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待确认事项</w:t>
      </w:r>
      <w:bookmarkEnd w:id="17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跟DTC确认接口，确认每个接口的取值字段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4019">
    <w:lvl>
      <w:start w:val="1"/>
      <w:numFmt w:val="decimal"/>
      <w:suff w:val="tab"/>
      <w:lvlText w:val="%1."/>
      <w:rPr>
        <w:color w:val="3370ff"/>
      </w:rPr>
    </w:lvl>
  </w:abstractNum>
  <w:abstractNum w:abstractNumId="24020">
    <w:lvl>
      <w:start w:val="2"/>
      <w:numFmt w:val="decimal"/>
      <w:suff w:val="tab"/>
      <w:lvlText w:val="%1."/>
      <w:rPr>
        <w:color w:val="3370ff"/>
      </w:rPr>
    </w:lvl>
  </w:abstractNum>
  <w:abstractNum w:abstractNumId="24021">
    <w:lvl>
      <w:start w:val="3"/>
      <w:numFmt w:val="decimal"/>
      <w:suff w:val="tab"/>
      <w:lvlText w:val="%1."/>
      <w:rPr>
        <w:color w:val="3370ff"/>
      </w:rPr>
    </w:lvl>
  </w:abstractNum>
  <w:abstractNum w:abstractNumId="24022">
    <w:lvl>
      <w:start w:val="4"/>
      <w:numFmt w:val="decimal"/>
      <w:suff w:val="tab"/>
      <w:lvlText w:val="%1."/>
      <w:rPr>
        <w:color w:val="3370ff"/>
      </w:rPr>
    </w:lvl>
  </w:abstractNum>
  <w:abstractNum w:abstractNumId="24023">
    <w:lvl>
      <w:start w:val="1"/>
      <w:numFmt w:val="decimal"/>
      <w:suff w:val="tab"/>
      <w:lvlText w:val="%1."/>
      <w:rPr>
        <w:color w:val="3370ff"/>
      </w:rPr>
    </w:lvl>
  </w:abstractNum>
  <w:abstractNum w:abstractNumId="24024">
    <w:lvl>
      <w:numFmt w:val="bullet"/>
      <w:suff w:val="tab"/>
      <w:lvlText w:val="•"/>
      <w:rPr>
        <w:color w:val="3370ff"/>
      </w:rPr>
    </w:lvl>
  </w:abstractNum>
  <w:abstractNum w:abstractNumId="24025">
    <w:lvl>
      <w:numFmt w:val="bullet"/>
      <w:suff w:val="tab"/>
      <w:lvlText w:val="•"/>
      <w:rPr>
        <w:color w:val="3370ff"/>
      </w:rPr>
    </w:lvl>
  </w:abstractNum>
  <w:abstractNum w:abstractNumId="24026">
    <w:lvl>
      <w:numFmt w:val="bullet"/>
      <w:suff w:val="tab"/>
      <w:lvlText w:val="•"/>
      <w:rPr>
        <w:color w:val="3370ff"/>
      </w:rPr>
    </w:lvl>
  </w:abstractNum>
  <w:abstractNum w:abstractNumId="24027">
    <w:lvl>
      <w:numFmt w:val="bullet"/>
      <w:suff w:val="tab"/>
      <w:lvlText w:val="•"/>
      <w:rPr>
        <w:color w:val="3370ff"/>
      </w:rPr>
    </w:lvl>
  </w:abstractNum>
  <w:abstractNum w:abstractNumId="24028">
    <w:lvl>
      <w:numFmt w:val="bullet"/>
      <w:suff w:val="tab"/>
      <w:lvlText w:val="•"/>
      <w:rPr>
        <w:color w:val="3370ff"/>
      </w:rPr>
    </w:lvl>
  </w:abstractNum>
  <w:abstractNum w:abstractNumId="24029">
    <w:lvl>
      <w:numFmt w:val="bullet"/>
      <w:suff w:val="tab"/>
      <w:lvlText w:val="•"/>
      <w:rPr>
        <w:color w:val="3370ff"/>
      </w:rPr>
    </w:lvl>
  </w:abstractNum>
  <w:abstractNum w:abstractNumId="24030">
    <w:lvl>
      <w:numFmt w:val="bullet"/>
      <w:suff w:val="tab"/>
      <w:lvlText w:val="￮"/>
      <w:rPr>
        <w:color w:val="3370ff"/>
      </w:rPr>
    </w:lvl>
  </w:abstractNum>
  <w:abstractNum w:abstractNumId="24031">
    <w:lvl>
      <w:numFmt w:val="bullet"/>
      <w:suff w:val="tab"/>
      <w:lvlText w:val="￮"/>
      <w:rPr>
        <w:color w:val="3370ff"/>
      </w:rPr>
    </w:lvl>
  </w:abstractNum>
  <w:abstractNum w:abstractNumId="24032">
    <w:lvl>
      <w:numFmt w:val="bullet"/>
      <w:suff w:val="tab"/>
      <w:lvlText w:val="•"/>
      <w:rPr>
        <w:color w:val="3370ff"/>
      </w:rPr>
    </w:lvl>
  </w:abstractNum>
  <w:abstractNum w:abstractNumId="24033">
    <w:lvl>
      <w:numFmt w:val="bullet"/>
      <w:suff w:val="space"/>
      <w:lvlText w:val="□"/>
      <w:lvlText w:val="☑"/>
    </w:lvl>
  </w:abstractNum>
  <w:num w:numId="1">
    <w:abstractNumId w:val="24019"/>
  </w:num>
  <w:num w:numId="2">
    <w:abstractNumId w:val="24020"/>
  </w:num>
  <w:num w:numId="3">
    <w:abstractNumId w:val="24021"/>
  </w:num>
  <w:num w:numId="4">
    <w:abstractNumId w:val="24022"/>
  </w:num>
  <w:num w:numId="5">
    <w:abstractNumId w:val="24023"/>
  </w:num>
  <w:num w:numId="6">
    <w:abstractNumId w:val="24024"/>
  </w:num>
  <w:num w:numId="7">
    <w:abstractNumId w:val="24025"/>
  </w:num>
  <w:num w:numId="8">
    <w:abstractNumId w:val="24026"/>
  </w:num>
  <w:num w:numId="9">
    <w:abstractNumId w:val="24027"/>
  </w:num>
  <w:num w:numId="10">
    <w:abstractNumId w:val="24028"/>
  </w:num>
  <w:num w:numId="11">
    <w:abstractNumId w:val="24029"/>
  </w:num>
  <w:num w:numId="12">
    <w:abstractNumId w:val="24030"/>
  </w:num>
  <w:num w:numId="13">
    <w:abstractNumId w:val="24031"/>
  </w:num>
  <w:num w:numId="14">
    <w:abstractNumId w:val="24032"/>
  </w:num>
  <w:num w:numId="15">
    <w:abstractNumId w:val="240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advancegroup.sg.larksuite.com/docx/Sy4TdCxUFoCEWbxdcoQlBgzhgfh#WEeGd3rFjsp8Kjb59vLlbcdog1n" TargetMode="External" Type="http://schemas.openxmlformats.org/officeDocument/2006/relationships/hyperlink"/><Relationship Id="rId6" Target="https://advancegroup.sg.larksuite.com/sheets/RFR2sp4VGhbXVDtlnjTlwVsYgAb?from=from_copylink&amp;sheet=z4hjo9" TargetMode="External" Type="http://schemas.openxmlformats.org/officeDocument/2006/relationships/hyperlink"/><Relationship Id="rId7" Target="media/image1.jpeg" Type="http://schemas.openxmlformats.org/officeDocument/2006/relationships/image"/><Relationship Id="rId8" Target="media/image2.jpeg" Type="http://schemas.openxmlformats.org/officeDocument/2006/relationships/image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2026-04-30T03:29:20Z</dcterms:created>
  <dc:creator>Apache POI</dc:creator>
</cp:coreProperties>
</file>