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92"/>
      </w:tblGrid>
      <w:tr>
        <w:tc>
          <w:tcPr>
            <w:tcW w:type="dxa" w:w="9792"/>
            <w:shd w:fill="FFF2CC"/>
            <w:tcMar>
              <w:top w:w="60" w:type="dxa"/>
              <w:start w:w="80" w:type="dxa"/>
              <w:bottom w:w="60" w:type="dxa"/>
              <w:end w:w="80" w:type="dxa"/>
            </w:tcMar>
          </w:tcPr>
          <w:p>
            <w:pPr>
              <w:jc w:val="center"/>
            </w:pPr>
            <w:r>
              <w:rPr>
                <w:b/>
                <w:sz w:val="18"/>
              </w:rPr>
              <w:t>TEST / SYNTHETIC DOCUMENT - FOR COMPARISON ENGINE VALIDATION ONLY</w:t>
            </w:r>
          </w:p>
        </w:tc>
      </w:tr>
    </w:tbl>
    <w:p/>
    <w:tbl>
      <w:tblPr>
        <w:tblW w:type="auto" w:w="0"/>
        <w:jc w:val="left"/>
        <w:tblLayout w:type="fixed"/>
        <w:tblLook w:firstColumn="1" w:firstRow="1" w:lastColumn="0" w:lastRow="0" w:noHBand="0" w:noVBand="1" w:val="04A0"/>
      </w:tblPr>
      <w:tblGrid>
        <w:gridCol w:w="4896"/>
        <w:gridCol w:w="4896"/>
      </w:tblGrid>
      <w:tr>
        <w:tc>
          <w:tcPr>
            <w:tcW w:type="dxa" w:w="2088"/>
            <w:tcMar>
              <w:top w:w="45" w:type="dxa"/>
              <w:start w:w="60" w:type="dxa"/>
              <w:bottom w:w="45" w:type="dxa"/>
              <w:end w:w="60" w:type="dxa"/>
            </w:tcMar>
          </w:tcPr>
          <w:p>
            <w:r>
              <w:rPr>
                <w:b/>
              </w:rPr>
              <w:t>Our Ref:</w:t>
            </w:r>
          </w:p>
        </w:tc>
        <w:tc>
          <w:tcPr>
            <w:tcW w:type="dxa" w:w="8064"/>
            <w:tcMar>
              <w:top w:w="45" w:type="dxa"/>
              <w:start w:w="60" w:type="dxa"/>
              <w:bottom w:w="45" w:type="dxa"/>
              <w:end w:w="60" w:type="dxa"/>
            </w:tcMar>
          </w:tcPr>
          <w:p>
            <w:r>
              <w:t>PB/OPS/TEST/2026/047</w:t>
            </w:r>
          </w:p>
        </w:tc>
      </w:tr>
      <w:tr>
        <w:tc>
          <w:tcPr>
            <w:tcW w:type="dxa" w:w="2088"/>
            <w:tcMar>
              <w:top w:w="45" w:type="dxa"/>
              <w:start w:w="60" w:type="dxa"/>
              <w:bottom w:w="45" w:type="dxa"/>
              <w:end w:w="60" w:type="dxa"/>
            </w:tcMar>
          </w:tcPr>
          <w:p>
            <w:r>
              <w:rPr>
                <w:b/>
              </w:rPr>
              <w:t>Date:</w:t>
            </w:r>
          </w:p>
        </w:tc>
        <w:tc>
          <w:tcPr>
            <w:tcW w:type="dxa" w:w="8064"/>
            <w:tcMar>
              <w:top w:w="45" w:type="dxa"/>
              <w:start w:w="60" w:type="dxa"/>
              <w:bottom w:w="45" w:type="dxa"/>
              <w:end w:w="60" w:type="dxa"/>
            </w:tcMar>
          </w:tcPr>
          <w:p>
            <w:r>
              <w:t>19 August 2026</w:t>
            </w:r>
          </w:p>
        </w:tc>
      </w:tr>
      <w:tr>
        <w:tc>
          <w:tcPr>
            <w:tcW w:type="dxa" w:w="2088"/>
            <w:tcMar>
              <w:top w:w="45" w:type="dxa"/>
              <w:start w:w="60" w:type="dxa"/>
              <w:bottom w:w="45" w:type="dxa"/>
              <w:end w:w="60" w:type="dxa"/>
            </w:tcMar>
          </w:tcPr>
          <w:p>
            <w:r>
              <w:rPr>
                <w:b/>
              </w:rPr>
              <w:t>To:</w:t>
            </w:r>
          </w:p>
        </w:tc>
        <w:tc>
          <w:tcPr>
            <w:tcW w:type="dxa" w:w="8064"/>
            <w:tcMar>
              <w:top w:w="45" w:type="dxa"/>
              <w:start w:w="60" w:type="dxa"/>
              <w:bottom w:w="45" w:type="dxa"/>
              <w:end w:w="60" w:type="dxa"/>
            </w:tcMar>
          </w:tcPr>
          <w:p>
            <w:r>
              <w:t>The Director, Government Services Unit</w:t>
            </w:r>
          </w:p>
        </w:tc>
      </w:tr>
      <w:tr>
        <w:tc>
          <w:tcPr>
            <w:tcW w:type="dxa" w:w="2088"/>
            <w:tcMar>
              <w:top w:w="45" w:type="dxa"/>
              <w:start w:w="60" w:type="dxa"/>
              <w:bottom w:w="45" w:type="dxa"/>
              <w:end w:w="60" w:type="dxa"/>
            </w:tcMar>
          </w:tcPr>
          <w:p>
            <w:r>
              <w:rPr>
                <w:b/>
              </w:rPr>
              <w:t>Subject:</w:t>
            </w:r>
          </w:p>
        </w:tc>
        <w:tc>
          <w:tcPr>
            <w:tcW w:type="dxa" w:w="8064"/>
            <w:tcMar>
              <w:top w:w="45" w:type="dxa"/>
              <w:start w:w="60" w:type="dxa"/>
              <w:bottom w:w="45" w:type="dxa"/>
              <w:end w:w="60" w:type="dxa"/>
            </w:tcMar>
          </w:tcPr>
          <w:p>
            <w:r>
              <w:t>Implementation schedule and settlement arrangements</w:t>
            </w:r>
          </w:p>
        </w:tc>
      </w:tr>
    </w:tbl>
    <w:p/>
    <w:p>
      <w:r>
        <w:rPr>
          <w:b/>
        </w:rPr>
        <w:t>Dear Sir/Madam,</w:t>
      </w:r>
    </w:p>
    <w:p>
      <w:r>
        <w:t>We refer to the coordination meeting held on 15 August 2026 concerning the proposed settlement arrangement between Postbank and participating government institutions. Following the discussion, we are pleased to provide the proposed implementation timeline and related control measures.</w:t>
      </w:r>
    </w:p>
    <w:p>
      <w:r>
        <w:t>The pilot phase is expected to commence on 1 September 2026 and will run for fourteen (14) calendar days. During this period, participating offices will submit settlement instructions by 2:00 p.m. on each business day, with confirmation reports issued before close of business.</w:t>
      </w:r>
    </w:p>
    <w:p>
      <w:r>
        <w:t>For the initial pilot, any instruction received after the daily cut-off time will be processed on the next business day without exception. No manual overrides will be permitted during the pilot period.</w:t>
      </w:r>
    </w:p>
    <w:p>
      <w:r>
        <w:rPr>
          <w:b/>
        </w:rPr>
        <w:t>Proposed Activity Schedule</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trPr>
        <w:tc>
          <w:tcPr>
            <w:tcW w:type="dxa" w:w="2448"/>
            <w:vAlign w:val="center"/>
            <w:tcMar>
              <w:top w:w="45" w:type="dxa"/>
              <w:start w:w="55" w:type="dxa"/>
              <w:bottom w:w="45" w:type="dxa"/>
              <w:end w:w="55" w:type="dxa"/>
            </w:tcMar>
            <w:shd w:fill="D9EAF7"/>
          </w:tcPr>
          <w:p>
            <w:pPr>
              <w:spacing w:after="0"/>
            </w:pPr>
            <w:r>
              <w:rPr>
                <w:b/>
                <w:sz w:val="17"/>
              </w:rPr>
              <w:t>Activity</w:t>
            </w:r>
          </w:p>
        </w:tc>
        <w:tc>
          <w:tcPr>
            <w:tcW w:type="dxa" w:w="2448"/>
            <w:vAlign w:val="center"/>
            <w:tcMar>
              <w:top w:w="45" w:type="dxa"/>
              <w:start w:w="55" w:type="dxa"/>
              <w:bottom w:w="45" w:type="dxa"/>
              <w:end w:w="55" w:type="dxa"/>
            </w:tcMar>
            <w:shd w:fill="D9EAF7"/>
          </w:tcPr>
          <w:p>
            <w:pPr>
              <w:spacing w:after="0"/>
            </w:pPr>
            <w:r>
              <w:rPr>
                <w:b/>
                <w:sz w:val="17"/>
              </w:rPr>
              <w:t>Responsible Party</w:t>
            </w:r>
          </w:p>
        </w:tc>
        <w:tc>
          <w:tcPr>
            <w:tcW w:type="dxa" w:w="2448"/>
            <w:vAlign w:val="center"/>
            <w:tcMar>
              <w:top w:w="45" w:type="dxa"/>
              <w:start w:w="55" w:type="dxa"/>
              <w:bottom w:w="45" w:type="dxa"/>
              <w:end w:w="55" w:type="dxa"/>
            </w:tcMar>
            <w:shd w:fill="D9EAF7"/>
          </w:tcPr>
          <w:p>
            <w:pPr>
              <w:spacing w:after="0"/>
            </w:pPr>
            <w:r>
              <w:rPr>
                <w:b/>
                <w:sz w:val="17"/>
              </w:rPr>
              <w:t>Original / Revised Timing</w:t>
            </w:r>
          </w:p>
        </w:tc>
        <w:tc>
          <w:tcPr>
            <w:tcW w:type="dxa" w:w="2448"/>
            <w:vAlign w:val="center"/>
            <w:tcMar>
              <w:top w:w="45" w:type="dxa"/>
              <w:start w:w="55" w:type="dxa"/>
              <w:bottom w:w="45" w:type="dxa"/>
              <w:end w:w="55" w:type="dxa"/>
            </w:tcMar>
            <w:shd w:fill="D9EAF7"/>
          </w:tcPr>
          <w:p>
            <w:pPr>
              <w:spacing w:after="0"/>
            </w:pPr>
            <w:r>
              <w:rPr>
                <w:b/>
                <w:sz w:val="17"/>
              </w:rPr>
              <w:t>Output</w:t>
            </w:r>
          </w:p>
        </w:tc>
      </w:tr>
      <w:tr>
        <w:tc>
          <w:tcPr>
            <w:tcW w:type="dxa" w:w="2448"/>
            <w:vAlign w:val="center"/>
            <w:tcMar>
              <w:top w:w="45" w:type="dxa"/>
              <w:start w:w="55" w:type="dxa"/>
              <w:bottom w:w="45" w:type="dxa"/>
              <w:end w:w="55" w:type="dxa"/>
            </w:tcMar>
          </w:tcPr>
          <w:p>
            <w:pPr>
              <w:spacing w:after="0"/>
            </w:pPr>
            <w:r>
              <w:rPr>
                <w:sz w:val="17"/>
              </w:rPr>
              <w:t>Confirm participating offices</w:t>
            </w:r>
          </w:p>
        </w:tc>
        <w:tc>
          <w:tcPr>
            <w:tcW w:type="dxa" w:w="2448"/>
            <w:vAlign w:val="center"/>
            <w:tcMar>
              <w:top w:w="45" w:type="dxa"/>
              <w:start w:w="55" w:type="dxa"/>
              <w:bottom w:w="45" w:type="dxa"/>
              <w:end w:w="55" w:type="dxa"/>
            </w:tcMar>
          </w:tcPr>
          <w:p>
            <w:pPr>
              <w:spacing w:after="0"/>
            </w:pPr>
            <w:r>
              <w:rPr>
                <w:sz w:val="17"/>
              </w:rPr>
              <w:t>Government Services Unit</w:t>
            </w:r>
          </w:p>
        </w:tc>
        <w:tc>
          <w:tcPr>
            <w:tcW w:type="dxa" w:w="2448"/>
            <w:vAlign w:val="center"/>
            <w:tcMar>
              <w:top w:w="45" w:type="dxa"/>
              <w:start w:w="55" w:type="dxa"/>
              <w:bottom w:w="45" w:type="dxa"/>
              <w:end w:w="55" w:type="dxa"/>
            </w:tcMar>
          </w:tcPr>
          <w:p>
            <w:pPr>
              <w:spacing w:after="0"/>
            </w:pPr>
            <w:r>
              <w:rPr>
                <w:sz w:val="17"/>
              </w:rPr>
              <w:t>22 August 2026</w:t>
            </w:r>
          </w:p>
        </w:tc>
        <w:tc>
          <w:tcPr>
            <w:tcW w:type="dxa" w:w="2448"/>
            <w:vAlign w:val="center"/>
            <w:tcMar>
              <w:top w:w="45" w:type="dxa"/>
              <w:start w:w="55" w:type="dxa"/>
              <w:bottom w:w="45" w:type="dxa"/>
              <w:end w:w="55" w:type="dxa"/>
            </w:tcMar>
          </w:tcPr>
          <w:p>
            <w:pPr>
              <w:spacing w:after="0"/>
            </w:pPr>
            <w:r>
              <w:rPr>
                <w:sz w:val="17"/>
              </w:rPr>
              <w:t>Approved contact list</w:t>
            </w:r>
          </w:p>
        </w:tc>
      </w:tr>
      <w:tr>
        <w:tc>
          <w:tcPr>
            <w:tcW w:type="dxa" w:w="2448"/>
            <w:vAlign w:val="center"/>
            <w:tcMar>
              <w:top w:w="45" w:type="dxa"/>
              <w:start w:w="55" w:type="dxa"/>
              <w:bottom w:w="45" w:type="dxa"/>
              <w:end w:w="55" w:type="dxa"/>
            </w:tcMar>
          </w:tcPr>
          <w:p>
            <w:pPr>
              <w:spacing w:after="0"/>
            </w:pPr>
            <w:r>
              <w:rPr>
                <w:sz w:val="17"/>
              </w:rPr>
              <w:t>Technical connectivity check</w:t>
            </w:r>
          </w:p>
        </w:tc>
        <w:tc>
          <w:tcPr>
            <w:tcW w:type="dxa" w:w="2448"/>
            <w:vAlign w:val="center"/>
            <w:tcMar>
              <w:top w:w="45" w:type="dxa"/>
              <w:start w:w="55" w:type="dxa"/>
              <w:bottom w:w="45" w:type="dxa"/>
              <w:end w:w="55" w:type="dxa"/>
            </w:tcMar>
          </w:tcPr>
          <w:p>
            <w:pPr>
              <w:spacing w:after="0"/>
            </w:pPr>
            <w:r>
              <w:rPr>
                <w:sz w:val="17"/>
              </w:rPr>
              <w:t>Postbank ICT &amp; Institution ICT</w:t>
            </w:r>
          </w:p>
        </w:tc>
        <w:tc>
          <w:tcPr>
            <w:tcW w:type="dxa" w:w="2448"/>
            <w:vAlign w:val="center"/>
            <w:tcMar>
              <w:top w:w="45" w:type="dxa"/>
              <w:start w:w="55" w:type="dxa"/>
              <w:bottom w:w="45" w:type="dxa"/>
              <w:end w:w="55" w:type="dxa"/>
            </w:tcMar>
          </w:tcPr>
          <w:p>
            <w:pPr>
              <w:spacing w:after="0"/>
            </w:pPr>
            <w:r>
              <w:rPr>
                <w:sz w:val="17"/>
              </w:rPr>
              <w:t>25 August 2026</w:t>
            </w:r>
          </w:p>
        </w:tc>
        <w:tc>
          <w:tcPr>
            <w:tcW w:type="dxa" w:w="2448"/>
            <w:vAlign w:val="center"/>
            <w:tcMar>
              <w:top w:w="45" w:type="dxa"/>
              <w:start w:w="55" w:type="dxa"/>
              <w:bottom w:w="45" w:type="dxa"/>
              <w:end w:w="55" w:type="dxa"/>
            </w:tcMar>
          </w:tcPr>
          <w:p>
            <w:pPr>
              <w:spacing w:after="0"/>
            </w:pPr>
            <w:r>
              <w:rPr>
                <w:sz w:val="17"/>
              </w:rPr>
              <w:t>Connectivity sign-off</w:t>
            </w:r>
          </w:p>
        </w:tc>
      </w:tr>
      <w:tr>
        <w:tc>
          <w:tcPr>
            <w:tcW w:type="dxa" w:w="2448"/>
            <w:vAlign w:val="center"/>
            <w:tcMar>
              <w:top w:w="45" w:type="dxa"/>
              <w:start w:w="55" w:type="dxa"/>
              <w:bottom w:w="45" w:type="dxa"/>
              <w:end w:w="55" w:type="dxa"/>
            </w:tcMar>
          </w:tcPr>
          <w:p>
            <w:pPr>
              <w:spacing w:after="0"/>
            </w:pPr>
            <w:r>
              <w:rPr>
                <w:sz w:val="17"/>
              </w:rPr>
              <w:t>User readiness briefing</w:t>
            </w:r>
          </w:p>
        </w:tc>
        <w:tc>
          <w:tcPr>
            <w:tcW w:type="dxa" w:w="2448"/>
            <w:vAlign w:val="center"/>
            <w:tcMar>
              <w:top w:w="45" w:type="dxa"/>
              <w:start w:w="55" w:type="dxa"/>
              <w:bottom w:w="45" w:type="dxa"/>
              <w:end w:w="55" w:type="dxa"/>
            </w:tcMar>
          </w:tcPr>
          <w:p>
            <w:pPr>
              <w:spacing w:after="0"/>
            </w:pPr>
            <w:r>
              <w:rPr>
                <w:sz w:val="17"/>
              </w:rPr>
              <w:t>Postbank Operations</w:t>
            </w:r>
          </w:p>
        </w:tc>
        <w:tc>
          <w:tcPr>
            <w:tcW w:type="dxa" w:w="2448"/>
            <w:vAlign w:val="center"/>
            <w:tcMar>
              <w:top w:w="45" w:type="dxa"/>
              <w:start w:w="55" w:type="dxa"/>
              <w:bottom w:w="45" w:type="dxa"/>
              <w:end w:w="55" w:type="dxa"/>
            </w:tcMar>
          </w:tcPr>
          <w:p>
            <w:pPr>
              <w:spacing w:after="0"/>
            </w:pPr>
            <w:r>
              <w:rPr>
                <w:sz w:val="17"/>
              </w:rPr>
              <w:t>28 August 2026</w:t>
            </w:r>
          </w:p>
        </w:tc>
        <w:tc>
          <w:tcPr>
            <w:tcW w:type="dxa" w:w="2448"/>
            <w:vAlign w:val="center"/>
            <w:tcMar>
              <w:top w:w="45" w:type="dxa"/>
              <w:start w:w="55" w:type="dxa"/>
              <w:bottom w:w="45" w:type="dxa"/>
              <w:end w:w="55" w:type="dxa"/>
            </w:tcMar>
          </w:tcPr>
          <w:p>
            <w:pPr>
              <w:spacing w:after="0"/>
            </w:pPr>
            <w:r>
              <w:rPr>
                <w:sz w:val="17"/>
              </w:rPr>
              <w:t>Attendance record</w:t>
            </w:r>
          </w:p>
        </w:tc>
      </w:tr>
      <w:tr>
        <w:tc>
          <w:tcPr>
            <w:tcW w:type="dxa" w:w="2448"/>
            <w:vAlign w:val="center"/>
            <w:tcMar>
              <w:top w:w="45" w:type="dxa"/>
              <w:start w:w="55" w:type="dxa"/>
              <w:bottom w:w="45" w:type="dxa"/>
              <w:end w:w="55" w:type="dxa"/>
            </w:tcMar>
          </w:tcPr>
          <w:p>
            <w:pPr>
              <w:spacing w:after="0"/>
            </w:pPr>
            <w:r>
              <w:rPr>
                <w:sz w:val="17"/>
              </w:rPr>
              <w:t>Pilot commencement</w:t>
            </w:r>
          </w:p>
        </w:tc>
        <w:tc>
          <w:tcPr>
            <w:tcW w:type="dxa" w:w="2448"/>
            <w:vAlign w:val="center"/>
            <w:tcMar>
              <w:top w:w="45" w:type="dxa"/>
              <w:start w:w="55" w:type="dxa"/>
              <w:bottom w:w="45" w:type="dxa"/>
              <w:end w:w="55" w:type="dxa"/>
            </w:tcMar>
          </w:tcPr>
          <w:p>
            <w:pPr>
              <w:spacing w:after="0"/>
            </w:pPr>
            <w:r>
              <w:rPr>
                <w:sz w:val="17"/>
              </w:rPr>
              <w:t>All participating parties</w:t>
            </w:r>
          </w:p>
        </w:tc>
        <w:tc>
          <w:tcPr>
            <w:tcW w:type="dxa" w:w="2448"/>
            <w:vAlign w:val="center"/>
            <w:tcMar>
              <w:top w:w="45" w:type="dxa"/>
              <w:start w:w="55" w:type="dxa"/>
              <w:bottom w:w="45" w:type="dxa"/>
              <w:end w:w="55" w:type="dxa"/>
            </w:tcMar>
          </w:tcPr>
          <w:p>
            <w:pPr>
              <w:spacing w:after="0"/>
            </w:pPr>
            <w:r>
              <w:rPr>
                <w:sz w:val="17"/>
              </w:rPr>
              <w:t>1 September 2026</w:t>
            </w:r>
          </w:p>
        </w:tc>
        <w:tc>
          <w:tcPr>
            <w:tcW w:type="dxa" w:w="2448"/>
            <w:vAlign w:val="center"/>
            <w:tcMar>
              <w:top w:w="45" w:type="dxa"/>
              <w:start w:w="55" w:type="dxa"/>
              <w:bottom w:w="45" w:type="dxa"/>
              <w:end w:w="55" w:type="dxa"/>
            </w:tcMar>
          </w:tcPr>
          <w:p>
            <w:pPr>
              <w:spacing w:after="0"/>
            </w:pPr>
            <w:r>
              <w:rPr>
                <w:sz w:val="17"/>
              </w:rPr>
              <w:t>Live pilot begins</w:t>
            </w:r>
          </w:p>
        </w:tc>
      </w:tr>
      <w:tr>
        <w:tc>
          <w:tcPr>
            <w:tcW w:type="dxa" w:w="2448"/>
            <w:vAlign w:val="center"/>
            <w:tcMar>
              <w:top w:w="45" w:type="dxa"/>
              <w:start w:w="55" w:type="dxa"/>
              <w:bottom w:w="45" w:type="dxa"/>
              <w:end w:w="55" w:type="dxa"/>
            </w:tcMar>
          </w:tcPr>
          <w:p>
            <w:pPr>
              <w:spacing w:after="0"/>
            </w:pPr>
            <w:r>
              <w:rPr>
                <w:sz w:val="17"/>
              </w:rPr>
              <w:t>Pilot close and review</w:t>
            </w:r>
          </w:p>
        </w:tc>
        <w:tc>
          <w:tcPr>
            <w:tcW w:type="dxa" w:w="2448"/>
            <w:vAlign w:val="center"/>
            <w:tcMar>
              <w:top w:w="45" w:type="dxa"/>
              <w:start w:w="55" w:type="dxa"/>
              <w:bottom w:w="45" w:type="dxa"/>
              <w:end w:w="55" w:type="dxa"/>
            </w:tcMar>
          </w:tcPr>
          <w:p>
            <w:pPr>
              <w:spacing w:after="0"/>
            </w:pPr>
            <w:r>
              <w:rPr>
                <w:sz w:val="17"/>
              </w:rPr>
              <w:t>Joint Operations Team</w:t>
            </w:r>
          </w:p>
        </w:tc>
        <w:tc>
          <w:tcPr>
            <w:tcW w:type="dxa" w:w="2448"/>
            <w:vAlign w:val="center"/>
            <w:tcMar>
              <w:top w:w="45" w:type="dxa"/>
              <w:start w:w="55" w:type="dxa"/>
              <w:bottom w:w="45" w:type="dxa"/>
              <w:end w:w="55" w:type="dxa"/>
            </w:tcMar>
          </w:tcPr>
          <w:p>
            <w:pPr>
              <w:spacing w:after="0"/>
            </w:pPr>
            <w:r>
              <w:rPr>
                <w:sz w:val="17"/>
              </w:rPr>
              <w:t>15 September 2026</w:t>
            </w:r>
          </w:p>
        </w:tc>
        <w:tc>
          <w:tcPr>
            <w:tcW w:type="dxa" w:w="2448"/>
            <w:vAlign w:val="center"/>
            <w:tcMar>
              <w:top w:w="45" w:type="dxa"/>
              <w:start w:w="55" w:type="dxa"/>
              <w:bottom w:w="45" w:type="dxa"/>
              <w:end w:w="55" w:type="dxa"/>
            </w:tcMar>
          </w:tcPr>
          <w:p>
            <w:pPr>
              <w:spacing w:after="0"/>
            </w:pPr>
            <w:r>
              <w:rPr>
                <w:sz w:val="17"/>
              </w:rPr>
              <w:t>Evaluation report</w:t>
            </w:r>
          </w:p>
        </w:tc>
      </w:tr>
    </w:tbl>
    <w:p/>
    <w:p>
      <w:r>
        <w:br w:type="page"/>
      </w:r>
    </w:p>
    <w:p>
      <w:r>
        <w:rPr>
          <w:b/>
        </w:rPr>
        <w:t>Operational and Control Requirements</w:t>
      </w:r>
    </w:p>
    <w:p>
      <w:pPr>
        <w:pStyle w:val="ListBullet"/>
      </w:pPr>
      <w:r>
        <w:t>All settlement instructions must contain the institution reference number, beneficiary account details, amount, and authorized officer name.</w:t>
      </w:r>
    </w:p>
    <w:p>
      <w:pPr>
        <w:pStyle w:val="ListBullet"/>
      </w:pPr>
      <w:r>
        <w:t>Any single instruction above KES 5,000,000 must be confirmed by telephone before processing.</w:t>
      </w:r>
    </w:p>
    <w:p>
      <w:pPr>
        <w:pStyle w:val="ListBullet"/>
      </w:pPr>
      <w:r>
        <w:t>Daily reconciliation reports will be shared by email with the designated institutional contact.</w:t>
      </w:r>
    </w:p>
    <w:p>
      <w:pPr>
        <w:pStyle w:val="ListBullet"/>
      </w:pPr>
      <w:r>
        <w:t>Supporting documents should be retained by each participating office for at least six months.</w:t>
      </w:r>
    </w:p>
    <w:p>
      <w:r>
        <w:t>Postbank will provide an exception report at the end of the pilot. The report will include unprocessed instructions and rejected items for discussion during the final review meeting.</w:t>
      </w:r>
    </w:p>
    <w:p>
      <w:r>
        <w:rPr>
          <w:b/>
        </w:rPr>
        <w:t>Illustrative Control Thresholds</w:t>
      </w:r>
    </w:p>
    <w:tbl>
      <w:tblPr>
        <w:tblStyle w:val="TableGrid"/>
        <w:tblW w:type="auto" w:w="0"/>
        <w:jc w:val="center"/>
        <w:tblLook w:firstColumn="1" w:firstRow="1" w:lastColumn="0" w:lastRow="0" w:noHBand="0" w:noVBand="1" w:val="04A0"/>
      </w:tblPr>
      <w:tblGrid>
        <w:gridCol w:w="4896"/>
        <w:gridCol w:w="4896"/>
      </w:tblGrid>
      <w:tr>
        <w:tc>
          <w:tcPr>
            <w:tcW w:type="dxa" w:w="4896"/>
            <w:tcMar>
              <w:top w:w="45" w:type="dxa"/>
              <w:start w:w="55" w:type="dxa"/>
              <w:bottom w:w="45" w:type="dxa"/>
              <w:end w:w="55" w:type="dxa"/>
            </w:tcMar>
            <w:shd w:fill="E2F0D9"/>
          </w:tcPr>
          <w:p>
            <w:r>
              <w:rPr>
                <w:b/>
                <w:sz w:val="18"/>
              </w:rPr>
              <w:t>Control</w:t>
            </w:r>
          </w:p>
        </w:tc>
        <w:tc>
          <w:tcPr>
            <w:tcW w:type="dxa" w:w="4896"/>
            <w:tcMar>
              <w:top w:w="45" w:type="dxa"/>
              <w:start w:w="55" w:type="dxa"/>
              <w:bottom w:w="45" w:type="dxa"/>
              <w:end w:w="55" w:type="dxa"/>
            </w:tcMar>
            <w:shd w:fill="E2F0D9"/>
          </w:tcPr>
          <w:p>
            <w:r>
              <w:rPr>
                <w:b/>
                <w:sz w:val="18"/>
              </w:rPr>
              <w:t>Threshold / Requirement</w:t>
            </w:r>
          </w:p>
        </w:tc>
      </w:tr>
      <w:tr>
        <w:tc>
          <w:tcPr>
            <w:tcW w:type="dxa" w:w="4896"/>
            <w:tcMar>
              <w:top w:w="45" w:type="dxa"/>
              <w:start w:w="55" w:type="dxa"/>
              <w:bottom w:w="45" w:type="dxa"/>
              <w:end w:w="55" w:type="dxa"/>
            </w:tcMar>
          </w:tcPr>
          <w:p>
            <w:r>
              <w:rPr>
                <w:sz w:val="18"/>
              </w:rPr>
              <w:t>Single instruction review</w:t>
            </w:r>
          </w:p>
        </w:tc>
        <w:tc>
          <w:tcPr>
            <w:tcW w:type="dxa" w:w="4896"/>
            <w:tcMar>
              <w:top w:w="45" w:type="dxa"/>
              <w:start w:w="55" w:type="dxa"/>
              <w:bottom w:w="45" w:type="dxa"/>
              <w:end w:w="55" w:type="dxa"/>
            </w:tcMar>
          </w:tcPr>
          <w:p>
            <w:r>
              <w:rPr>
                <w:sz w:val="18"/>
              </w:rPr>
              <w:t>KES 5,000,000</w:t>
            </w:r>
          </w:p>
        </w:tc>
      </w:tr>
      <w:tr>
        <w:tc>
          <w:tcPr>
            <w:tcW w:type="dxa" w:w="4896"/>
            <w:tcMar>
              <w:top w:w="45" w:type="dxa"/>
              <w:start w:w="55" w:type="dxa"/>
              <w:bottom w:w="45" w:type="dxa"/>
              <w:end w:w="55" w:type="dxa"/>
            </w:tcMar>
          </w:tcPr>
          <w:p>
            <w:r>
              <w:rPr>
                <w:sz w:val="18"/>
              </w:rPr>
              <w:t>Aggregate daily alert</w:t>
            </w:r>
          </w:p>
        </w:tc>
        <w:tc>
          <w:tcPr>
            <w:tcW w:type="dxa" w:w="4896"/>
            <w:tcMar>
              <w:top w:w="45" w:type="dxa"/>
              <w:start w:w="55" w:type="dxa"/>
              <w:bottom w:w="45" w:type="dxa"/>
              <w:end w:w="55" w:type="dxa"/>
            </w:tcMar>
          </w:tcPr>
          <w:p>
            <w:r>
              <w:rPr>
                <w:sz w:val="18"/>
              </w:rPr>
              <w:t>KES 25,000,000</w:t>
            </w:r>
          </w:p>
        </w:tc>
      </w:tr>
      <w:tr>
        <w:tc>
          <w:tcPr>
            <w:tcW w:type="dxa" w:w="4896"/>
            <w:tcMar>
              <w:top w:w="45" w:type="dxa"/>
              <w:start w:w="55" w:type="dxa"/>
              <w:bottom w:w="45" w:type="dxa"/>
              <w:end w:w="55" w:type="dxa"/>
            </w:tcMar>
          </w:tcPr>
          <w:p>
            <w:r>
              <w:rPr>
                <w:sz w:val="18"/>
              </w:rPr>
              <w:t>Late correction window</w:t>
            </w:r>
          </w:p>
        </w:tc>
        <w:tc>
          <w:tcPr>
            <w:tcW w:type="dxa" w:w="4896"/>
            <w:tcMar>
              <w:top w:w="45" w:type="dxa"/>
              <w:start w:w="55" w:type="dxa"/>
              <w:bottom w:w="45" w:type="dxa"/>
              <w:end w:w="55" w:type="dxa"/>
            </w:tcMar>
          </w:tcPr>
          <w:p>
            <w:r>
              <w:rPr>
                <w:sz w:val="18"/>
              </w:rPr>
              <w:t>Not permitted</w:t>
            </w:r>
          </w:p>
        </w:tc>
      </w:tr>
    </w:tbl>
    <w:p/>
    <w:p>
      <w:r>
        <w:t>Kindly review the proposed arrangements and provide written confirmation by 21 August 2026. Should you require clarification, please contact the undersigned.</w:t>
      </w:r>
    </w:p>
    <w:p>
      <w:r>
        <w:t>Yours faithfully,</w:t>
      </w:r>
    </w:p>
    <w:p/>
    <w:p/>
    <w:p>
      <w:r>
        <w:rPr>
          <w:b/>
        </w:rPr>
        <w:t>A. N. TESTUSER</w:t>
      </w:r>
    </w:p>
    <w:p>
      <w:r>
        <w:t>Manager, Operations</w:t>
      </w:r>
    </w:p>
    <w:p>
      <w:r>
        <w:t>Postbank Test Environment</w:t>
      </w:r>
    </w:p>
    <w:p>
      <w:pPr>
        <w:pStyle w:val="SmallNote"/>
        <w:jc w:val="center"/>
      </w:pPr>
      <w:r>
        <w:rPr>
          <w:i/>
        </w:rPr>
        <w:t>Document status: Original test version</w:t>
      </w:r>
    </w:p>
    <w:sectPr w:rsidR="00FC693F" w:rsidRPr="0006063C" w:rsidSect="00034616">
      <w:headerReference w:type="default" r:id="rId9"/>
      <w:footerReference w:type="default" r:id="rId10"/>
      <w:pgSz w:w="12240" w:h="15840"/>
      <w:pgMar w:top="936" w:right="1224" w:bottom="93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center"/>
    </w:pPr>
    <w:r>
      <w:t xml:space="preserve">Synthetic test document - no real customer or institutional data. </w:t>
    </w:r>
    <w:r>
      <w:t>Retention: Delete after testing.</w:t>
    </w:r>
  </w:p>
  <w:p>
    <w:pPr>
      <w:jc w:val="center"/>
    </w:pPr>
    <w: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24"/>
      </w:rPr>
      <w:t>POSTBANK TEST ENVIRONMENT</w:t>
    </w:r>
  </w:p>
  <w:p>
    <w:pPr>
      <w:pStyle w:val="SmallNote"/>
      <w:jc w:val="center"/>
    </w:pPr>
    <w:r>
      <w:t>Synthetic correspondence for document-comparison testing</w:t>
    </w:r>
  </w:p>
  <w:p>
    <w:pPr>
      <w:pStyle w:val="SmallNote"/>
      <w:jc w:val="right"/>
    </w:pPr>
    <w:r>
      <w:t>Classification: 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rial" w:hAnsi="Arial"/>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