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fill="FFF2CC"/>
            <w:tcMar>
              <w:top w:w="60" w:type="dxa"/>
              <w:start w:w="80" w:type="dxa"/>
              <w:bottom w:w="60" w:type="dxa"/>
              <w:end w:w="80" w:type="dxa"/>
            </w:tcMar>
          </w:tcPr>
          <w:p>
            <w:pPr>
              <w:jc w:val="center"/>
            </w:pPr>
            <w:r>
              <w:rPr>
                <w:b/>
                <w:sz w:val="18"/>
              </w:rPr>
              <w:t>TEST / SYNTHETIC DOCUMENT - FOR COMPARISON ENGINE VALIDATION ONLY</w:t>
            </w:r>
          </w:p>
        </w:tc>
      </w:tr>
    </w:tbl>
    <w:p/>
    <w:tbl>
      <w:tblPr>
        <w:tblW w:type="auto" w:w="0"/>
        <w:jc w:val="left"/>
        <w:tblLayout w:type="fixed"/>
        <w:tblLook w:firstColumn="1" w:firstRow="1" w:lastColumn="0" w:lastRow="0" w:noHBand="0" w:noVBand="1" w:val="04A0"/>
      </w:tblPr>
      <w:tblGrid>
        <w:gridCol w:w="4896"/>
        <w:gridCol w:w="4896"/>
      </w:tblGrid>
      <w:tr>
        <w:tc>
          <w:tcPr>
            <w:tcW w:type="dxa" w:w="2088"/>
            <w:tcMar>
              <w:top w:w="45" w:type="dxa"/>
              <w:start w:w="60" w:type="dxa"/>
              <w:bottom w:w="45" w:type="dxa"/>
              <w:end w:w="60" w:type="dxa"/>
            </w:tcMar>
          </w:tcPr>
          <w:p>
            <w:r>
              <w:rPr>
                <w:b/>
              </w:rPr>
              <w:t>Our Ref:</w:t>
            </w:r>
          </w:p>
        </w:tc>
        <w:tc>
          <w:tcPr>
            <w:tcW w:type="dxa" w:w="8064"/>
            <w:tcMar>
              <w:top w:w="45" w:type="dxa"/>
              <w:start w:w="60" w:type="dxa"/>
              <w:bottom w:w="45" w:type="dxa"/>
              <w:end w:w="60" w:type="dxa"/>
            </w:tcMar>
          </w:tcPr>
          <w:p>
            <w:r>
              <w:t>PB/OPS/TEST/2026/047-B</w:t>
            </w:r>
          </w:p>
        </w:tc>
      </w:tr>
      <w:tr>
        <w:tc>
          <w:tcPr>
            <w:tcW w:type="dxa" w:w="2088"/>
            <w:tcMar>
              <w:top w:w="45" w:type="dxa"/>
              <w:start w:w="60" w:type="dxa"/>
              <w:bottom w:w="45" w:type="dxa"/>
              <w:end w:w="60" w:type="dxa"/>
            </w:tcMar>
          </w:tcPr>
          <w:p>
            <w:r>
              <w:rPr>
                <w:b/>
              </w:rPr>
              <w:t>Date:</w:t>
            </w:r>
          </w:p>
        </w:tc>
        <w:tc>
          <w:tcPr>
            <w:tcW w:type="dxa" w:w="8064"/>
            <w:tcMar>
              <w:top w:w="45" w:type="dxa"/>
              <w:start w:w="60" w:type="dxa"/>
              <w:bottom w:w="45" w:type="dxa"/>
              <w:end w:w="60" w:type="dxa"/>
            </w:tcMar>
          </w:tcPr>
          <w:p>
            <w:r>
              <w:t>21 August 2026</w:t>
            </w:r>
          </w:p>
        </w:tc>
      </w:tr>
      <w:tr>
        <w:tc>
          <w:tcPr>
            <w:tcW w:type="dxa" w:w="2088"/>
            <w:tcMar>
              <w:top w:w="45" w:type="dxa"/>
              <w:start w:w="60" w:type="dxa"/>
              <w:bottom w:w="45" w:type="dxa"/>
              <w:end w:w="60" w:type="dxa"/>
            </w:tcMar>
          </w:tcPr>
          <w:p>
            <w:r>
              <w:rPr>
                <w:b/>
              </w:rPr>
              <w:t>To:</w:t>
            </w:r>
          </w:p>
        </w:tc>
        <w:tc>
          <w:tcPr>
            <w:tcW w:type="dxa" w:w="8064"/>
            <w:tcMar>
              <w:top w:w="45" w:type="dxa"/>
              <w:start w:w="60" w:type="dxa"/>
              <w:bottom w:w="45" w:type="dxa"/>
              <w:end w:w="60" w:type="dxa"/>
            </w:tcMar>
          </w:tcPr>
          <w:p>
            <w:r>
              <w:t>The Director, Government Services Coordination Unit</w:t>
            </w:r>
          </w:p>
        </w:tc>
      </w:tr>
      <w:tr>
        <w:tc>
          <w:tcPr>
            <w:tcW w:type="dxa" w:w="2088"/>
            <w:tcMar>
              <w:top w:w="45" w:type="dxa"/>
              <w:start w:w="60" w:type="dxa"/>
              <w:bottom w:w="45" w:type="dxa"/>
              <w:end w:w="60" w:type="dxa"/>
            </w:tcMar>
          </w:tcPr>
          <w:p>
            <w:r>
              <w:rPr>
                <w:b/>
              </w:rPr>
              <w:t>Subject:</w:t>
            </w:r>
          </w:p>
        </w:tc>
        <w:tc>
          <w:tcPr>
            <w:tcW w:type="dxa" w:w="8064"/>
            <w:tcMar>
              <w:top w:w="45" w:type="dxa"/>
              <w:start w:w="60" w:type="dxa"/>
              <w:bottom w:w="45" w:type="dxa"/>
              <w:end w:w="60" w:type="dxa"/>
            </w:tcMar>
          </w:tcPr>
          <w:p>
            <w:r>
              <w:t>Revised implementation schedule and confirmation of settlement arrangements</w:t>
            </w:r>
          </w:p>
        </w:tc>
      </w:tr>
    </w:tbl>
    <w:p/>
    <w:p>
      <w:r>
        <w:rPr>
          <w:b/>
        </w:rPr>
        <w:t>Dear Sir/Madam,</w:t>
      </w:r>
    </w:p>
    <w:p>
      <w:r>
        <w:t>We refer to the coordination meeting held on 17 August 2026 concerning the pilot settlement arrangement between Postbank and participating government institutions. Following the clarifications received from your office, we have revised the proposed implementation timeline and related control measures.</w:t>
      </w:r>
    </w:p>
    <w:p>
      <w:r>
        <w:t>The pilot phase is expected to commence on 7 September 2026 and will run for thirty (30) calendar days. During this period, participating offices will submit settlement instructions by 3:00 p.m. on each business day, with confirmation reports issued no later than 5:00 p.m.</w:t>
      </w:r>
    </w:p>
    <w:p>
      <w:r>
        <w:t>To support exception handling, each participating institution shall nominate one primary and one alternate contact person. Urgent correction requests received within thirty minutes after the cut-off may be reviewed by the designated operations supervisor before the daily settlement file is finalized.</w:t>
      </w:r>
    </w:p>
    <w:p>
      <w:r>
        <w:rPr>
          <w:b/>
        </w:rPr>
        <w:t>Proposed Activity Schedule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vAlign w:val="center"/>
            <w:tcMar>
              <w:top w:w="45" w:type="dxa"/>
              <w:start w:w="55" w:type="dxa"/>
              <w:bottom w:w="45" w:type="dxa"/>
              <w:end w:w="55" w:type="dxa"/>
            </w:tcMar>
            <w:shd w:fill="D9EAF7"/>
          </w:tcPr>
          <w:p>
            <w:pPr>
              <w:spacing w:after="0"/>
            </w:pPr>
            <w:r>
              <w:rPr>
                <w:b/>
                <w:sz w:val="17"/>
              </w:rPr>
              <w:t>Activity</w:t>
            </w:r>
          </w:p>
        </w:tc>
        <w:tc>
          <w:tcPr>
            <w:tcW w:type="dxa" w:w="2448"/>
            <w:vAlign w:val="center"/>
            <w:tcMar>
              <w:top w:w="45" w:type="dxa"/>
              <w:start w:w="55" w:type="dxa"/>
              <w:bottom w:w="45" w:type="dxa"/>
              <w:end w:w="55" w:type="dxa"/>
            </w:tcMar>
            <w:shd w:fill="D9EAF7"/>
          </w:tcPr>
          <w:p>
            <w:pPr>
              <w:spacing w:after="0"/>
            </w:pPr>
            <w:r>
              <w:rPr>
                <w:b/>
                <w:sz w:val="17"/>
              </w:rPr>
              <w:t>Responsible Party</w:t>
            </w:r>
          </w:p>
        </w:tc>
        <w:tc>
          <w:tcPr>
            <w:tcW w:type="dxa" w:w="2448"/>
            <w:vAlign w:val="center"/>
            <w:tcMar>
              <w:top w:w="45" w:type="dxa"/>
              <w:start w:w="55" w:type="dxa"/>
              <w:bottom w:w="45" w:type="dxa"/>
              <w:end w:w="55" w:type="dxa"/>
            </w:tcMar>
            <w:shd w:fill="D9EAF7"/>
          </w:tcPr>
          <w:p>
            <w:pPr>
              <w:spacing w:after="0"/>
            </w:pPr>
            <w:r>
              <w:rPr>
                <w:b/>
                <w:sz w:val="17"/>
              </w:rPr>
              <w:t>Original / Revised Timing</w:t>
            </w:r>
          </w:p>
        </w:tc>
        <w:tc>
          <w:tcPr>
            <w:tcW w:type="dxa" w:w="2448"/>
            <w:vAlign w:val="center"/>
            <w:tcMar>
              <w:top w:w="45" w:type="dxa"/>
              <w:start w:w="55" w:type="dxa"/>
              <w:bottom w:w="45" w:type="dxa"/>
              <w:end w:w="55" w:type="dxa"/>
            </w:tcMar>
            <w:shd w:fill="D9EAF7"/>
          </w:tcPr>
          <w:p>
            <w:pPr>
              <w:spacing w:after="0"/>
            </w:pPr>
            <w:r>
              <w:rPr>
                <w:b/>
                <w:sz w:val="17"/>
              </w:rPr>
              <w:t>Output</w:t>
            </w:r>
          </w:p>
        </w:tc>
      </w:tr>
      <w:tr>
        <w:tc>
          <w:tcPr>
            <w:tcW w:type="dxa" w:w="2448"/>
            <w:vAlign w:val="center"/>
            <w:tcMar>
              <w:top w:w="45" w:type="dxa"/>
              <w:start w:w="55" w:type="dxa"/>
              <w:bottom w:w="45" w:type="dxa"/>
              <w:end w:w="55" w:type="dxa"/>
            </w:tcMar>
          </w:tcPr>
          <w:p>
            <w:pPr>
              <w:spacing w:after="0"/>
            </w:pPr>
            <w:r>
              <w:rPr>
                <w:sz w:val="17"/>
              </w:rPr>
              <w:t>Confirm participating offices</w:t>
            </w:r>
          </w:p>
        </w:tc>
        <w:tc>
          <w:tcPr>
            <w:tcW w:type="dxa" w:w="2448"/>
            <w:vAlign w:val="center"/>
            <w:tcMar>
              <w:top w:w="45" w:type="dxa"/>
              <w:start w:w="55" w:type="dxa"/>
              <w:bottom w:w="45" w:type="dxa"/>
              <w:end w:w="55" w:type="dxa"/>
            </w:tcMar>
          </w:tcPr>
          <w:p>
            <w:pPr>
              <w:spacing w:after="0"/>
            </w:pPr>
            <w:r>
              <w:rPr>
                <w:sz w:val="17"/>
              </w:rPr>
              <w:t>Government Services Coordination Unit</w:t>
            </w:r>
          </w:p>
        </w:tc>
        <w:tc>
          <w:tcPr>
            <w:tcW w:type="dxa" w:w="2448"/>
            <w:vAlign w:val="center"/>
            <w:tcMar>
              <w:top w:w="45" w:type="dxa"/>
              <w:start w:w="55" w:type="dxa"/>
              <w:bottom w:w="45" w:type="dxa"/>
              <w:end w:w="55" w:type="dxa"/>
            </w:tcMar>
          </w:tcPr>
          <w:p>
            <w:pPr>
              <w:spacing w:after="0"/>
            </w:pPr>
            <w:r>
              <w:rPr>
                <w:sz w:val="17"/>
              </w:rPr>
              <w:t>24 August 2026</w:t>
            </w:r>
          </w:p>
        </w:tc>
        <w:tc>
          <w:tcPr>
            <w:tcW w:type="dxa" w:w="2448"/>
            <w:vAlign w:val="center"/>
            <w:tcMar>
              <w:top w:w="45" w:type="dxa"/>
              <w:start w:w="55" w:type="dxa"/>
              <w:bottom w:w="45" w:type="dxa"/>
              <w:end w:w="55" w:type="dxa"/>
            </w:tcMar>
          </w:tcPr>
          <w:p>
            <w:pPr>
              <w:spacing w:after="0"/>
            </w:pPr>
            <w:r>
              <w:rPr>
                <w:sz w:val="17"/>
              </w:rPr>
              <w:t>Approved contact list</w:t>
            </w:r>
          </w:p>
        </w:tc>
      </w:tr>
      <w:tr>
        <w:tc>
          <w:tcPr>
            <w:tcW w:type="dxa" w:w="2448"/>
            <w:vAlign w:val="center"/>
            <w:tcMar>
              <w:top w:w="45" w:type="dxa"/>
              <w:start w:w="55" w:type="dxa"/>
              <w:bottom w:w="45" w:type="dxa"/>
              <w:end w:w="55" w:type="dxa"/>
            </w:tcMar>
          </w:tcPr>
          <w:p>
            <w:pPr>
              <w:spacing w:after="0"/>
            </w:pPr>
            <w:r>
              <w:rPr>
                <w:sz w:val="17"/>
              </w:rPr>
              <w:t>Technical connectivity check</w:t>
            </w:r>
          </w:p>
        </w:tc>
        <w:tc>
          <w:tcPr>
            <w:tcW w:type="dxa" w:w="2448"/>
            <w:vAlign w:val="center"/>
            <w:tcMar>
              <w:top w:w="45" w:type="dxa"/>
              <w:start w:w="55" w:type="dxa"/>
              <w:bottom w:w="45" w:type="dxa"/>
              <w:end w:w="55" w:type="dxa"/>
            </w:tcMar>
          </w:tcPr>
          <w:p>
            <w:pPr>
              <w:spacing w:after="0"/>
            </w:pPr>
            <w:r>
              <w:rPr>
                <w:sz w:val="17"/>
              </w:rPr>
              <w:t>Postbank ICT &amp; Institution ICT</w:t>
            </w:r>
          </w:p>
        </w:tc>
        <w:tc>
          <w:tcPr>
            <w:tcW w:type="dxa" w:w="2448"/>
            <w:vAlign w:val="center"/>
            <w:tcMar>
              <w:top w:w="45" w:type="dxa"/>
              <w:start w:w="55" w:type="dxa"/>
              <w:bottom w:w="45" w:type="dxa"/>
              <w:end w:w="55" w:type="dxa"/>
            </w:tcMar>
          </w:tcPr>
          <w:p>
            <w:pPr>
              <w:spacing w:after="0"/>
            </w:pPr>
            <w:r>
              <w:rPr>
                <w:sz w:val="17"/>
              </w:rPr>
              <w:t>27-28 August 2026</w:t>
            </w:r>
          </w:p>
        </w:tc>
        <w:tc>
          <w:tcPr>
            <w:tcW w:type="dxa" w:w="2448"/>
            <w:vAlign w:val="center"/>
            <w:tcMar>
              <w:top w:w="45" w:type="dxa"/>
              <w:start w:w="55" w:type="dxa"/>
              <w:bottom w:w="45" w:type="dxa"/>
              <w:end w:w="55" w:type="dxa"/>
            </w:tcMar>
          </w:tcPr>
          <w:p>
            <w:pPr>
              <w:spacing w:after="0"/>
            </w:pPr>
            <w:r>
              <w:rPr>
                <w:sz w:val="17"/>
              </w:rPr>
              <w:t>Connectivity sign-off</w:t>
            </w:r>
          </w:p>
        </w:tc>
      </w:tr>
      <w:tr>
        <w:tc>
          <w:tcPr>
            <w:tcW w:type="dxa" w:w="2448"/>
            <w:vAlign w:val="center"/>
            <w:tcMar>
              <w:top w:w="45" w:type="dxa"/>
              <w:start w:w="55" w:type="dxa"/>
              <w:bottom w:w="45" w:type="dxa"/>
              <w:end w:w="55" w:type="dxa"/>
            </w:tcMar>
          </w:tcPr>
          <w:p>
            <w:pPr>
              <w:spacing w:after="0"/>
            </w:pPr>
            <w:r>
              <w:rPr>
                <w:sz w:val="17"/>
              </w:rPr>
              <w:t>User readiness briefing</w:t>
            </w:r>
          </w:p>
        </w:tc>
        <w:tc>
          <w:tcPr>
            <w:tcW w:type="dxa" w:w="2448"/>
            <w:vAlign w:val="center"/>
            <w:tcMar>
              <w:top w:w="45" w:type="dxa"/>
              <w:start w:w="55" w:type="dxa"/>
              <w:bottom w:w="45" w:type="dxa"/>
              <w:end w:w="55" w:type="dxa"/>
            </w:tcMar>
          </w:tcPr>
          <w:p>
            <w:pPr>
              <w:spacing w:after="0"/>
            </w:pPr>
            <w:r>
              <w:rPr>
                <w:sz w:val="17"/>
              </w:rPr>
              <w:t>Postbank Operations</w:t>
            </w:r>
          </w:p>
        </w:tc>
        <w:tc>
          <w:tcPr>
            <w:tcW w:type="dxa" w:w="2448"/>
            <w:vAlign w:val="center"/>
            <w:tcMar>
              <w:top w:w="45" w:type="dxa"/>
              <w:start w:w="55" w:type="dxa"/>
              <w:bottom w:w="45" w:type="dxa"/>
              <w:end w:w="55" w:type="dxa"/>
            </w:tcMar>
          </w:tcPr>
          <w:p>
            <w:pPr>
              <w:spacing w:after="0"/>
            </w:pPr>
            <w:r>
              <w:rPr>
                <w:sz w:val="17"/>
              </w:rPr>
              <w:t>2 September 2026</w:t>
            </w:r>
          </w:p>
        </w:tc>
        <w:tc>
          <w:tcPr>
            <w:tcW w:type="dxa" w:w="2448"/>
            <w:vAlign w:val="center"/>
            <w:tcMar>
              <w:top w:w="45" w:type="dxa"/>
              <w:start w:w="55" w:type="dxa"/>
              <w:bottom w:w="45" w:type="dxa"/>
              <w:end w:w="55" w:type="dxa"/>
            </w:tcMar>
          </w:tcPr>
          <w:p>
            <w:pPr>
              <w:spacing w:after="0"/>
            </w:pPr>
            <w:r>
              <w:rPr>
                <w:sz w:val="17"/>
              </w:rPr>
              <w:t>Attendance record</w:t>
            </w:r>
          </w:p>
        </w:tc>
      </w:tr>
      <w:tr>
        <w:tc>
          <w:tcPr>
            <w:tcW w:type="dxa" w:w="2448"/>
            <w:vAlign w:val="center"/>
            <w:tcMar>
              <w:top w:w="45" w:type="dxa"/>
              <w:start w:w="55" w:type="dxa"/>
              <w:bottom w:w="45" w:type="dxa"/>
              <w:end w:w="55" w:type="dxa"/>
            </w:tcMar>
          </w:tcPr>
          <w:p>
            <w:pPr>
              <w:spacing w:after="0"/>
            </w:pPr>
            <w:r>
              <w:rPr>
                <w:sz w:val="17"/>
              </w:rPr>
              <w:t>Pilot commencement</w:t>
            </w:r>
          </w:p>
        </w:tc>
        <w:tc>
          <w:tcPr>
            <w:tcW w:type="dxa" w:w="2448"/>
            <w:vAlign w:val="center"/>
            <w:tcMar>
              <w:top w:w="45" w:type="dxa"/>
              <w:start w:w="55" w:type="dxa"/>
              <w:bottom w:w="45" w:type="dxa"/>
              <w:end w:w="55" w:type="dxa"/>
            </w:tcMar>
          </w:tcPr>
          <w:p>
            <w:pPr>
              <w:spacing w:after="0"/>
            </w:pPr>
            <w:r>
              <w:rPr>
                <w:sz w:val="17"/>
              </w:rPr>
              <w:t>All participating parties</w:t>
            </w:r>
          </w:p>
        </w:tc>
        <w:tc>
          <w:tcPr>
            <w:tcW w:type="dxa" w:w="2448"/>
            <w:vAlign w:val="center"/>
            <w:tcMar>
              <w:top w:w="45" w:type="dxa"/>
              <w:start w:w="55" w:type="dxa"/>
              <w:bottom w:w="45" w:type="dxa"/>
              <w:end w:w="55" w:type="dxa"/>
            </w:tcMar>
          </w:tcPr>
          <w:p>
            <w:pPr>
              <w:spacing w:after="0"/>
            </w:pPr>
            <w:r>
              <w:rPr>
                <w:sz w:val="17"/>
              </w:rPr>
              <w:t>7 September 2026</w:t>
            </w:r>
          </w:p>
        </w:tc>
        <w:tc>
          <w:tcPr>
            <w:tcW w:type="dxa" w:w="2448"/>
            <w:vAlign w:val="center"/>
            <w:tcMar>
              <w:top w:w="45" w:type="dxa"/>
              <w:start w:w="55" w:type="dxa"/>
              <w:bottom w:w="45" w:type="dxa"/>
              <w:end w:w="55" w:type="dxa"/>
            </w:tcMar>
          </w:tcPr>
          <w:p>
            <w:pPr>
              <w:spacing w:after="0"/>
            </w:pPr>
            <w:r>
              <w:rPr>
                <w:sz w:val="17"/>
              </w:rPr>
              <w:t>Live pilot begins</w:t>
            </w:r>
          </w:p>
        </w:tc>
      </w:tr>
      <w:tr>
        <w:tc>
          <w:tcPr>
            <w:tcW w:type="dxa" w:w="2448"/>
            <w:vAlign w:val="center"/>
            <w:tcMar>
              <w:top w:w="45" w:type="dxa"/>
              <w:start w:w="55" w:type="dxa"/>
              <w:bottom w:w="45" w:type="dxa"/>
              <w:end w:w="55" w:type="dxa"/>
            </w:tcMar>
          </w:tcPr>
          <w:p>
            <w:pPr>
              <w:spacing w:after="0"/>
            </w:pPr>
            <w:r>
              <w:rPr>
                <w:sz w:val="17"/>
              </w:rPr>
              <w:t>Mid-pilot review</w:t>
            </w:r>
          </w:p>
        </w:tc>
        <w:tc>
          <w:tcPr>
            <w:tcW w:type="dxa" w:w="2448"/>
            <w:vAlign w:val="center"/>
            <w:tcMar>
              <w:top w:w="45" w:type="dxa"/>
              <w:start w:w="55" w:type="dxa"/>
              <w:bottom w:w="45" w:type="dxa"/>
              <w:end w:w="55" w:type="dxa"/>
            </w:tcMar>
          </w:tcPr>
          <w:p>
            <w:pPr>
              <w:spacing w:after="0"/>
            </w:pPr>
            <w:r>
              <w:rPr>
                <w:sz w:val="17"/>
              </w:rPr>
              <w:t>Joint Operations Team</w:t>
            </w:r>
          </w:p>
        </w:tc>
        <w:tc>
          <w:tcPr>
            <w:tcW w:type="dxa" w:w="2448"/>
            <w:vAlign w:val="center"/>
            <w:tcMar>
              <w:top w:w="45" w:type="dxa"/>
              <w:start w:w="55" w:type="dxa"/>
              <w:bottom w:w="45" w:type="dxa"/>
              <w:end w:w="55" w:type="dxa"/>
            </w:tcMar>
          </w:tcPr>
          <w:p>
            <w:pPr>
              <w:spacing w:after="0"/>
            </w:pPr>
            <w:r>
              <w:rPr>
                <w:sz w:val="17"/>
              </w:rPr>
              <w:t>21 September 2026</w:t>
            </w:r>
          </w:p>
        </w:tc>
        <w:tc>
          <w:tcPr>
            <w:tcW w:type="dxa" w:w="2448"/>
            <w:vAlign w:val="center"/>
            <w:tcMar>
              <w:top w:w="45" w:type="dxa"/>
              <w:start w:w="55" w:type="dxa"/>
              <w:bottom w:w="45" w:type="dxa"/>
              <w:end w:w="55" w:type="dxa"/>
            </w:tcMar>
          </w:tcPr>
          <w:p>
            <w:pPr>
              <w:spacing w:after="0"/>
            </w:pPr>
            <w:r>
              <w:rPr>
                <w:sz w:val="17"/>
              </w:rPr>
              <w:t>Issue log and actions</w:t>
            </w:r>
          </w:p>
        </w:tc>
      </w:tr>
      <w:tr>
        <w:tc>
          <w:tcPr>
            <w:tcW w:type="dxa" w:w="2448"/>
            <w:vAlign w:val="center"/>
            <w:tcMar>
              <w:top w:w="45" w:type="dxa"/>
              <w:start w:w="55" w:type="dxa"/>
              <w:bottom w:w="45" w:type="dxa"/>
              <w:end w:w="55" w:type="dxa"/>
            </w:tcMar>
          </w:tcPr>
          <w:p>
            <w:pPr>
              <w:spacing w:after="0"/>
            </w:pPr>
            <w:r>
              <w:rPr>
                <w:sz w:val="17"/>
              </w:rPr>
              <w:t>Pilot close and review</w:t>
            </w:r>
          </w:p>
        </w:tc>
        <w:tc>
          <w:tcPr>
            <w:tcW w:type="dxa" w:w="2448"/>
            <w:vAlign w:val="center"/>
            <w:tcMar>
              <w:top w:w="45" w:type="dxa"/>
              <w:start w:w="55" w:type="dxa"/>
              <w:bottom w:w="45" w:type="dxa"/>
              <w:end w:w="55" w:type="dxa"/>
            </w:tcMar>
          </w:tcPr>
          <w:p>
            <w:pPr>
              <w:spacing w:after="0"/>
            </w:pPr>
            <w:r>
              <w:rPr>
                <w:sz w:val="17"/>
              </w:rPr>
              <w:t>Joint Operations Team</w:t>
            </w:r>
          </w:p>
        </w:tc>
        <w:tc>
          <w:tcPr>
            <w:tcW w:type="dxa" w:w="2448"/>
            <w:vAlign w:val="center"/>
            <w:tcMar>
              <w:top w:w="45" w:type="dxa"/>
              <w:start w:w="55" w:type="dxa"/>
              <w:bottom w:w="45" w:type="dxa"/>
              <w:end w:w="55" w:type="dxa"/>
            </w:tcMar>
          </w:tcPr>
          <w:p>
            <w:pPr>
              <w:spacing w:after="0"/>
            </w:pPr>
            <w:r>
              <w:rPr>
                <w:sz w:val="17"/>
              </w:rPr>
              <w:t>6 October 2026</w:t>
            </w:r>
          </w:p>
        </w:tc>
        <w:tc>
          <w:tcPr>
            <w:tcW w:type="dxa" w:w="2448"/>
            <w:vAlign w:val="center"/>
            <w:tcMar>
              <w:top w:w="45" w:type="dxa"/>
              <w:start w:w="55" w:type="dxa"/>
              <w:bottom w:w="45" w:type="dxa"/>
              <w:end w:w="55" w:type="dxa"/>
            </w:tcMar>
          </w:tcPr>
          <w:p>
            <w:pPr>
              <w:spacing w:after="0"/>
            </w:pPr>
            <w:r>
              <w:rPr>
                <w:sz w:val="17"/>
              </w:rPr>
              <w:t>Evaluation report</w:t>
            </w:r>
          </w:p>
        </w:tc>
      </w:tr>
    </w:tbl>
    <w:p/>
    <w:p>
      <w:r>
        <w:br w:type="page"/>
      </w:r>
    </w:p>
    <w:p>
      <w:r>
        <w:rPr>
          <w:b/>
        </w:rPr>
        <w:t>Operational and Control Requirements</w:t>
      </w:r>
    </w:p>
    <w:p>
      <w:pPr>
        <w:pStyle w:val="ListBullet"/>
      </w:pPr>
      <w:r>
        <w:t>All settlement instructions must contain the institution reference number, beneficiary account details, amount, purpose of payment, and authorized officer name.</w:t>
      </w:r>
    </w:p>
    <w:p>
      <w:pPr>
        <w:pStyle w:val="ListBullet"/>
      </w:pPr>
      <w:r>
        <w:t>Any single instruction above KES 3,000,000 must receive a secondary internal approval before processing.</w:t>
      </w:r>
    </w:p>
    <w:p>
      <w:pPr>
        <w:pStyle w:val="ListBullet"/>
      </w:pPr>
      <w:r>
        <w:t>Daily reconciliation reports will be made available through the approved secure channel and shared only with designated institutional contacts.</w:t>
      </w:r>
    </w:p>
    <w:p>
      <w:pPr>
        <w:pStyle w:val="ListBullet"/>
      </w:pPr>
      <w:r>
        <w:t>Supporting documents should be retained by each participating office for at least twelve months in accordance with approved records-management requirements.</w:t>
      </w:r>
    </w:p>
    <w:p>
      <w:pPr>
        <w:pStyle w:val="ListBullet"/>
      </w:pPr>
      <w:r>
        <w:t>Any discrepancy involving an account number, amount, beneficiary name, or settlement date must be escalated before final posting.</w:t>
      </w:r>
    </w:p>
    <w:p>
      <w:r>
        <w:t>Postbank will provide a consolidated exception report every Friday during the pilot. The report will include unprocessed instructions, corrected instructions, rejected items, and outstanding confirmations. Material exceptions must be acknowledged by the receiving institution within one business day.</w:t>
      </w:r>
    </w:p>
    <w:p>
      <w:r>
        <w:rPr>
          <w:b/>
        </w:rPr>
        <w:t>Illustrative Control Thresholds</w:t>
      </w:r>
    </w:p>
    <w:tbl>
      <w:tblPr>
        <w:tblStyle w:val="TableGrid"/>
        <w:tblW w:type="auto" w:w="0"/>
        <w:jc w:val="center"/>
        <w:tblLook w:firstColumn="1" w:firstRow="1" w:lastColumn="0" w:lastRow="0" w:noHBand="0" w:noVBand="1" w:val="04A0"/>
      </w:tblPr>
      <w:tblGrid>
        <w:gridCol w:w="4896"/>
        <w:gridCol w:w="4896"/>
      </w:tblGrid>
      <w:tr>
        <w:tc>
          <w:tcPr>
            <w:tcW w:type="dxa" w:w="4896"/>
            <w:tcMar>
              <w:top w:w="45" w:type="dxa"/>
              <w:start w:w="55" w:type="dxa"/>
              <w:bottom w:w="45" w:type="dxa"/>
              <w:end w:w="55" w:type="dxa"/>
            </w:tcMar>
            <w:shd w:fill="E2F0D9"/>
          </w:tcPr>
          <w:p>
            <w:r>
              <w:rPr>
                <w:b/>
                <w:sz w:val="18"/>
              </w:rPr>
              <w:t>Control</w:t>
            </w:r>
          </w:p>
        </w:tc>
        <w:tc>
          <w:tcPr>
            <w:tcW w:type="dxa" w:w="4896"/>
            <w:tcMar>
              <w:top w:w="45" w:type="dxa"/>
              <w:start w:w="55" w:type="dxa"/>
              <w:bottom w:w="45" w:type="dxa"/>
              <w:end w:w="55" w:type="dxa"/>
            </w:tcMar>
            <w:shd w:fill="E2F0D9"/>
          </w:tcPr>
          <w:p>
            <w:r>
              <w:rPr>
                <w:b/>
                <w:sz w:val="18"/>
              </w:rPr>
              <w:t>Threshold / Requirement</w:t>
            </w:r>
          </w:p>
        </w:tc>
      </w:tr>
      <w:tr>
        <w:tc>
          <w:tcPr>
            <w:tcW w:type="dxa" w:w="4896"/>
            <w:tcMar>
              <w:top w:w="45" w:type="dxa"/>
              <w:start w:w="55" w:type="dxa"/>
              <w:bottom w:w="45" w:type="dxa"/>
              <w:end w:w="55" w:type="dxa"/>
            </w:tcMar>
          </w:tcPr>
          <w:p>
            <w:r>
              <w:rPr>
                <w:sz w:val="18"/>
              </w:rPr>
              <w:t>Single instruction review</w:t>
            </w:r>
          </w:p>
        </w:tc>
        <w:tc>
          <w:tcPr>
            <w:tcW w:type="dxa" w:w="4896"/>
            <w:tcMar>
              <w:top w:w="45" w:type="dxa"/>
              <w:start w:w="55" w:type="dxa"/>
              <w:bottom w:w="45" w:type="dxa"/>
              <w:end w:w="55" w:type="dxa"/>
            </w:tcMar>
          </w:tcPr>
          <w:p>
            <w:r>
              <w:rPr>
                <w:sz w:val="18"/>
              </w:rPr>
              <w:t>KES 3,000,000</w:t>
            </w:r>
          </w:p>
        </w:tc>
      </w:tr>
      <w:tr>
        <w:tc>
          <w:tcPr>
            <w:tcW w:type="dxa" w:w="4896"/>
            <w:tcMar>
              <w:top w:w="45" w:type="dxa"/>
              <w:start w:w="55" w:type="dxa"/>
              <w:bottom w:w="45" w:type="dxa"/>
              <w:end w:w="55" w:type="dxa"/>
            </w:tcMar>
          </w:tcPr>
          <w:p>
            <w:r>
              <w:rPr>
                <w:sz w:val="18"/>
              </w:rPr>
              <w:t>Aggregate daily alert</w:t>
            </w:r>
          </w:p>
        </w:tc>
        <w:tc>
          <w:tcPr>
            <w:tcW w:type="dxa" w:w="4896"/>
            <w:tcMar>
              <w:top w:w="45" w:type="dxa"/>
              <w:start w:w="55" w:type="dxa"/>
              <w:bottom w:w="45" w:type="dxa"/>
              <w:end w:w="55" w:type="dxa"/>
            </w:tcMar>
          </w:tcPr>
          <w:p>
            <w:r>
              <w:rPr>
                <w:sz w:val="18"/>
              </w:rPr>
              <w:t>KES 20,000,000</w:t>
            </w:r>
          </w:p>
        </w:tc>
      </w:tr>
      <w:tr>
        <w:tc>
          <w:tcPr>
            <w:tcW w:type="dxa" w:w="4896"/>
            <w:tcMar>
              <w:top w:w="45" w:type="dxa"/>
              <w:start w:w="55" w:type="dxa"/>
              <w:bottom w:w="45" w:type="dxa"/>
              <w:end w:w="55" w:type="dxa"/>
            </w:tcMar>
          </w:tcPr>
          <w:p>
            <w:r>
              <w:rPr>
                <w:sz w:val="18"/>
              </w:rPr>
              <w:t>Late correction window</w:t>
            </w:r>
          </w:p>
        </w:tc>
        <w:tc>
          <w:tcPr>
            <w:tcW w:type="dxa" w:w="4896"/>
            <w:tcMar>
              <w:top w:w="45" w:type="dxa"/>
              <w:start w:w="55" w:type="dxa"/>
              <w:bottom w:w="45" w:type="dxa"/>
              <w:end w:w="55" w:type="dxa"/>
            </w:tcMar>
          </w:tcPr>
          <w:p>
            <w:r>
              <w:rPr>
                <w:sz w:val="18"/>
              </w:rPr>
              <w:t>30 minutes after cut-off</w:t>
            </w:r>
          </w:p>
        </w:tc>
      </w:tr>
      <w:tr>
        <w:tc>
          <w:tcPr>
            <w:tcW w:type="dxa" w:w="4896"/>
            <w:tcMar>
              <w:top w:w="45" w:type="dxa"/>
              <w:start w:w="55" w:type="dxa"/>
              <w:bottom w:w="45" w:type="dxa"/>
              <w:end w:w="55" w:type="dxa"/>
            </w:tcMar>
          </w:tcPr>
          <w:p>
            <w:r>
              <w:rPr>
                <w:sz w:val="18"/>
              </w:rPr>
              <w:t>Acknowledgement of material exception</w:t>
            </w:r>
          </w:p>
        </w:tc>
        <w:tc>
          <w:tcPr>
            <w:tcW w:type="dxa" w:w="4896"/>
            <w:tcMar>
              <w:top w:w="45" w:type="dxa"/>
              <w:start w:w="55" w:type="dxa"/>
              <w:bottom w:w="45" w:type="dxa"/>
              <w:end w:w="55" w:type="dxa"/>
            </w:tcMar>
          </w:tcPr>
          <w:p>
            <w:r>
              <w:rPr>
                <w:sz w:val="18"/>
              </w:rPr>
              <w:t>Within 1 business day</w:t>
            </w:r>
          </w:p>
        </w:tc>
      </w:tr>
    </w:tbl>
    <w:p/>
    <w:p>
      <w:r>
        <w:t>Kindly review the revised arrangements and provide written confirmation by 26 August 2026. Where any provision requires further clarification, please identify the specific section so that the joint team can address it before the readiness briefing.</w:t>
      </w:r>
    </w:p>
    <w:p>
      <w:r>
        <w:t>Yours faithfully,</w:t>
      </w:r>
    </w:p>
    <w:p/>
    <w:p/>
    <w:p>
      <w:r>
        <w:rPr>
          <w:b/>
        </w:rPr>
        <w:t>A. N. TESTUSER</w:t>
      </w:r>
    </w:p>
    <w:p>
      <w:r>
        <w:t>Acting Manager, Operations Coordination</w:t>
      </w:r>
    </w:p>
    <w:p>
      <w:r>
        <w:t>Postbank Test Environment</w:t>
      </w:r>
    </w:p>
    <w:p>
      <w:pPr>
        <w:pStyle w:val="SmallNote"/>
        <w:jc w:val="center"/>
      </w:pPr>
      <w:r>
        <w:rPr>
          <w:i/>
        </w:rPr>
        <w:t>Document status: Revised test version</w:t>
      </w:r>
    </w:p>
    <w:sectPr w:rsidR="00FC693F" w:rsidRPr="0006063C" w:rsidSect="00034616">
      <w:headerReference w:type="default" r:id="rId9"/>
      <w:footerReference w:type="default" r:id="rId10"/>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Synthetic test document - no real customer or institutional data. </w:t>
    </w:r>
    <w:r>
      <w:t>Retention: Delete after validation.</w:t>
    </w:r>
  </w:p>
  <w:p>
    <w:pPr>
      <w:jc w:val="center"/>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24"/>
      </w:rPr>
      <w:t>POSTBANK TEST ENVIRONMENT</w:t>
    </w:r>
  </w:p>
  <w:p>
    <w:pPr>
      <w:pStyle w:val="SmallNote"/>
      <w:jc w:val="center"/>
    </w:pPr>
    <w:r>
      <w:t>Synthetic correspondence for document-comparison testing</w:t>
    </w:r>
  </w:p>
  <w:p>
    <w:pPr>
      <w:pStyle w:val="SmallNote"/>
      <w:jc w:val="right"/>
    </w:pPr>
    <w:r>
      <w:t>Classification: INTERNAL -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