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POSTBANK DOCUMENT COMPARISON TEST LETTER</w:t>
      </w:r>
    </w:p>
    <w:p>
      <w:r>
        <w:t>Reference: PB/TEST/002</w:t>
      </w:r>
    </w:p>
    <w:p>
      <w:r>
        <w:t>Date: 19 August 2026</w:t>
      </w:r>
    </w:p>
    <w:p>
      <w:r>
        <w:t>The following test items require confirmation: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Account review</w:t>
            </w:r>
          </w:p>
        </w:tc>
        <w:tc>
          <w:tcPr>
            <w:tcW w:type="dxa" w:w="2880"/>
          </w:tcPr>
          <w:p>
            <w:r>
              <w:t>REF-101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Address check</w:t>
            </w:r>
          </w:p>
        </w:tc>
        <w:tc>
          <w:tcPr>
            <w:tcW w:type="dxa" w:w="2880"/>
          </w:tcPr>
          <w:p>
            <w:r>
              <w:t>REF-200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Signature check</w:t>
            </w:r>
          </w:p>
        </w:tc>
        <w:tc>
          <w:tcPr>
            <w:tcW w:type="dxa" w:w="2880"/>
          </w:tcPr>
          <w:p>
            <w:r>
              <w:t>REF-300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