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8A5" w:rsidRDefault="0014540A" w:rsidP="0014540A">
      <w:pPr>
        <w:pStyle w:val="Heading1"/>
      </w:pPr>
      <w:r>
        <w:t>HEALTHCONNECT ADVANCED ANALYTICS AND DECISION SUPPORT REPORT</w:t>
      </w:r>
    </w:p>
    <w:p w:rsidR="0014540A" w:rsidRDefault="0014540A" w:rsidP="0014540A">
      <w:pPr>
        <w:pStyle w:val="Heading2"/>
      </w:pPr>
      <w:r>
        <w:t>Executive Summery</w:t>
      </w:r>
    </w:p>
    <w:p w:rsidR="0014540A" w:rsidRDefault="0014540A" w:rsidP="0014540A">
      <w:r>
        <w:t>This report synthesizes</w:t>
      </w:r>
      <w:r w:rsidR="00D644F4">
        <w:t xml:space="preserve"> the advanced analytics workflow using the updated dataset applying refined DAX, data validation and modernized design to drive actionable business decisions.</w:t>
      </w:r>
    </w:p>
    <w:p w:rsidR="00D644F4" w:rsidRDefault="00D644F4" w:rsidP="00D644F4">
      <w:pPr>
        <w:pStyle w:val="Heading2"/>
        <w:numPr>
          <w:ilvl w:val="0"/>
          <w:numId w:val="2"/>
        </w:numPr>
      </w:pPr>
      <w:r>
        <w:t>Advanced Analysis</w:t>
      </w:r>
    </w:p>
    <w:p w:rsidR="00D644F4" w:rsidRDefault="00D644F4" w:rsidP="00D644F4">
      <w:pPr>
        <w:rPr>
          <w:b/>
        </w:rPr>
      </w:pPr>
      <w:r>
        <w:rPr>
          <w:b/>
        </w:rPr>
        <w:t>Wait Time Analysis:</w:t>
      </w:r>
    </w:p>
    <w:p w:rsidR="00D644F4" w:rsidRDefault="00D644F4" w:rsidP="00D644F4">
      <w:r>
        <w:t>Time to event binning where the grouped wait and lead time</w:t>
      </w:r>
      <w:r w:rsidR="00A84E05">
        <w:t xml:space="preserve"> defines the distinct operational windows i.e. &lt;= 15 minutes, 16 – 30 minutes, &gt;30 minutes to evaluate customer experience thresholds. </w:t>
      </w:r>
      <w:r>
        <w:t xml:space="preserve">The majority clinic visits fall within 16 – 30 minutes (Moderate) with a wait window of about 2528 appointments. </w:t>
      </w:r>
      <w:r w:rsidR="00A84E05">
        <w:t>N</w:t>
      </w:r>
      <w:r>
        <w:t xml:space="preserve">o show rate </w:t>
      </w:r>
      <w:r w:rsidR="00A84E05">
        <w:t>remains</w:t>
      </w:r>
      <w:r>
        <w:t xml:space="preserve"> static across wait time which is approximately 47.1% - 49.5% confirming that queue lengths occurs at clinic arrivals and does not drive dynamic advance booking drop offs.</w:t>
      </w:r>
    </w:p>
    <w:p w:rsidR="00A84E05" w:rsidRDefault="00A84E05" w:rsidP="00D644F4">
      <w:pPr>
        <w:rPr>
          <w:b/>
        </w:rPr>
      </w:pPr>
      <w:r>
        <w:rPr>
          <w:b/>
        </w:rPr>
        <w:t>Multivariate Attendance Patterns</w:t>
      </w:r>
    </w:p>
    <w:p w:rsidR="00A84E05" w:rsidRDefault="00A84E05" w:rsidP="00D644F4">
      <w:r>
        <w:t>This is the analyzed interaction effects between reminder channels and scheduling lead times to isolate drivers of dynamic attendance. The multivariate risk tier is as follows:</w:t>
      </w:r>
    </w:p>
    <w:tbl>
      <w:tblPr>
        <w:tblStyle w:val="TableGrid"/>
        <w:tblW w:w="0" w:type="auto"/>
        <w:tblLook w:val="04A0" w:firstRow="1" w:lastRow="0" w:firstColumn="1" w:lastColumn="0" w:noHBand="0" w:noVBand="1"/>
      </w:tblPr>
      <w:tblGrid>
        <w:gridCol w:w="3116"/>
        <w:gridCol w:w="3117"/>
        <w:gridCol w:w="3117"/>
      </w:tblGrid>
      <w:tr w:rsidR="00A84E05" w:rsidTr="00A84E05">
        <w:tc>
          <w:tcPr>
            <w:tcW w:w="3116" w:type="dxa"/>
          </w:tcPr>
          <w:p w:rsidR="00A84E05" w:rsidRDefault="00A84E05" w:rsidP="00D644F4">
            <w:r>
              <w:t>Risk Tier</w:t>
            </w:r>
          </w:p>
        </w:tc>
        <w:tc>
          <w:tcPr>
            <w:tcW w:w="3117" w:type="dxa"/>
          </w:tcPr>
          <w:p w:rsidR="00A84E05" w:rsidRDefault="00A84E05" w:rsidP="00D644F4">
            <w:r>
              <w:t>Attendance Rate (%)</w:t>
            </w:r>
          </w:p>
        </w:tc>
        <w:tc>
          <w:tcPr>
            <w:tcW w:w="3117" w:type="dxa"/>
          </w:tcPr>
          <w:p w:rsidR="00A84E05" w:rsidRDefault="00A84E05" w:rsidP="00D644F4">
            <w:r>
              <w:t>No Show Rate (%)</w:t>
            </w:r>
          </w:p>
        </w:tc>
      </w:tr>
      <w:tr w:rsidR="00A84E05" w:rsidTr="00A84E05">
        <w:tc>
          <w:tcPr>
            <w:tcW w:w="3116" w:type="dxa"/>
          </w:tcPr>
          <w:p w:rsidR="00A84E05" w:rsidRDefault="00A84E05" w:rsidP="00D644F4">
            <w:r>
              <w:t>Low Risk Patients</w:t>
            </w:r>
          </w:p>
        </w:tc>
        <w:tc>
          <w:tcPr>
            <w:tcW w:w="3117" w:type="dxa"/>
          </w:tcPr>
          <w:p w:rsidR="00A84E05" w:rsidRDefault="00A84E05" w:rsidP="00A84E05">
            <w:r>
              <w:t>63.7</w:t>
            </w:r>
          </w:p>
        </w:tc>
        <w:tc>
          <w:tcPr>
            <w:tcW w:w="3117" w:type="dxa"/>
          </w:tcPr>
          <w:p w:rsidR="00A84E05" w:rsidRDefault="00A84E05" w:rsidP="00A84E05">
            <w:r>
              <w:t>31.4</w:t>
            </w:r>
          </w:p>
        </w:tc>
      </w:tr>
      <w:tr w:rsidR="00A84E05" w:rsidTr="00A84E05">
        <w:tc>
          <w:tcPr>
            <w:tcW w:w="3116" w:type="dxa"/>
          </w:tcPr>
          <w:p w:rsidR="00A84E05" w:rsidRDefault="00A84E05" w:rsidP="00D644F4">
            <w:r>
              <w:t>Medium Risk Patients</w:t>
            </w:r>
          </w:p>
        </w:tc>
        <w:tc>
          <w:tcPr>
            <w:tcW w:w="3117" w:type="dxa"/>
          </w:tcPr>
          <w:p w:rsidR="00A84E05" w:rsidRDefault="00A84E05" w:rsidP="00D644F4">
            <w:r>
              <w:t>54.1</w:t>
            </w:r>
          </w:p>
        </w:tc>
        <w:tc>
          <w:tcPr>
            <w:tcW w:w="3117" w:type="dxa"/>
          </w:tcPr>
          <w:p w:rsidR="00A84E05" w:rsidRDefault="00A84E05" w:rsidP="00A84E05">
            <w:r>
              <w:t>40.4</w:t>
            </w:r>
          </w:p>
        </w:tc>
      </w:tr>
      <w:tr w:rsidR="00A84E05" w:rsidTr="00A84E05">
        <w:tc>
          <w:tcPr>
            <w:tcW w:w="3116" w:type="dxa"/>
          </w:tcPr>
          <w:p w:rsidR="00A84E05" w:rsidRDefault="00A84E05" w:rsidP="00D644F4">
            <w:r>
              <w:t>High Risk Patients</w:t>
            </w:r>
          </w:p>
        </w:tc>
        <w:tc>
          <w:tcPr>
            <w:tcW w:w="3117" w:type="dxa"/>
          </w:tcPr>
          <w:p w:rsidR="00A84E05" w:rsidRDefault="00A84E05" w:rsidP="00D644F4">
            <w:r>
              <w:t>35.2</w:t>
            </w:r>
          </w:p>
        </w:tc>
        <w:tc>
          <w:tcPr>
            <w:tcW w:w="3117" w:type="dxa"/>
          </w:tcPr>
          <w:p w:rsidR="00A84E05" w:rsidRDefault="00A84E05" w:rsidP="00D644F4">
            <w:r>
              <w:t>59.5</w:t>
            </w:r>
          </w:p>
        </w:tc>
      </w:tr>
    </w:tbl>
    <w:p w:rsidR="00A84E05" w:rsidRDefault="00F364DC" w:rsidP="00D644F4">
      <w:r>
        <w:t xml:space="preserve"> The anomaly trend auditing is applied to a rolling 7 day averages to remove intraweek seasonality and isolate underlying baseline operational shifts.</w:t>
      </w:r>
    </w:p>
    <w:p w:rsidR="00F364DC" w:rsidRDefault="00F364DC" w:rsidP="00F364DC">
      <w:pPr>
        <w:pStyle w:val="Heading2"/>
        <w:numPr>
          <w:ilvl w:val="0"/>
          <w:numId w:val="2"/>
        </w:numPr>
      </w:pPr>
      <w:r>
        <w:t>Validated Findings</w:t>
      </w:r>
    </w:p>
    <w:p w:rsidR="00F364DC" w:rsidRDefault="00F364DC" w:rsidP="00F364DC">
      <w:pPr>
        <w:rPr>
          <w:b/>
        </w:rPr>
      </w:pPr>
      <w:r>
        <w:rPr>
          <w:b/>
        </w:rPr>
        <w:t>Operational Bottlenecks:</w:t>
      </w:r>
    </w:p>
    <w:p w:rsidR="00F364DC" w:rsidRDefault="00F364DC" w:rsidP="00F364DC">
      <w:r>
        <w:t>The peak queue times and operational delays correlate with specific intraweek time window rather than overall daily volumes. The Bottlenecks are categorized as critical, midweek and fastest flow.</w:t>
      </w:r>
    </w:p>
    <w:p w:rsidR="00F364DC" w:rsidRDefault="00F364DC" w:rsidP="00F364DC">
      <w:r>
        <w:t>Critical Bottlenecks: Sunday Evenings experience the longest severe queue delays peaking at an average wait time of 26.2 minutes.</w:t>
      </w:r>
    </w:p>
    <w:p w:rsidR="00F364DC" w:rsidRDefault="00F364DC" w:rsidP="00F364DC">
      <w:r>
        <w:t>Mid-week Bottleneck: Wednesdays in general mai</w:t>
      </w:r>
      <w:r w:rsidR="00A04E09">
        <w:t>ntain a sustained high delays ra</w:t>
      </w:r>
      <w:r>
        <w:t>nging from 24.8 minutes to 28.8 minutes</w:t>
      </w:r>
      <w:r w:rsidR="00A04E09">
        <w:t>.</w:t>
      </w:r>
    </w:p>
    <w:p w:rsidR="005244BA" w:rsidRDefault="00A04E09" w:rsidP="00F364DC">
      <w:r>
        <w:t>Fastest Flow: Friday evenings (22.4 minutes) and Monday mornings (22.5 minutes) repres</w:t>
      </w:r>
      <w:r w:rsidR="005244BA">
        <w:t>enting target queue efficiency.</w:t>
      </w:r>
    </w:p>
    <w:p w:rsidR="005244BA" w:rsidRDefault="005244BA" w:rsidP="00F364DC"/>
    <w:p w:rsidR="005244BA" w:rsidRDefault="005244BA" w:rsidP="00F364DC"/>
    <w:p w:rsidR="005244BA" w:rsidRDefault="005244BA" w:rsidP="00F364DC"/>
    <w:p w:rsidR="00A04E09" w:rsidRPr="005244BA" w:rsidRDefault="00A04E09" w:rsidP="00F364DC">
      <w:r>
        <w:rPr>
          <w:b/>
        </w:rPr>
        <w:lastRenderedPageBreak/>
        <w:t>Channel Impact Disparity:</w:t>
      </w:r>
    </w:p>
    <w:p w:rsidR="005244BA" w:rsidRDefault="005244BA" w:rsidP="00F364DC">
      <w:r>
        <w:t>Direct messaging(SMS) is proved to be effective with an attendance rate of 49.6% and no show rate of 45.75% compared to email which is at 46.53% (attendance rate) and 48.41% (no show rate). Direct messaging (SMS) has a higher conversion rate compared to email.</w:t>
      </w:r>
    </w:p>
    <w:p w:rsidR="00010128" w:rsidRDefault="00010128" w:rsidP="00010128">
      <w:pPr>
        <w:pStyle w:val="Heading2"/>
        <w:numPr>
          <w:ilvl w:val="0"/>
          <w:numId w:val="2"/>
        </w:numPr>
      </w:pPr>
      <w:r>
        <w:t>Refined KPIs</w:t>
      </w:r>
    </w:p>
    <w:p w:rsidR="00010128" w:rsidRDefault="00010128" w:rsidP="00010128">
      <w:r>
        <w:rPr>
          <w:b/>
        </w:rPr>
        <w:t xml:space="preserve">Attendance Rate: </w:t>
      </w:r>
      <w:r>
        <w:t>this is the standardized metric measuring scheduled event completion relative to total capacity</w:t>
      </w:r>
    </w:p>
    <w:p w:rsidR="00010128" w:rsidRDefault="00010128" w:rsidP="00010128">
      <w:r>
        <w:rPr>
          <w:b/>
        </w:rPr>
        <w:t xml:space="preserve">No show rate: </w:t>
      </w:r>
      <w:r>
        <w:t>this is the measure of missed commitments to evaluate operational leakage.</w:t>
      </w:r>
    </w:p>
    <w:p w:rsidR="00632409" w:rsidRDefault="00632409" w:rsidP="00010128">
      <w:r>
        <w:rPr>
          <w:b/>
        </w:rPr>
        <w:t xml:space="preserve">Average wait time: </w:t>
      </w:r>
      <w:r>
        <w:t>this shows the</w:t>
      </w:r>
      <w:r w:rsidR="005638D3">
        <w:t xml:space="preserve"> average time spend by the patients waiting to be attended to.</w:t>
      </w:r>
    </w:p>
    <w:p w:rsidR="005638D3" w:rsidRDefault="005638D3" w:rsidP="005638D3">
      <w:pPr>
        <w:pStyle w:val="Heading2"/>
        <w:numPr>
          <w:ilvl w:val="0"/>
          <w:numId w:val="2"/>
        </w:numPr>
      </w:pPr>
      <w:r>
        <w:t>Updated Visuals</w:t>
      </w:r>
    </w:p>
    <w:p w:rsidR="005638D3" w:rsidRDefault="005638D3" w:rsidP="005638D3">
      <w:r>
        <w:t>Trend and anomaly tracker. The use of an area chart to feature 7 – day rolling average trends alongside target threshold reference lines.</w:t>
      </w:r>
    </w:p>
    <w:p w:rsidR="005638D3" w:rsidRDefault="005638D3" w:rsidP="005638D3">
      <w:r>
        <w:t>Other visuals described are the ones on multivariate risk tier, reminder channel effectiveness, daily volume vs queue delays, wait time analysis</w:t>
      </w:r>
      <w:r w:rsidR="00F501A7">
        <w:t xml:space="preserve"> and the no show rate vs appointment day.</w:t>
      </w:r>
    </w:p>
    <w:p w:rsidR="00B450BE" w:rsidRDefault="00B450BE" w:rsidP="00B450BE">
      <w:pPr>
        <w:pStyle w:val="Heading2"/>
        <w:numPr>
          <w:ilvl w:val="0"/>
          <w:numId w:val="2"/>
        </w:numPr>
      </w:pPr>
      <w:r>
        <w:t>Evidence based insights</w:t>
      </w:r>
    </w:p>
    <w:p w:rsidR="00B450BE" w:rsidRDefault="00B450BE" w:rsidP="00B450BE">
      <w:r>
        <w:t>Peak bottleneck window: daily spikes occur periodically during midweek time slots where the volume exceeds staff allocation.</w:t>
      </w:r>
    </w:p>
    <w:p w:rsidR="00B450BE" w:rsidRDefault="00B450BE" w:rsidP="00B450BE">
      <w:r>
        <w:t>Direct automated messaging (SMS) yields a higher conversion rate compared to other digital reminder channels like the emails.</w:t>
      </w:r>
    </w:p>
    <w:p w:rsidR="00B450BE" w:rsidRDefault="00B450BE" w:rsidP="00B450BE">
      <w:pPr>
        <w:pStyle w:val="Heading2"/>
        <w:numPr>
          <w:ilvl w:val="0"/>
          <w:numId w:val="2"/>
        </w:numPr>
      </w:pPr>
      <w:r>
        <w:t>Business Recommendations</w:t>
      </w:r>
    </w:p>
    <w:p w:rsidR="00B450BE" w:rsidRDefault="00B450BE" w:rsidP="00B450BE">
      <w:r>
        <w:t>Dynamic resource allocation by shifting workforce scheduling to overlap midweek peak windows to flatten queue times and preserve conversion rates.</w:t>
      </w:r>
    </w:p>
    <w:p w:rsidR="00B450BE" w:rsidRDefault="00B450BE" w:rsidP="00B450BE">
      <w:r>
        <w:t>Automated direct outreach by migrating standard notification workflows to direct channels to maximize retention and lower the drop off rates.</w:t>
      </w:r>
    </w:p>
    <w:p w:rsidR="00B450BE" w:rsidRDefault="00B450BE" w:rsidP="00B450BE">
      <w:r>
        <w:t>Enforce dynamic maximum booking caps during peak hours to prevent quality-of-service degradation.</w:t>
      </w:r>
    </w:p>
    <w:p w:rsidR="00B450BE" w:rsidRDefault="00881E83" w:rsidP="00881E83">
      <w:pPr>
        <w:pStyle w:val="Heading2"/>
        <w:numPr>
          <w:ilvl w:val="0"/>
          <w:numId w:val="2"/>
        </w:numPr>
      </w:pPr>
      <w:r>
        <w:t>Data Limitations</w:t>
      </w:r>
    </w:p>
    <w:p w:rsidR="00881E83" w:rsidRDefault="00881E83" w:rsidP="00881E83">
      <w:r>
        <w:t>Historical field sparsity where the data contain missing values in secondary demographic fields which restricts multi-year deep segment analysis.</w:t>
      </w:r>
    </w:p>
    <w:p w:rsidR="00881E83" w:rsidRDefault="00881E83" w:rsidP="00881E83">
      <w:r>
        <w:t>The dataset lacks external data like the external macroeconomic trends and local competitor disruptions that can be used to understand how external factors contribute to the churn rate.</w:t>
      </w:r>
    </w:p>
    <w:p w:rsidR="00881E83" w:rsidRDefault="00881E83" w:rsidP="00881E83">
      <w:pPr>
        <w:pStyle w:val="Heading2"/>
        <w:numPr>
          <w:ilvl w:val="0"/>
          <w:numId w:val="2"/>
        </w:numPr>
      </w:pPr>
      <w:r>
        <w:t>Cross – Track Contribution</w:t>
      </w:r>
    </w:p>
    <w:p w:rsidR="00E33431" w:rsidRDefault="00E33431" w:rsidP="00E33431">
      <w:r>
        <w:t>An end to end operational road map integrated the data analytics track (descriptive and diagnostic power bi visuals) with the data science track (predictive machine learning classification models) for the HealthConnect project.</w:t>
      </w:r>
    </w:p>
    <w:p w:rsidR="00E33431" w:rsidRPr="00E33431" w:rsidRDefault="00E33431" w:rsidP="00E33431"/>
    <w:p w:rsidR="00881E83" w:rsidRPr="00881E83" w:rsidRDefault="00881E83" w:rsidP="00881E83">
      <w:pPr>
        <w:pStyle w:val="Heading2"/>
        <w:numPr>
          <w:ilvl w:val="0"/>
          <w:numId w:val="2"/>
        </w:numPr>
      </w:pPr>
      <w:r>
        <w:lastRenderedPageBreak/>
        <w:t>Week 7 analytical testing requirements</w:t>
      </w:r>
    </w:p>
    <w:p w:rsidR="00B450BE" w:rsidRDefault="00881E83" w:rsidP="00E33431">
      <w:pPr>
        <w:pStyle w:val="ListParagraph"/>
        <w:numPr>
          <w:ilvl w:val="0"/>
          <w:numId w:val="3"/>
        </w:numPr>
      </w:pPr>
      <w:r>
        <w:t>Hypothesis validation: execute two sample tests on pilot interventions to statistically verify queue length improvements.</w:t>
      </w:r>
    </w:p>
    <w:p w:rsidR="00881E83" w:rsidRDefault="00881E83" w:rsidP="00E33431">
      <w:pPr>
        <w:pStyle w:val="ListParagraph"/>
        <w:numPr>
          <w:ilvl w:val="0"/>
          <w:numId w:val="3"/>
        </w:numPr>
      </w:pPr>
      <w:r>
        <w:t>Predictive no – show model: deploy a binary classification model in python to score active user churn risk within the power bi.</w:t>
      </w:r>
    </w:p>
    <w:p w:rsidR="00881E83" w:rsidRDefault="00881E83" w:rsidP="00E33431">
      <w:pPr>
        <w:pStyle w:val="ListParagraph"/>
        <w:numPr>
          <w:ilvl w:val="0"/>
          <w:numId w:val="3"/>
        </w:numPr>
      </w:pPr>
      <w:r>
        <w:t>Run controlled experiments comparing engagement conversion across notification intervals (</w:t>
      </w:r>
      <w:r w:rsidR="00371A55">
        <w:t>24-hour</w:t>
      </w:r>
      <w:r>
        <w:t xml:space="preserve"> Vs 48 </w:t>
      </w:r>
      <w:r w:rsidR="00371A55">
        <w:t>-</w:t>
      </w:r>
      <w:r>
        <w:t xml:space="preserve">hour prior). </w:t>
      </w:r>
    </w:p>
    <w:p w:rsidR="00881E83" w:rsidRDefault="00881E83" w:rsidP="00B450BE"/>
    <w:p w:rsidR="00881E83" w:rsidRPr="00B450BE" w:rsidRDefault="00881E83" w:rsidP="00B450BE">
      <w:bookmarkStart w:id="0" w:name="_GoBack"/>
      <w:bookmarkEnd w:id="0"/>
    </w:p>
    <w:p w:rsidR="00632409" w:rsidRPr="00010128" w:rsidRDefault="00632409" w:rsidP="00010128"/>
    <w:sectPr w:rsidR="00632409" w:rsidRPr="00010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2B29DB"/>
    <w:multiLevelType w:val="hybridMultilevel"/>
    <w:tmpl w:val="0902D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12305B"/>
    <w:multiLevelType w:val="hybridMultilevel"/>
    <w:tmpl w:val="B8CCE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91103C"/>
    <w:multiLevelType w:val="hybridMultilevel"/>
    <w:tmpl w:val="E23460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40A"/>
    <w:rsid w:val="00010128"/>
    <w:rsid w:val="0014540A"/>
    <w:rsid w:val="00371A55"/>
    <w:rsid w:val="005244BA"/>
    <w:rsid w:val="005638D3"/>
    <w:rsid w:val="00632409"/>
    <w:rsid w:val="00881E83"/>
    <w:rsid w:val="00A04E09"/>
    <w:rsid w:val="00A84E05"/>
    <w:rsid w:val="00B450BE"/>
    <w:rsid w:val="00D644F4"/>
    <w:rsid w:val="00E33431"/>
    <w:rsid w:val="00E458A5"/>
    <w:rsid w:val="00F364DC"/>
    <w:rsid w:val="00F50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D5E0"/>
  <w15:chartTrackingRefBased/>
  <w15:docId w15:val="{B0EA19CA-85AD-4B9D-872C-219D34935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54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454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40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4540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644F4"/>
    <w:pPr>
      <w:ind w:left="720"/>
      <w:contextualSpacing/>
    </w:pPr>
  </w:style>
  <w:style w:type="table" w:styleId="TableGrid">
    <w:name w:val="Table Grid"/>
    <w:basedOn w:val="TableNormal"/>
    <w:uiPriority w:val="39"/>
    <w:rsid w:val="00A84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2026-09-13T03:10:00Z</dcterms:created>
  <dcterms:modified xsi:type="dcterms:W3CDTF">2026-09-13T14:22:00Z</dcterms:modified>
</cp:coreProperties>
</file>