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//May 3rd,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//Unit Five Objects Coding 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Plant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type;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int height;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String colour;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boolean edible;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boolean perennial;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CONSTRUCTOR METHODS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Plant(String t, int h, String c, boolean e, boolean 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this.type=t;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this.height=h;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this.colour=c;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this.edible=e;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this.perennial=p;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Plant(String t, String 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this.type=t;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this.height=0;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this.colour=c;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this.edible=false;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this.perennial=true;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Plant(String t, boolean e, boolean 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this.type=t;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this.height=0;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this.colour="green";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this.edible=e;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this.perennial=p;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 INSTANCE METHODS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void grow(int mod)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this.height+=mod;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printInfo()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System.out.println("The " + this.type + " plant is a " + this.height + "cm tall, " + colour + " plant.\nEdible: " + edible + " Perennial: " + perennial);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void eat()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if(this.edible)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System.out.println("Eat " + this.type);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System.out.println("Don't eat " + this.type);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 CLASS METHODS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static Plant taller(Plant a, Plant b)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if(a.height&gt;b.height)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else if(a.height&lt;b.height)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return b;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 The two plants are the same height.\nThe first plant was returned by default.");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return 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static boolean colourMatch(Plant a, Plant b)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if(a.colour.equalsIgnoreCase(b.colour))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ACCESSOR METHODS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String getType()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return type;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int getHeight()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return height;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String getColour()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return colour;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public boolean isEdible()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edible;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boolean isPerennial()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return perennial;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 MUTATOR METHODS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void setType(String type)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this.type = type;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public void setHeight(int height)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this.height = height;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public void setColour(String colour)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this.colour = colour;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public void setEdible(boolean edible)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this.edible = edible;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public void setPerennial(boolean perennial)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this.perennial = perennial;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