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ERP OS — Frequently Asked Questions</w:t>
      </w:r>
    </w:p>
    <w:p>
      <w:pPr>
        <w:spacing w:after="120"/>
      </w:pPr>
      <w:r>
        <w:t xml:space="preserve">This document answers the questions we hear most often from prospective customers. If you have a question that is not covered here, please reach out to our team.</w:t>
      </w:r>
    </w:p>
    <w:p>
      <w:r>
        <w:br w:type="page"/>
      </w:r>
    </w:p>
    <w:p>
      <w:pPr>
        <w:pStyle w:val="Heading1"/>
      </w:pPr>
      <w:r>
        <w:t xml:space="preserve">A. Data Security &amp; Compliance</w:t>
      </w:r>
    </w:p>
    <w:p>
      <w:pPr>
        <w:pStyle w:val="Heading3"/>
      </w:pPr>
      <w:r>
        <w:t xml:space="preserve">Q1. Where is our data stored, and who can access it?</w:t>
      </w:r>
    </w:p>
    <w:p>
      <w:pPr>
        <w:spacing w:after="120"/>
      </w:pPr>
      <w:r>
        <w:t xml:space="preserve">Your data is hosted on a Malaysia-based VPS with daily encrypted backups. Access is limited to authorised users in your organisation through role-based permissions (Admin, Manager, Sales, Purchaser), and our engineers can only access production data with your written approval for incident response.</w:t>
      </w:r>
    </w:p>
    <w:p>
      <w:pPr>
        <w:pStyle w:val="Heading3"/>
      </w:pPr>
      <w:r>
        <w:t xml:space="preserve">Q2. Are you compliant with the latest LHDN MyInvois rules?</w:t>
      </w:r>
    </w:p>
    <w:p>
      <w:pPr>
        <w:spacing w:after="120"/>
      </w:pPr>
      <w:r>
        <w:t xml:space="preserve">Yes. We track LHDN announcements actively and ship updates whenever the specification changes. Our e-Invoice module covers TIN format, MSIC codes, SST classifications, the 72-hour rejection window, Consolidated Invoices, and Credit Notes.</w:t>
      </w:r>
    </w:p>
    <w:p>
      <w:pPr>
        <w:pStyle w:val="Heading3"/>
      </w:pPr>
      <w:r>
        <w:t xml:space="preserve">Q3. How fast do you push updates when LHDN changes the rules?</w:t>
      </w:r>
    </w:p>
    <w:p>
      <w:pPr>
        <w:spacing w:after="120"/>
      </w:pPr>
      <w:r>
        <w:t xml:space="preserve">Critical compliance changes are released within 5 working days of an official LHDN announcement. Non-critical clarifications are bundled into our regular monthly release.</w:t>
      </w:r>
    </w:p>
    <w:p>
      <w:pPr>
        <w:pStyle w:val="Heading3"/>
      </w:pPr>
      <w:r>
        <w:t xml:space="preserve">Q4. What is your backup and disaster recovery policy?</w:t>
      </w:r>
    </w:p>
    <w:p>
      <w:pPr>
        <w:spacing w:after="120"/>
      </w:pPr>
      <w:r>
        <w:t xml:space="preserve">Daily automated database dumps are retained for 7 days, with weekly snapshots kept for one month. Backups are encrypted and stored separately from the production server. Restore drills are run quarterly.</w:t>
      </w:r>
    </w:p>
    <w:p>
      <w:pPr>
        <w:pStyle w:val="Heading1"/>
      </w:pPr>
      <w:r>
        <w:t xml:space="preserve">B. Pricing &amp; Commercials</w:t>
      </w:r>
    </w:p>
    <w:p>
      <w:pPr>
        <w:pStyle w:val="Heading3"/>
      </w:pPr>
      <w:r>
        <w:t xml:space="preserve">Q5. How is pricing calculated? Per user or per company size?</w:t>
      </w:r>
    </w:p>
    <w:p>
      <w:pPr>
        <w:spacing w:after="120"/>
      </w:pPr>
      <w:r>
        <w:t xml:space="preserve">We charge a one-off implementation fee plus an annual subscription based on the number of named users. There are no hidden fees for storage or basic AI usage within the standard quota.</w:t>
      </w:r>
    </w:p>
    <w:p>
      <w:pPr>
        <w:pStyle w:val="Heading3"/>
      </w:pPr>
      <w:r>
        <w:t xml:space="preserve">Q6. What is included in the implementation fee?</w:t>
      </w:r>
    </w:p>
    <w:p>
      <w:pPr>
        <w:spacing w:after="120"/>
      </w:pPr>
      <w:r>
        <w:t xml:space="preserve">Implementation covers data migration support, master data setup (SKUs, suppliers, customers), user training (two sessions), and one month of post-launch hyper-care. Customisation outside the standard scope is quoted separately.</w:t>
      </w:r>
    </w:p>
    <w:p>
      <w:pPr>
        <w:pStyle w:val="Heading3"/>
      </w:pPr>
      <w:r>
        <w:t xml:space="preserve">Q7. How long does it take to go live?</w:t>
      </w:r>
    </w:p>
    <w:p>
      <w:pPr>
        <w:spacing w:after="120"/>
      </w:pPr>
      <w:r>
        <w:t xml:space="preserve">A standard rollout takes 2 to 4 weeks depending on data readiness and the number of warehouses. We can run a live pilot on a single warehouse within the first week.</w:t>
      </w:r>
    </w:p>
    <w:p>
      <w:pPr>
        <w:pStyle w:val="Heading3"/>
      </w:pPr>
      <w:r>
        <w:t xml:space="preserve">Q8. Is there a trial period?</w:t>
      </w:r>
    </w:p>
    <w:p>
      <w:pPr>
        <w:spacing w:after="120"/>
      </w:pPr>
      <w:r>
        <w:t xml:space="preserve">Yes. We offer a 14-day free trial on our cloud demo environment with sample data, and a 30-day money-back window after paid go-live if the system does not meet the agreed acceptance criteria.</w:t>
      </w:r>
    </w:p>
    <w:p>
      <w:pPr>
        <w:pStyle w:val="Heading1"/>
      </w:pPr>
      <w:r>
        <w:t xml:space="preserve">C. AI Features</w:t>
      </w:r>
    </w:p>
    <w:p>
      <w:pPr>
        <w:pStyle w:val="Heading3"/>
      </w:pPr>
      <w:r>
        <w:t xml:space="preserve">Q9. How accurate is the AI? Who is responsible if OCR gets it wrong?</w:t>
      </w:r>
    </w:p>
    <w:p>
      <w:pPr>
        <w:spacing w:after="120"/>
      </w:pPr>
      <w:r>
        <w:t xml:space="preserve">Our invoice OCR is around 92 to 95 percent accurate on clear scans. Every AI-extracted field is editable before posting, and a human must confirm the document. The user posting the document remains the system of record.</w:t>
      </w:r>
    </w:p>
    <w:p>
      <w:pPr>
        <w:pStyle w:val="Heading3"/>
      </w:pPr>
      <w:r>
        <w:t xml:space="preserve">Q10. Who pays for the AI usage cost?</w:t>
      </w:r>
    </w:p>
    <w:p>
      <w:pPr>
        <w:spacing w:after="120"/>
      </w:pPr>
      <w:r>
        <w:t xml:space="preserve">Each subscription tier includes a generous monthly AI quota that covers normal SME usage. Overage is billed transparently at cost plus a small margin, and you can cap usage at the organisation level.</w:t>
      </w:r>
    </w:p>
    <w:p>
      <w:pPr>
        <w:pStyle w:val="Heading3"/>
      </w:pPr>
      <w:r>
        <w:t xml:space="preserve">Q11. Can we turn off AI features if we do not want to use them?</w:t>
      </w:r>
    </w:p>
    <w:p>
      <w:pPr>
        <w:spacing w:after="120"/>
      </w:pPr>
      <w:r>
        <w:t xml:space="preserve">Yes. AI can be disabled at three layers: globally (system), at the organisation level (master switch), or per individual feature (OCR, e-Invoice precheck, dashboard summary). All workflows have a non-AI fallback.</w:t>
      </w:r>
    </w:p>
    <w:p>
      <w:pPr>
        <w:pStyle w:val="Heading3"/>
      </w:pPr>
      <w:r>
        <w:t xml:space="preserve">Q12. Will you use our data to train AI models?</w:t>
      </w:r>
    </w:p>
    <w:p>
      <w:pPr>
        <w:spacing w:after="120"/>
      </w:pPr>
      <w:r>
        <w:t xml:space="preserve">No. We do not use customer data to train models. We call the Anthropic Claude API with zero-retention enterprise terms, and prompts are scrubbed of unnecessary identifiers before transmission.</w:t>
      </w:r>
    </w:p>
    <w:p>
      <w:pPr>
        <w:pStyle w:val="Heading1"/>
      </w:pPr>
      <w:r>
        <w:t xml:space="preserve">D. Integration &amp; Migration</w:t>
      </w:r>
    </w:p>
    <w:p>
      <w:pPr>
        <w:pStyle w:val="Heading3"/>
      </w:pPr>
      <w:r>
        <w:t xml:space="preserve">Q13. Can we migrate from our existing system, such as SQL Account or AutoCount?</w:t>
      </w:r>
    </w:p>
    <w:p>
      <w:pPr>
        <w:spacing w:after="120"/>
      </w:pPr>
      <w:r>
        <w:t xml:space="preserve">Yes. We provide CSV and Excel import templates for masters (SKU, supplier, customer, opening balance) and offer paid migration support for transactional history if required. A typical migration takes 3 to 7 working days.</w:t>
      </w:r>
    </w:p>
    <w:p>
      <w:pPr>
        <w:pStyle w:val="Heading3"/>
      </w:pPr>
      <w:r>
        <w:t xml:space="preserve">Q14. Do you offer a public API?</w:t>
      </w:r>
    </w:p>
    <w:p>
      <w:pPr>
        <w:spacing w:after="120"/>
      </w:pPr>
      <w:r>
        <w:t xml:space="preserve">Yes. Every backend endpoint is published as an OpenAPI specification and a typed TypeScript client is generated automatically. API keys are issued per integration with scoped permissions.</w:t>
      </w:r>
    </w:p>
    <w:p>
      <w:pPr>
        <w:pStyle w:val="Heading3"/>
      </w:pPr>
      <w:r>
        <w:t xml:space="preserve">Q15. Can you integrate with e-commerce platforms like Shopee or Lazada?</w:t>
      </w:r>
    </w:p>
    <w:p>
      <w:pPr>
        <w:spacing w:after="120"/>
      </w:pPr>
      <w:r>
        <w:t xml:space="preserve">Direct connectors are on our roadmap. Today we support order import via CSV and offer a webhook endpoint that integration partners can use. We can scope a custom connector as a paid add-on.</w:t>
      </w:r>
    </w:p>
    <w:p>
      <w:pPr>
        <w:pStyle w:val="Heading1"/>
      </w:pPr>
      <w:r>
        <w:t xml:space="preserve">E. Support &amp; After-Sales</w:t>
      </w:r>
    </w:p>
    <w:p>
      <w:pPr>
        <w:pStyle w:val="Heading3"/>
      </w:pPr>
      <w:r>
        <w:t xml:space="preserve">Q16. What is your support response time commitment?</w:t>
      </w:r>
    </w:p>
    <w:p>
      <w:pPr>
        <w:spacing w:after="120"/>
      </w:pPr>
      <w:r>
        <w:t xml:space="preserve">Standard support responds within one business day. Priority support, included in the Business tier, responds within 4 working hours during business days for severity 1 and 2 issues.</w:t>
      </w:r>
    </w:p>
    <w:p>
      <w:pPr>
        <w:pStyle w:val="Heading3"/>
      </w:pPr>
      <w:r>
        <w:t xml:space="preserve">Q17. What happens if the system goes down? What is your SLA?</w:t>
      </w:r>
    </w:p>
    <w:p>
      <w:pPr>
        <w:spacing w:after="120"/>
      </w:pPr>
      <w:r>
        <w:t xml:space="preserve">Our cloud SLA is 99.5 percent monthly uptime, with service credits if we miss it. We monitor uptime with UptimeRobot and run health checks on every container, and we publish a public status page.</w:t>
      </w:r>
    </w:p>
    <w:p>
      <w:pPr>
        <w:pStyle w:val="Heading3"/>
      </w:pPr>
      <w:r>
        <w:t xml:space="preserve">Q18. Can the system be deployed on-premises rather than on the cloud?</w:t>
      </w:r>
    </w:p>
    <w:p>
      <w:pPr>
        <w:spacing w:after="120"/>
      </w:pPr>
      <w:r>
        <w:t xml:space="preserve">Yes. Because the entire stack ships as docker-compose, we can deploy on a customer-owned server. On-premise deployments are quoted separately and require an annual maintenance contract.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ERP 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2026-05-11T03:11:00.710Z</dcterms:created>
  <dcterms:modified xsi:type="dcterms:W3CDTF">2026-05-11T03:11:00.711Z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