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10" w:before="0"/>
        <w:jc w:val="center"/>
      </w:pPr>
      <w:r>
        <w:rPr>
          <w:rFonts w:ascii="Georgia" w:cs="Georgia" w:eastAsia="Georgia" w:hAnsi="Georgia"/>
          <w:b/>
          <w:bCs/>
          <w:color w:val="CC0000"/>
          <w:sz w:val="36"/>
          <w:szCs w:val="36"/>
        </w:rPr>
        <w:t xml:space="preserve">SAVEETHA ENGINEERING COLLEGE</w:t>
      </w:r>
    </w:p>
    <w:p>
      <w:pPr>
        <w:pBdr>
          <w:bottom w:val="single" w:color="CC0000" w:sz="4" w:space="6"/>
        </w:pBdr>
        <w:spacing w:after="20" w:before="0"/>
        <w:jc w:val="center"/>
      </w:pPr>
      <w:r>
        <w:rPr>
          <w:rFonts w:ascii="Calibri" w:cs="Calibri" w:eastAsia="Calibri" w:hAnsi="Calibri"/>
          <w:i/>
          <w:iCs/>
          <w:color w:val="FFF0F0"/>
          <w:sz w:val="22"/>
          <w:szCs w:val="22"/>
        </w:rPr>
        <w:t xml:space="preserve">Department of Electronics &amp; Communication Engineering (ECE)</w:t>
      </w:r>
    </w:p>
    <w:p>
      <w:pPr>
        <w:spacing w:after="0" w:before="0"/>
      </w:pPr>
      <w:r>
        <w:t xml:space="preserve"/>
      </w:r>
    </w:p>
    <w:p>
      <w:pPr>
        <w:spacing w:after="0" w:before="0"/>
      </w:pPr>
      <w:r>
        <w:t xml:space="preserve"/>
      </w:r>
    </w:p>
    <w:p>
      <w:pPr>
        <w:spacing w:after="0" w:before="0"/>
      </w:pPr>
      <w:r>
        <w:t xml:space="preserve"/>
      </w:r>
    </w:p>
    <w:p>
      <w:pPr>
        <w:spacing w:after="30" w:before="0"/>
        <w:jc w:val="center"/>
      </w:pPr>
      <w:r>
        <w:rPr>
          <w:rFonts w:ascii="Georgia" w:cs="Georgia" w:eastAsia="Georgia" w:hAnsi="Georgia"/>
          <w:b/>
          <w:bCs/>
          <w:color w:val="CC0000"/>
          <w:sz w:val="56"/>
          <w:szCs w:val="56"/>
        </w:rPr>
        <w:t xml:space="preserve">FUNDAMENTALS OF GENERATIVE AI</w:t>
      </w:r>
    </w:p>
    <w:p>
      <w:pPr>
        <w:spacing w:after="30" w:before="0"/>
        <w:jc w:val="center"/>
      </w:pPr>
      <w:r>
        <w:rPr>
          <w:rFonts w:ascii="Georgia" w:cs="Georgia" w:eastAsia="Georgia" w:hAnsi="Georgia"/>
          <w:b/>
          <w:bCs/>
          <w:color w:val="FFFFFF"/>
          <w:sz w:val="64"/>
          <w:szCs w:val="64"/>
        </w:rPr>
        <w:t xml:space="preserve">AND</w:t>
      </w:r>
    </w:p>
    <w:p>
      <w:pPr>
        <w:spacing w:after="140" w:before="0"/>
        <w:jc w:val="center"/>
      </w:pPr>
      <w:r>
        <w:rPr>
          <w:rFonts w:ascii="Georgia" w:cs="Georgia" w:eastAsia="Georgia" w:hAnsi="Georgia"/>
          <w:b/>
          <w:bCs/>
          <w:color w:val="FFFFFF"/>
          <w:sz w:val="64"/>
          <w:szCs w:val="64"/>
        </w:rPr>
        <w:t xml:space="preserve">LARGE LANGUAGE MODELS</w:t>
      </w:r>
    </w:p>
    <w:p>
      <w:pPr>
        <w:pBdr>
          <w:top w:val="single" w:color="CC0000" w:sz="6"/>
          <w:bottom w:val="single" w:color="CC0000" w:sz="6"/>
        </w:pBdr>
        <w:spacing w:after="80" w:before="80"/>
        <w:jc w:val="center"/>
      </w:pPr>
      <w:r>
        <w:rPr>
          <w:rFonts w:ascii="Calibri" w:cs="Calibri" w:eastAsia="Calibri" w:hAnsi="Calibri"/>
          <w:i/>
          <w:iCs/>
          <w:color w:val="FFF0F0"/>
          <w:sz w:val="26"/>
          <w:szCs w:val="26"/>
        </w:rPr>
        <w:t xml:space="preserve">A Comprehensive Academic Report</w:t>
      </w:r>
    </w:p>
    <w:p>
      <w:pPr>
        <w:spacing w:after="0" w:before="0"/>
      </w:pPr>
      <w:r>
        <w:t xml:space="preserve"/>
      </w:r>
    </w:p>
    <w:p>
      <w:pPr>
        <w:spacing w:after="0" w:before="0"/>
      </w:pPr>
      <w:r>
        <w:t xml:space="preserve"/>
      </w:r>
    </w:p>
    <w:p>
      <w:pPr>
        <w:spacing w:after="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0000" w:sz="6"/>
              <w:left w:val="single" w:color="CC0000" w:sz="6"/>
              <w:bottom w:val="none" w:color="CC0000" w:sz="0"/>
              <w:right w:val="none" w:color="CC0000" w:sz="0"/>
            </w:tcBorders>
            <w:shd w:fill="1A0000" w:val="clear"/>
            <w:tcMar>
              <w:top w:type="dxa" w:w="80"/>
              <w:left w:type="dxa" w:w="180"/>
              <w:bottom w:type="dxa" w:w="80"/>
              <w:right w:type="dxa" w:w="120"/>
            </w:tcMar>
          </w:tcPr>
          <w:p>
            <w:r>
              <w:rPr>
                <w:rFonts w:ascii="Calibri" w:cs="Calibri" w:eastAsia="Calibri" w:hAnsi="Calibri"/>
                <w:b/>
                <w:bCs/>
                <w:color w:val="CC0000"/>
                <w:sz w:val="21"/>
                <w:szCs w:val="21"/>
              </w:rPr>
              <w:t xml:space="preserve">Name</w:t>
            </w:r>
          </w:p>
        </w:tc>
        <w:tc>
          <w:tcPr>
            <w:tcW w:type="dxa" w:w="3600"/>
            <w:tcBorders>
              <w:top w:val="single" w:color="CC0000" w:sz="6"/>
              <w:left w:val="none" w:color="CC0000" w:sz="0"/>
              <w:bottom w:val="none" w:color="CC0000" w:sz="0"/>
              <w:right w:val="single" w:color="CC0000" w:sz="6"/>
            </w:tcBorders>
            <w:shd w:fill="1A0000" w:val="clear"/>
            <w:tcMar>
              <w:top w:type="dxa" w:w="80"/>
              <w:left w:type="dxa" w:w="140"/>
              <w:bottom w:type="dxa" w:w="80"/>
              <w:right w:type="dxa" w:w="180"/>
            </w:tcMar>
          </w:tcPr>
          <w:p>
            <w:r>
              <w:rPr>
                <w:rFonts w:ascii="Calibri" w:cs="Calibri" w:eastAsia="Calibri" w:hAnsi="Calibri"/>
                <w:color w:val="FFFFFF"/>
                <w:sz w:val="21"/>
                <w:szCs w:val="21"/>
              </w:rPr>
              <w:t xml:space="preserve">Kelvin Prabhu. G</w:t>
            </w:r>
          </w:p>
        </w:tc>
      </w:tr>
      <w:tr>
        <w:tc>
          <w:tcPr>
            <w:tcW w:type="dxa" w:w="2400"/>
            <w:tcBorders>
              <w:top w:val="none" w:color="CC0000" w:sz="0"/>
              <w:left w:val="single" w:color="CC0000" w:sz="6"/>
              <w:bottom w:val="none" w:color="CC0000" w:sz="0"/>
              <w:right w:val="none" w:color="CC0000" w:sz="0"/>
            </w:tcBorders>
            <w:shd w:fill="1A0000" w:val="clear"/>
            <w:tcMar>
              <w:top w:type="dxa" w:w="80"/>
              <w:left w:type="dxa" w:w="180"/>
              <w:bottom w:type="dxa" w:w="80"/>
              <w:right w:type="dxa" w:w="120"/>
            </w:tcMar>
          </w:tcPr>
          <w:p>
            <w:r>
              <w:rPr>
                <w:rFonts w:ascii="Calibri" w:cs="Calibri" w:eastAsia="Calibri" w:hAnsi="Calibri"/>
                <w:b/>
                <w:bCs/>
                <w:color w:val="CC0000"/>
                <w:sz w:val="21"/>
                <w:szCs w:val="21"/>
              </w:rPr>
              <w:t xml:space="preserve">Reference No.</w:t>
            </w:r>
          </w:p>
        </w:tc>
        <w:tc>
          <w:tcPr>
            <w:tcW w:type="dxa" w:w="3600"/>
            <w:tcBorders>
              <w:top w:val="none" w:color="CC0000" w:sz="0"/>
              <w:left w:val="none" w:color="CC0000" w:sz="0"/>
              <w:bottom w:val="none" w:color="CC0000" w:sz="0"/>
              <w:right w:val="single" w:color="CC0000" w:sz="6"/>
            </w:tcBorders>
            <w:shd w:fill="1A0000" w:val="clear"/>
            <w:tcMar>
              <w:top w:type="dxa" w:w="80"/>
              <w:left w:type="dxa" w:w="140"/>
              <w:bottom w:type="dxa" w:w="80"/>
              <w:right w:type="dxa" w:w="180"/>
            </w:tcMar>
          </w:tcPr>
          <w:p>
            <w:r>
              <w:rPr>
                <w:rFonts w:ascii="Calibri" w:cs="Calibri" w:eastAsia="Calibri" w:hAnsi="Calibri"/>
                <w:color w:val="FFFFFF"/>
                <w:sz w:val="21"/>
                <w:szCs w:val="21"/>
              </w:rPr>
              <w:t xml:space="preserve">212225060122</w:t>
            </w:r>
          </w:p>
        </w:tc>
      </w:tr>
      <w:tr>
        <w:tc>
          <w:tcPr>
            <w:tcW w:type="dxa" w:w="2400"/>
            <w:tcBorders>
              <w:top w:val="none" w:color="CC0000" w:sz="0"/>
              <w:left w:val="single" w:color="CC0000" w:sz="6"/>
              <w:bottom w:val="none" w:color="CC0000" w:sz="0"/>
              <w:right w:val="none" w:color="CC0000" w:sz="0"/>
            </w:tcBorders>
            <w:shd w:fill="1A0000" w:val="clear"/>
            <w:tcMar>
              <w:top w:type="dxa" w:w="80"/>
              <w:left w:type="dxa" w:w="180"/>
              <w:bottom w:type="dxa" w:w="80"/>
              <w:right w:type="dxa" w:w="120"/>
            </w:tcMar>
          </w:tcPr>
          <w:p>
            <w:r>
              <w:rPr>
                <w:rFonts w:ascii="Calibri" w:cs="Calibri" w:eastAsia="Calibri" w:hAnsi="Calibri"/>
                <w:b/>
                <w:bCs/>
                <w:color w:val="CC0000"/>
                <w:sz w:val="21"/>
                <w:szCs w:val="21"/>
              </w:rPr>
              <w:t xml:space="preserve">Department</w:t>
            </w:r>
          </w:p>
        </w:tc>
        <w:tc>
          <w:tcPr>
            <w:tcW w:type="dxa" w:w="3600"/>
            <w:tcBorders>
              <w:top w:val="none" w:color="CC0000" w:sz="0"/>
              <w:left w:val="none" w:color="CC0000" w:sz="0"/>
              <w:bottom w:val="none" w:color="CC0000" w:sz="0"/>
              <w:right w:val="single" w:color="CC0000" w:sz="6"/>
            </w:tcBorders>
            <w:shd w:fill="1A0000" w:val="clear"/>
            <w:tcMar>
              <w:top w:type="dxa" w:w="80"/>
              <w:left w:type="dxa" w:w="140"/>
              <w:bottom w:type="dxa" w:w="80"/>
              <w:right w:type="dxa" w:w="180"/>
            </w:tcMar>
          </w:tcPr>
          <w:p>
            <w:r>
              <w:rPr>
                <w:rFonts w:ascii="Calibri" w:cs="Calibri" w:eastAsia="Calibri" w:hAnsi="Calibri"/>
                <w:color w:val="FFFFFF"/>
                <w:sz w:val="21"/>
                <w:szCs w:val="21"/>
              </w:rPr>
              <w:t xml:space="preserve">ECE</w:t>
            </w:r>
          </w:p>
        </w:tc>
      </w:tr>
      <w:tr>
        <w:tc>
          <w:tcPr>
            <w:tcW w:type="dxa" w:w="2400"/>
            <w:tcBorders>
              <w:top w:val="none" w:color="CC0000" w:sz="0"/>
              <w:left w:val="single" w:color="CC0000" w:sz="6"/>
              <w:bottom w:val="none" w:color="CC0000" w:sz="0"/>
              <w:right w:val="none" w:color="CC0000" w:sz="0"/>
            </w:tcBorders>
            <w:shd w:fill="1A0000" w:val="clear"/>
            <w:tcMar>
              <w:top w:type="dxa" w:w="80"/>
              <w:left w:type="dxa" w:w="180"/>
              <w:bottom w:type="dxa" w:w="80"/>
              <w:right w:type="dxa" w:w="120"/>
            </w:tcMar>
          </w:tcPr>
          <w:p>
            <w:r>
              <w:rPr>
                <w:rFonts w:ascii="Calibri" w:cs="Calibri" w:eastAsia="Calibri" w:hAnsi="Calibri"/>
                <w:b/>
                <w:bCs/>
                <w:color w:val="CC0000"/>
                <w:sz w:val="21"/>
                <w:szCs w:val="21"/>
              </w:rPr>
              <w:t xml:space="preserve">College</w:t>
            </w:r>
          </w:p>
        </w:tc>
        <w:tc>
          <w:tcPr>
            <w:tcW w:type="dxa" w:w="3600"/>
            <w:tcBorders>
              <w:top w:val="none" w:color="CC0000" w:sz="0"/>
              <w:left w:val="none" w:color="CC0000" w:sz="0"/>
              <w:bottom w:val="none" w:color="CC0000" w:sz="0"/>
              <w:right w:val="single" w:color="CC0000" w:sz="6"/>
            </w:tcBorders>
            <w:shd w:fill="1A0000" w:val="clear"/>
            <w:tcMar>
              <w:top w:type="dxa" w:w="80"/>
              <w:left w:type="dxa" w:w="140"/>
              <w:bottom w:type="dxa" w:w="80"/>
              <w:right w:type="dxa" w:w="180"/>
            </w:tcMar>
          </w:tcPr>
          <w:p>
            <w:r>
              <w:rPr>
                <w:rFonts w:ascii="Calibri" w:cs="Calibri" w:eastAsia="Calibri" w:hAnsi="Calibri"/>
                <w:color w:val="FFFFFF"/>
                <w:sz w:val="21"/>
                <w:szCs w:val="21"/>
              </w:rPr>
              <w:t xml:space="preserve">Saveetha Engineering College</w:t>
            </w:r>
          </w:p>
        </w:tc>
      </w:tr>
      <w:tr>
        <w:tc>
          <w:tcPr>
            <w:tcW w:type="dxa" w:w="2400"/>
            <w:tcBorders>
              <w:top w:val="none" w:color="CC0000" w:sz="0"/>
              <w:left w:val="single" w:color="CC0000" w:sz="6"/>
              <w:bottom w:val="single" w:color="CC0000" w:sz="6"/>
              <w:right w:val="none" w:color="CC0000" w:sz="0"/>
            </w:tcBorders>
            <w:shd w:fill="1A0000" w:val="clear"/>
            <w:tcMar>
              <w:top w:type="dxa" w:w="80"/>
              <w:left w:type="dxa" w:w="180"/>
              <w:bottom w:type="dxa" w:w="80"/>
              <w:right w:type="dxa" w:w="120"/>
            </w:tcMar>
          </w:tcPr>
          <w:p>
            <w:r>
              <w:rPr>
                <w:rFonts w:ascii="Calibri" w:cs="Calibri" w:eastAsia="Calibri" w:hAnsi="Calibri"/>
                <w:b/>
                <w:bCs/>
                <w:color w:val="CC0000"/>
                <w:sz w:val="21"/>
                <w:szCs w:val="21"/>
              </w:rPr>
              <w:t xml:space="preserve">Academic Year</w:t>
            </w:r>
          </w:p>
        </w:tc>
        <w:tc>
          <w:tcPr>
            <w:tcW w:type="dxa" w:w="3600"/>
            <w:tcBorders>
              <w:top w:val="none" w:color="CC0000" w:sz="0"/>
              <w:left w:val="none" w:color="CC0000" w:sz="0"/>
              <w:bottom w:val="single" w:color="CC0000" w:sz="6"/>
              <w:right w:val="single" w:color="CC0000" w:sz="6"/>
            </w:tcBorders>
            <w:shd w:fill="1A0000" w:val="clear"/>
            <w:tcMar>
              <w:top w:type="dxa" w:w="80"/>
              <w:left w:type="dxa" w:w="140"/>
              <w:bottom w:type="dxa" w:w="80"/>
              <w:right w:type="dxa" w:w="180"/>
            </w:tcMar>
          </w:tcPr>
          <w:p>
            <w:r>
              <w:rPr>
                <w:rFonts w:ascii="Calibri" w:cs="Calibri" w:eastAsia="Calibri" w:hAnsi="Calibri"/>
                <w:color w:val="FFFFFF"/>
                <w:sz w:val="21"/>
                <w:szCs w:val="21"/>
              </w:rPr>
              <w:t xml:space="preserve">2025 - 2026</w:t>
            </w:r>
          </w:p>
        </w:tc>
      </w:tr>
    </w:tbl>
    <w:p>
      <w:pPr>
        <w:spacing w:after="0" w:before="0"/>
      </w:pPr>
      <w:r>
        <w:t xml:space="preserve"/>
      </w:r>
    </w:p>
    <w:p>
      <w:pPr>
        <w:spacing w:after="0" w:before="0"/>
      </w:pPr>
      <w:r>
        <w:t xml:space="preserve"/>
      </w:r>
    </w:p>
    <w:p>
      <w:pPr>
        <w:spacing w:after="0" w:before="0"/>
        <w:jc w:val="center"/>
      </w:pPr>
      <w:r>
        <w:rPr>
          <w:rFonts w:ascii="Calibri" w:cs="Calibri" w:eastAsia="Calibri" w:hAnsi="Calibri"/>
          <w:i/>
          <w:iCs/>
          <w:color w:val="CC0000"/>
          <w:sz w:val="20"/>
          <w:szCs w:val="20"/>
        </w:rPr>
        <w:t xml:space="preserve">Artificial Intelligence  •  Generative Models  •  LLMs  •  Transformers  •  Neural Networks</w:t>
      </w:r>
    </w:p>
    <w:p>
      <w:pPr>
        <w:sectPr>
          <w:pgSz w:w="12240" w:h="15840" w:orient="portrait"/>
          <w:pgMar w:top="1440" w:right="1440" w:bottom="1440" w:left="1440" w:header="708" w:footer="708" w:gutter="0"/>
          <w:pgNumType/>
          <w:docGrid w:linePitch="360"/>
        </w:sectPr>
      </w:pPr>
    </w:p>
    <w:p>
      <w:pPr>
        <w:pStyle w:val="Heading1"/>
        <w:pBdr>
          <w:bottom w:val="single" w:color="CC0000" w:sz="8" w:space="4"/>
        </w:pBdr>
        <w:spacing w:after="120" w:before="360"/>
      </w:pPr>
      <w:r>
        <w:rPr>
          <w:rFonts w:ascii="Georgia" w:cs="Georgia" w:eastAsia="Georgia" w:hAnsi="Georgia"/>
          <w:b/>
          <w:bCs/>
          <w:color w:val="1A0000"/>
          <w:sz w:val="36"/>
          <w:szCs w:val="36"/>
        </w:rPr>
        <w:t xml:space="preserve">Abstract / Executive Summary</w:t>
      </w:r>
    </w:p>
    <w:p>
      <w:pPr>
        <w:spacing w:after="80" w:before="80" w:line="320"/>
      </w:pPr>
      <w:r>
        <w:rPr>
          <w:rFonts w:ascii="Calibri" w:cs="Calibri" w:eastAsia="Calibri" w:hAnsi="Calibri"/>
          <w:color w:val="1A0000"/>
          <w:sz w:val="22"/>
          <w:szCs w:val="22"/>
        </w:rPr>
        <w:t xml:space="preserve">This report provides a comprehensive overview of Generative Artificial Intelligence (AI) and Large Language Models (LLMs) for college-level students. It covers theoretical foundations, practical applications, and ethical dimensions of modern AI systems.</w:t>
      </w:r>
    </w:p>
    <w:p>
      <w:pPr>
        <w:spacing w:after="80" w:before="80" w:line="320"/>
      </w:pPr>
      <w:r>
        <w:rPr>
          <w:rFonts w:ascii="Calibri" w:cs="Calibri" w:eastAsia="Calibri" w:hAnsi="Calibri"/>
          <w:color w:val="1A0000"/>
          <w:sz w:val="22"/>
          <w:szCs w:val="22"/>
        </w:rPr>
        <w:t xml:space="preserve">Beginning with AI and Machine Learning fundamentals, the report explores three major generative model families—GANs, VAEs, and Diffusion Models—before examining the Transformer architecture underlying most LLMs. Real-world applications across healthcare, education, software development, and creative industries are surveyed, followed by critical analysis of limitations, ethical concerns, and future directions.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0000" w:sz="12"/>
              <w:left w:val="single" w:color="CC0000" w:sz="12"/>
              <w:bottom w:val="single" w:color="CC0000" w:sz="12"/>
              <w:right w:val="single" w:color="CC0000" w:sz="12"/>
            </w:tcBorders>
            <w:shd w:fill="FFF0F0" w:val="clear"/>
            <w:tcMar>
              <w:top w:type="dxa" w:w="120"/>
              <w:left w:type="dxa" w:w="240"/>
              <w:bottom w:type="dxa" w:w="120"/>
              <w:right w:type="dxa" w:w="240"/>
            </w:tcMar>
          </w:tcPr>
          <w:p>
            <w:pPr>
              <w:spacing w:after="60" w:before="0"/>
            </w:pPr>
            <w:r>
              <w:rPr>
                <w:rFonts w:ascii="Arial" w:cs="Arial" w:eastAsia="Arial" w:hAnsi="Arial"/>
                <w:b/>
                <w:bCs/>
                <w:caps/>
                <w:color w:val="CC0000"/>
                <w:sz w:val="18"/>
                <w:szCs w:val="18"/>
              </w:rPr>
              <w:t xml:space="preserve">KEY TAKEAWAY</w:t>
            </w:r>
          </w:p>
          <w:p>
            <w:pPr>
              <w:spacing w:after="0" w:before="0"/>
            </w:pPr>
            <w:r>
              <w:rPr>
                <w:rFonts w:ascii="Calibri" w:cs="Calibri" w:eastAsia="Calibri" w:hAnsi="Calibri"/>
                <w:i/>
                <w:iCs/>
                <w:color w:val="1A0000"/>
                <w:sz w:val="21"/>
                <w:szCs w:val="21"/>
              </w:rPr>
              <w:t xml:space="preserve">Generative AI and LLMs represent a paradigm shift in computing: from rule-based systems to learned, probabilistic models capable of open-ended generation and reasoning.</w:t>
            </w:r>
          </w:p>
        </w:tc>
      </w:tr>
    </w:tbl>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1. Introduction</w:t>
      </w:r>
    </w:p>
    <w:p>
      <w:pPr>
        <w:spacing w:after="80" w:before="80" w:line="320"/>
      </w:pPr>
      <w:r>
        <w:rPr>
          <w:rFonts w:ascii="Calibri" w:cs="Calibri" w:eastAsia="Calibri" w:hAnsi="Calibri"/>
          <w:color w:val="1A0000"/>
          <w:sz w:val="22"/>
          <w:szCs w:val="22"/>
        </w:rPr>
        <w:t xml:space="preserve">Artificial Intelligence now permeates daily life—shaping how people search the internet, interact with customer service, generate content, and receive medical diagnoses. Among the most transformative developments is Generative AI: systems designed not merely to analyse data but to create new data statistically similar to what they have learned from.</w:t>
      </w:r>
    </w:p>
    <w:p>
      <w:pPr>
        <w:spacing w:after="80" w:before="80" w:line="320"/>
      </w:pPr>
      <w:r>
        <w:rPr>
          <w:rFonts w:ascii="Calibri" w:cs="Calibri" w:eastAsia="Calibri" w:hAnsi="Calibri"/>
          <w:color w:val="1A0000"/>
          <w:sz w:val="22"/>
          <w:szCs w:val="22"/>
        </w:rPr>
        <w:t xml:space="preserve">The most prominent instantiation is the Large Language Model (LLM)—a neural network trained on billions of tokens of text, capable of answering questions, writing essays, summarising documents, and reasoning through complex problems. Understanding these systems is both an academic exercise and a practical imperative for students entering an AI-shaped world.</w:t>
      </w:r>
    </w:p>
    <w:p>
      <w:pPr>
        <w:pStyle w:val="Heading2"/>
        <w:spacing w:after="80" w:before="280"/>
      </w:pPr>
      <w:r>
        <w:rPr>
          <w:rFonts w:ascii="Georgia" w:cs="Georgia" w:eastAsia="Georgia" w:hAnsi="Georgia"/>
          <w:b/>
          <w:bCs/>
          <w:color w:val="990000"/>
          <w:sz w:val="28"/>
          <w:szCs w:val="28"/>
        </w:rPr>
        <w:t xml:space="preserve">1.1 Scope and Objectives</w:t>
      </w:r>
    </w:p>
    <w:p>
      <w:pPr>
        <w:spacing w:after="80" w:before="80" w:line="320"/>
      </w:pPr>
      <w:r>
        <w:rPr>
          <w:rFonts w:ascii="Calibri" w:cs="Calibri" w:eastAsia="Calibri" w:hAnsi="Calibri"/>
          <w:color w:val="1A0000"/>
          <w:sz w:val="22"/>
          <w:szCs w:val="22"/>
        </w:rPr>
        <w:t xml:space="preserve">This report aims to:</w:t>
      </w:r>
    </w:p>
    <w:p>
      <w:pPr>
        <w:pStyle w:val="ListParagraph"/>
        <w:numPr>
          <w:ilvl w:val="0"/>
          <w:numId w:val="2"/>
        </w:numPr>
        <w:spacing w:after="60" w:before="60"/>
      </w:pPr>
      <w:r>
        <w:rPr>
          <w:rFonts w:ascii="Calibri" w:cs="Calibri" w:eastAsia="Calibri" w:hAnsi="Calibri"/>
          <w:color w:val="1A0000"/>
          <w:sz w:val="22"/>
          <w:szCs w:val="22"/>
        </w:rPr>
        <w:t xml:space="preserve">Introduce AI, Machine Learning, and Generative AI clearly and accessibly.</w:t>
      </w:r>
    </w:p>
    <w:p>
      <w:pPr>
        <w:pStyle w:val="ListParagraph"/>
        <w:numPr>
          <w:ilvl w:val="0"/>
          <w:numId w:val="2"/>
        </w:numPr>
        <w:spacing w:after="60" w:before="60"/>
      </w:pPr>
      <w:r>
        <w:rPr>
          <w:rFonts w:ascii="Calibri" w:cs="Calibri" w:eastAsia="Calibri" w:hAnsi="Calibri"/>
          <w:color w:val="1A0000"/>
          <w:sz w:val="22"/>
          <w:szCs w:val="22"/>
        </w:rPr>
        <w:t xml:space="preserve">Explain the major types of generative models with concrete examples.</w:t>
      </w:r>
    </w:p>
    <w:p>
      <w:pPr>
        <w:pStyle w:val="ListParagraph"/>
        <w:numPr>
          <w:ilvl w:val="0"/>
          <w:numId w:val="2"/>
        </w:numPr>
        <w:spacing w:after="60" w:before="60"/>
      </w:pPr>
      <w:r>
        <w:rPr>
          <w:rFonts w:ascii="Calibri" w:cs="Calibri" w:eastAsia="Calibri" w:hAnsi="Calibri"/>
          <w:color w:val="1A0000"/>
          <w:sz w:val="22"/>
          <w:szCs w:val="22"/>
        </w:rPr>
        <w:t xml:space="preserve">Survey leading AI tools available in 2024.</w:t>
      </w:r>
    </w:p>
    <w:p>
      <w:pPr>
        <w:pStyle w:val="ListParagraph"/>
        <w:numPr>
          <w:ilvl w:val="0"/>
          <w:numId w:val="2"/>
        </w:numPr>
        <w:spacing w:after="60" w:before="60"/>
      </w:pPr>
      <w:r>
        <w:rPr>
          <w:rFonts w:ascii="Calibri" w:cs="Calibri" w:eastAsia="Calibri" w:hAnsi="Calibri"/>
          <w:color w:val="1A0000"/>
          <w:sz w:val="22"/>
          <w:szCs w:val="22"/>
        </w:rPr>
        <w:t xml:space="preserve">Detail the architecture, training, and capabilities of LLMs.</w:t>
      </w:r>
    </w:p>
    <w:p>
      <w:pPr>
        <w:pStyle w:val="ListParagraph"/>
        <w:numPr>
          <w:ilvl w:val="0"/>
          <w:numId w:val="2"/>
        </w:numPr>
        <w:spacing w:after="60" w:before="60"/>
      </w:pPr>
      <w:r>
        <w:rPr>
          <w:rFonts w:ascii="Calibri" w:cs="Calibri" w:eastAsia="Calibri" w:hAnsi="Calibri"/>
          <w:color w:val="1A0000"/>
          <w:sz w:val="22"/>
          <w:szCs w:val="22"/>
        </w:rPr>
        <w:t xml:space="preserve">Examine real-world applications, limitations, and ethical implications.</w:t>
      </w:r>
    </w:p>
    <w:p>
      <w:pPr>
        <w:pStyle w:val="ListParagraph"/>
        <w:numPr>
          <w:ilvl w:val="0"/>
          <w:numId w:val="2"/>
        </w:numPr>
        <w:spacing w:after="60" w:before="60"/>
      </w:pPr>
      <w:r>
        <w:rPr>
          <w:rFonts w:ascii="Calibri" w:cs="Calibri" w:eastAsia="Calibri" w:hAnsi="Calibri"/>
          <w:color w:val="1A0000"/>
          <w:sz w:val="22"/>
          <w:szCs w:val="22"/>
        </w:rPr>
        <w:t xml:space="preserve">Discuss future trends and directions in the field.</w:t>
      </w:r>
    </w:p>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2. Introduction to AI and Machine Learning</w:t>
      </w:r>
    </w:p>
    <w:p>
      <w:pPr>
        <w:pStyle w:val="Heading2"/>
        <w:spacing w:after="80" w:before="280"/>
      </w:pPr>
      <w:r>
        <w:rPr>
          <w:rFonts w:ascii="Georgia" w:cs="Georgia" w:eastAsia="Georgia" w:hAnsi="Georgia"/>
          <w:b/>
          <w:bCs/>
          <w:color w:val="990000"/>
          <w:sz w:val="28"/>
          <w:szCs w:val="28"/>
        </w:rPr>
        <w:t xml:space="preserve">2.1 What is Artificial Intelligence?</w:t>
      </w:r>
    </w:p>
    <w:p>
      <w:pPr>
        <w:spacing w:after="80" w:before="80" w:line="320"/>
      </w:pPr>
      <w:r>
        <w:rPr>
          <w:rFonts w:ascii="Calibri" w:cs="Calibri" w:eastAsia="Calibri" w:hAnsi="Calibri"/>
          <w:color w:val="1A0000"/>
          <w:sz w:val="22"/>
          <w:szCs w:val="22"/>
        </w:rPr>
        <w:t xml:space="preserve">Artificial Intelligence (AI) refers to the simulation of human intelligence processes by computer systems—including learning, reasoning, and self-correction. The term was coined by John McCarthy in 1956 at the Dartmouth Conference, widely regarded as the founding moment of AI as an academic discipline.</w:t>
      </w:r>
    </w:p>
    <w:p>
      <w:pPr>
        <w:spacing w:after="80" w:before="80" w:line="320"/>
      </w:pPr>
      <w:r>
        <w:rPr>
          <w:rFonts w:ascii="Calibri" w:cs="Calibri" w:eastAsia="Calibri" w:hAnsi="Calibri"/>
          <w:color w:val="1A0000"/>
          <w:sz w:val="22"/>
          <w:szCs w:val="22"/>
        </w:rPr>
        <w:t xml:space="preserve">AI is broadly classified into Narrow AI (task-specific systems, all AI in production today) and General AI (a hypothetical system performing any human intellectual task—still an aspiration).</w:t>
      </w:r>
    </w:p>
    <w:p>
      <w:pPr>
        <w:pStyle w:val="Heading2"/>
        <w:spacing w:after="80" w:before="280"/>
      </w:pPr>
      <w:r>
        <w:rPr>
          <w:rFonts w:ascii="Georgia" w:cs="Georgia" w:eastAsia="Georgia" w:hAnsi="Georgia"/>
          <w:b/>
          <w:bCs/>
          <w:color w:val="990000"/>
          <w:sz w:val="28"/>
          <w:szCs w:val="28"/>
        </w:rPr>
        <w:t xml:space="preserve">2.2 Machine Learning</w:t>
      </w:r>
    </w:p>
    <w:p>
      <w:pPr>
        <w:spacing w:after="80" w:before="80" w:line="320"/>
      </w:pPr>
      <w:r>
        <w:rPr>
          <w:rFonts w:ascii="Calibri" w:cs="Calibri" w:eastAsia="Calibri" w:hAnsi="Calibri"/>
          <w:color w:val="1A0000"/>
          <w:sz w:val="22"/>
          <w:szCs w:val="22"/>
        </w:rPr>
        <w:t xml:space="preserve">Machine Learning (ML) enables systems to learn from data without explicit programming. The three primary paradigms are:</w:t>
      </w:r>
    </w:p>
    <w:p>
      <w:pPr>
        <w:pStyle w:val="ListParagraph"/>
        <w:numPr>
          <w:ilvl w:val="0"/>
          <w:numId w:val="2"/>
        </w:numPr>
        <w:spacing w:after="60" w:before="60"/>
      </w:pPr>
      <w:r>
        <w:rPr>
          <w:rFonts w:ascii="Calibri" w:cs="Calibri" w:eastAsia="Calibri" w:hAnsi="Calibri"/>
          <w:color w:val="1A0000"/>
          <w:sz w:val="22"/>
          <w:szCs w:val="22"/>
        </w:rPr>
        <w:t xml:space="preserve">Supervised Learning: Training on labelled data for tasks like classification and sentiment analysis.</w:t>
      </w:r>
    </w:p>
    <w:p>
      <w:pPr>
        <w:pStyle w:val="ListParagraph"/>
        <w:numPr>
          <w:ilvl w:val="0"/>
          <w:numId w:val="2"/>
        </w:numPr>
        <w:spacing w:after="60" w:before="60"/>
      </w:pPr>
      <w:r>
        <w:rPr>
          <w:rFonts w:ascii="Calibri" w:cs="Calibri" w:eastAsia="Calibri" w:hAnsi="Calibri"/>
          <w:color w:val="1A0000"/>
          <w:sz w:val="22"/>
          <w:szCs w:val="22"/>
        </w:rPr>
        <w:t xml:space="preserve">Unsupervised Learning: Discovering hidden patterns in unlabelled data through clustering or dimensionality reduction.</w:t>
      </w:r>
    </w:p>
    <w:p>
      <w:pPr>
        <w:pStyle w:val="ListParagraph"/>
        <w:numPr>
          <w:ilvl w:val="0"/>
          <w:numId w:val="2"/>
        </w:numPr>
        <w:spacing w:after="60" w:before="60"/>
      </w:pPr>
      <w:r>
        <w:rPr>
          <w:rFonts w:ascii="Calibri" w:cs="Calibri" w:eastAsia="Calibri" w:hAnsi="Calibri"/>
          <w:color w:val="1A0000"/>
          <w:sz w:val="22"/>
          <w:szCs w:val="22"/>
        </w:rPr>
        <w:t xml:space="preserve">Reinforcement Learning: Learning by interacting with an environment via rewards and penalties—underpins game AI and conversational agents.</w:t>
      </w:r>
    </w:p>
    <w:p>
      <w:pPr>
        <w:pStyle w:val="Heading2"/>
        <w:spacing w:after="80" w:before="280"/>
      </w:pPr>
      <w:r>
        <w:rPr>
          <w:rFonts w:ascii="Georgia" w:cs="Georgia" w:eastAsia="Georgia" w:hAnsi="Georgia"/>
          <w:b/>
          <w:bCs/>
          <w:color w:val="990000"/>
          <w:sz w:val="28"/>
          <w:szCs w:val="28"/>
        </w:rPr>
        <w:t xml:space="preserve">2.3 Deep Learning</w:t>
      </w:r>
    </w:p>
    <w:p>
      <w:pPr>
        <w:spacing w:after="80" w:before="80" w:line="320"/>
      </w:pPr>
      <w:r>
        <w:rPr>
          <w:rFonts w:ascii="Calibri" w:cs="Calibri" w:eastAsia="Calibri" w:hAnsi="Calibri"/>
          <w:color w:val="1A0000"/>
          <w:sz w:val="22"/>
          <w:szCs w:val="22"/>
        </w:rPr>
        <w:t xml:space="preserve">Deep Learning uses multi-layered artificial neural networks to model complex patterns. It has driven breakthroughs in computer vision, natural language processing, and game playing—forming the backbone of virtually all modern generative AI.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0000" w:sz="12"/>
              <w:left w:val="single" w:color="CC0000" w:sz="12"/>
              <w:bottom w:val="single" w:color="CC0000" w:sz="12"/>
              <w:right w:val="single" w:color="CC0000" w:sz="12"/>
            </w:tcBorders>
            <w:shd w:fill="FFF0F0" w:val="clear"/>
            <w:tcMar>
              <w:top w:type="dxa" w:w="120"/>
              <w:left w:type="dxa" w:w="240"/>
              <w:bottom w:type="dxa" w:w="120"/>
              <w:right w:type="dxa" w:w="240"/>
            </w:tcMar>
          </w:tcPr>
          <w:p>
            <w:pPr>
              <w:spacing w:after="60" w:before="0"/>
            </w:pPr>
            <w:r>
              <w:rPr>
                <w:rFonts w:ascii="Arial" w:cs="Arial" w:eastAsia="Arial" w:hAnsi="Arial"/>
                <w:b/>
                <w:bCs/>
                <w:caps/>
                <w:color w:val="CC0000"/>
                <w:sz w:val="18"/>
                <w:szCs w:val="18"/>
              </w:rPr>
              <w:t xml:space="preserve">KEY TAKEAWAY</w:t>
            </w:r>
          </w:p>
          <w:p>
            <w:pPr>
              <w:spacing w:after="0" w:before="0"/>
            </w:pPr>
            <w:r>
              <w:rPr>
                <w:rFonts w:ascii="Calibri" w:cs="Calibri" w:eastAsia="Calibri" w:hAnsi="Calibri"/>
                <w:i/>
                <w:iCs/>
                <w:color w:val="1A0000"/>
                <w:sz w:val="21"/>
                <w:szCs w:val="21"/>
              </w:rPr>
              <w:t xml:space="preserve">AI is the broad goal. Machine Learning is the primary technique. Deep Learning is the most powerful ML approach. Generative AI is a specific application built on deep learning.</w:t>
            </w:r>
          </w:p>
        </w:tc>
      </w:tr>
    </w:tbl>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3. Generative AI: Key Concepts</w:t>
      </w:r>
    </w:p>
    <w:p>
      <w:pPr>
        <w:pStyle w:val="Heading2"/>
        <w:spacing w:after="80" w:before="280"/>
      </w:pPr>
      <w:r>
        <w:rPr>
          <w:rFonts w:ascii="Georgia" w:cs="Georgia" w:eastAsia="Georgia" w:hAnsi="Georgia"/>
          <w:b/>
          <w:bCs/>
          <w:color w:val="990000"/>
          <w:sz w:val="28"/>
          <w:szCs w:val="28"/>
        </w:rPr>
        <w:t xml:space="preserve">3.1 Defining Generative AI</w:t>
      </w:r>
    </w:p>
    <w:p>
      <w:pPr>
        <w:spacing w:after="80" w:before="80" w:line="320"/>
      </w:pPr>
      <w:r>
        <w:rPr>
          <w:rFonts w:ascii="Calibri" w:cs="Calibri" w:eastAsia="Calibri" w:hAnsi="Calibri"/>
          <w:color w:val="1A0000"/>
          <w:sz w:val="22"/>
          <w:szCs w:val="22"/>
        </w:rPr>
        <w:t xml:space="preserve">Generative AI produces new content—text, images, audio, video, code—by learning the statistical distribution of a training dataset. Unlike discriminative models (which classify existing data), generative models learn data distributions well enough to create indistinguishable new examples.</w:t>
      </w:r>
    </w:p>
    <w:p>
      <w:pPr>
        <w:pStyle w:val="Heading2"/>
        <w:spacing w:after="80" w:before="280"/>
      </w:pPr>
      <w:r>
        <w:rPr>
          <w:rFonts w:ascii="Georgia" w:cs="Georgia" w:eastAsia="Georgia" w:hAnsi="Georgia"/>
          <w:b/>
          <w:bCs/>
          <w:color w:val="990000"/>
          <w:sz w:val="28"/>
          <w:szCs w:val="28"/>
        </w:rPr>
        <w:t xml:space="preserve">3.2 Core Concepts</w:t>
      </w:r>
    </w:p>
    <w:p>
      <w:pPr>
        <w:pStyle w:val="Heading3"/>
        <w:spacing w:after="60" w:before="200"/>
      </w:pPr>
      <w:r>
        <w:rPr>
          <w:rFonts w:ascii="Arial" w:cs="Arial" w:eastAsia="Arial" w:hAnsi="Arial"/>
          <w:b/>
          <w:bCs/>
          <w:color w:val="CC0000"/>
          <w:sz w:val="24"/>
          <w:szCs w:val="24"/>
        </w:rPr>
        <w:t xml:space="preserve">Latent Space</w:t>
      </w:r>
    </w:p>
    <w:p>
      <w:pPr>
        <w:spacing w:after="80" w:before="80" w:line="320"/>
      </w:pPr>
      <w:r>
        <w:rPr>
          <w:rFonts w:ascii="Calibri" w:cs="Calibri" w:eastAsia="Calibri" w:hAnsi="Calibri"/>
          <w:color w:val="1A0000"/>
          <w:sz w:val="22"/>
          <w:szCs w:val="22"/>
        </w:rPr>
        <w:t xml:space="preserve">A compressed, lower-dimensional representation of high-dimensional data. For instance, a human face (millions of pixels) can be encoded into a vector capturing pose, expression, and lighting—and decoded to produce novel faces.</w:t>
      </w:r>
    </w:p>
    <w:p>
      <w:pPr>
        <w:pStyle w:val="Heading3"/>
        <w:spacing w:after="60" w:before="200"/>
      </w:pPr>
      <w:r>
        <w:rPr>
          <w:rFonts w:ascii="Arial" w:cs="Arial" w:eastAsia="Arial" w:hAnsi="Arial"/>
          <w:b/>
          <w:bCs/>
          <w:color w:val="CC0000"/>
          <w:sz w:val="24"/>
          <w:szCs w:val="24"/>
        </w:rPr>
        <w:t xml:space="preserve">Tokens and Tokenisation</w:t>
      </w:r>
    </w:p>
    <w:p>
      <w:pPr>
        <w:spacing w:after="80" w:before="80" w:line="320"/>
      </w:pPr>
      <w:r>
        <w:rPr>
          <w:rFonts w:ascii="Calibri" w:cs="Calibri" w:eastAsia="Calibri" w:hAnsi="Calibri"/>
          <w:color w:val="1A0000"/>
          <w:sz w:val="22"/>
          <w:szCs w:val="22"/>
        </w:rPr>
        <w:t xml:space="preserve">Text is broken into units called tokens (words, sub-words, or characters). GPT-4 operates with approximately 100,000 tokens. Tokenisation allows models to handle diverse language within a fixed vocabulary.</w:t>
      </w:r>
    </w:p>
    <w:p>
      <w:pPr>
        <w:pStyle w:val="Heading3"/>
        <w:spacing w:after="60" w:before="200"/>
      </w:pPr>
      <w:r>
        <w:rPr>
          <w:rFonts w:ascii="Arial" w:cs="Arial" w:eastAsia="Arial" w:hAnsi="Arial"/>
          <w:b/>
          <w:bCs/>
          <w:color w:val="CC0000"/>
          <w:sz w:val="24"/>
          <w:szCs w:val="24"/>
        </w:rPr>
        <w:t xml:space="preserve">Prompting and Temperature</w:t>
      </w:r>
    </w:p>
    <w:p>
      <w:pPr>
        <w:spacing w:after="80" w:before="80" w:line="320"/>
      </w:pPr>
      <w:r>
        <w:rPr>
          <w:rFonts w:ascii="Calibri" w:cs="Calibri" w:eastAsia="Calibri" w:hAnsi="Calibri"/>
          <w:color w:val="1A0000"/>
          <w:sz w:val="22"/>
          <w:szCs w:val="22"/>
        </w:rPr>
        <w:t xml:space="preserve">A prompt is the input given to a generative model. Temperature controls output randomness: low temperature = deterministic; high temperature = creative diversity. Top-k and nucleus (top-p) sampling further refine generation.</w:t>
      </w:r>
    </w:p>
    <w:p>
      <w:pPr>
        <w:pStyle w:val="Heading3"/>
        <w:spacing w:after="60" w:before="200"/>
      </w:pPr>
      <w:r>
        <w:rPr>
          <w:rFonts w:ascii="Arial" w:cs="Arial" w:eastAsia="Arial" w:hAnsi="Arial"/>
          <w:b/>
          <w:bCs/>
          <w:color w:val="CC0000"/>
          <w:sz w:val="24"/>
          <w:szCs w:val="24"/>
        </w:rPr>
        <w:t xml:space="preserve">Fine-Tuning and Transfer Learning</w:t>
      </w:r>
    </w:p>
    <w:p>
      <w:pPr>
        <w:spacing w:after="80" w:before="80" w:line="320"/>
      </w:pPr>
      <w:r>
        <w:rPr>
          <w:rFonts w:ascii="Calibri" w:cs="Calibri" w:eastAsia="Calibri" w:hAnsi="Calibri"/>
          <w:color w:val="1A0000"/>
          <w:sz w:val="22"/>
          <w:szCs w:val="22"/>
        </w:rPr>
        <w:t xml:space="preserve">A pre-trained model can be adapted to specific tasks via fine-tuning on smaller datasets—enabling organisations to build specialised systems without training from scratch.</w:t>
      </w:r>
    </w:p>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4. Types of Generative Models</w:t>
      </w:r>
    </w:p>
    <w:p>
      <w:pPr>
        <w:pStyle w:val="Heading2"/>
        <w:spacing w:after="80" w:before="280"/>
      </w:pPr>
      <w:r>
        <w:rPr>
          <w:rFonts w:ascii="Georgia" w:cs="Georgia" w:eastAsia="Georgia" w:hAnsi="Georgia"/>
          <w:b/>
          <w:bCs/>
          <w:color w:val="990000"/>
          <w:sz w:val="28"/>
          <w:szCs w:val="28"/>
        </w:rPr>
        <w:t xml:space="preserve">4.1 Generative Adversarial Networks (GANs)</w:t>
      </w:r>
    </w:p>
    <w:p>
      <w:pPr>
        <w:spacing w:after="80" w:before="80" w:line="320"/>
      </w:pPr>
      <w:r>
        <w:rPr>
          <w:rFonts w:ascii="Calibri" w:cs="Calibri" w:eastAsia="Calibri" w:hAnsi="Calibri"/>
          <w:color w:val="1A0000"/>
          <w:sz w:val="22"/>
          <w:szCs w:val="22"/>
        </w:rPr>
        <w:t xml:space="preserve">Introduced by Ian Goodfellow in 2014, GANs consist of two competing networks: a Generator (creates fake data) and a Discriminator (distinguishes real from fake). Through adversarial training, the Generator progressively produces more realistic outputs.</w:t>
      </w:r>
    </w:p>
    <w:p>
      <w:pPr>
        <w:spacing w:after="80" w:before="80" w:line="320"/>
      </w:pPr>
      <w:r>
        <w:rPr>
          <w:rFonts w:ascii="Calibri" w:cs="Calibri" w:eastAsia="Calibri" w:hAnsi="Calibri"/>
          <w:color w:val="1A0000"/>
          <w:sz w:val="22"/>
          <w:szCs w:val="22"/>
        </w:rPr>
        <w:t xml:space="preserve">Notable examples include StyleGAN (photorealistic faces), CycleGAN (image-to-image translation), and Pix2Pix (medical imaging, architecture). Key limitations: mode collapse and training instability.</w:t>
      </w:r>
    </w:p>
    <w:p>
      <w:pPr>
        <w:pStyle w:val="Heading2"/>
        <w:spacing w:after="80" w:before="280"/>
      </w:pPr>
      <w:r>
        <w:rPr>
          <w:rFonts w:ascii="Georgia" w:cs="Georgia" w:eastAsia="Georgia" w:hAnsi="Georgia"/>
          <w:b/>
          <w:bCs/>
          <w:color w:val="990000"/>
          <w:sz w:val="28"/>
          <w:szCs w:val="28"/>
        </w:rPr>
        <w:t xml:space="preserve">4.2 Variational Autoencoders (VAEs)</w:t>
      </w:r>
    </w:p>
    <w:p>
      <w:pPr>
        <w:spacing w:after="80" w:before="80" w:line="320"/>
      </w:pPr>
      <w:r>
        <w:rPr>
          <w:rFonts w:ascii="Calibri" w:cs="Calibri" w:eastAsia="Calibri" w:hAnsi="Calibri"/>
          <w:color w:val="1A0000"/>
          <w:sz w:val="22"/>
          <w:szCs w:val="22"/>
        </w:rPr>
        <w:t xml:space="preserve">VAEs (Kingma &amp; Welling, 2013) encode input data as probability distributions in latent space, then decode sampled vectors to reconstruct inputs. The KL divergence regularisation term encourages smooth, meaningful latent interpolation.</w:t>
      </w:r>
    </w:p>
    <w:p>
      <w:pPr>
        <w:spacing w:after="80" w:before="80" w:line="320"/>
      </w:pPr>
      <w:r>
        <w:rPr>
          <w:rFonts w:ascii="Calibri" w:cs="Calibri" w:eastAsia="Calibri" w:hAnsi="Calibri"/>
          <w:color w:val="1A0000"/>
          <w:sz w:val="22"/>
          <w:szCs w:val="22"/>
        </w:rPr>
        <w:t xml:space="preserve">Applications include image interpolation, drug discovery, and anomaly detection. VAEs offer stable training and structured latent spaces but tend to produce blurrier images than GANs.</w:t>
      </w:r>
    </w:p>
    <w:p>
      <w:pPr>
        <w:pStyle w:val="Heading2"/>
        <w:spacing w:after="80" w:before="280"/>
      </w:pPr>
      <w:r>
        <w:rPr>
          <w:rFonts w:ascii="Georgia" w:cs="Georgia" w:eastAsia="Georgia" w:hAnsi="Georgia"/>
          <w:b/>
          <w:bCs/>
          <w:color w:val="990000"/>
          <w:sz w:val="28"/>
          <w:szCs w:val="28"/>
        </w:rPr>
        <w:t xml:space="preserve">4.3 Diffusion Models</w:t>
      </w:r>
    </w:p>
    <w:p>
      <w:pPr>
        <w:spacing w:after="80" w:before="80" w:line="320"/>
      </w:pPr>
      <w:r>
        <w:rPr>
          <w:rFonts w:ascii="Calibri" w:cs="Calibri" w:eastAsia="Calibri" w:hAnsi="Calibri"/>
          <w:color w:val="1A0000"/>
          <w:sz w:val="22"/>
          <w:szCs w:val="22"/>
        </w:rPr>
        <w:t xml:space="preserve">The dominant paradigm since 2020, diffusion models work in two phases: a forward process progressively adds noise to data; a reverse process trains a network to iteratively denoise, recovering clean samples from pure noise.</w:t>
      </w:r>
    </w:p>
    <w:p>
      <w:pPr>
        <w:spacing w:after="80" w:before="80" w:line="320"/>
      </w:pPr>
      <w:r>
        <w:rPr>
          <w:rFonts w:ascii="Calibri" w:cs="Calibri" w:eastAsia="Calibri" w:hAnsi="Calibri"/>
          <w:color w:val="1A0000"/>
          <w:sz w:val="22"/>
          <w:szCs w:val="22"/>
        </w:rPr>
        <w:t xml:space="preserve">Notable examples: DALL-E 2/3 (OpenAI), Stable Diffusion (Stability AI), Midjourney, and Sora (video). Diffusion models excel in image quality, training stability, and resistance to mode collapse.</w:t>
      </w:r>
    </w:p>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5. Popular AI Tools in 2024</w:t>
      </w:r>
    </w:p>
    <w:p>
      <w:pPr>
        <w:spacing w:after="80" w:before="80" w:line="320"/>
      </w:pPr>
      <w:r>
        <w:rPr>
          <w:rFonts w:ascii="Calibri" w:cs="Calibri" w:eastAsia="Calibri" w:hAnsi="Calibri"/>
          <w:color w:val="1A0000"/>
          <w:sz w:val="22"/>
          <w:szCs w:val="22"/>
        </w:rPr>
        <w:t xml:space="preserve">The generative AI ecosystem has matured into a rich landscape of commercial and open-source tools: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0000" w:sz="4"/>
              <w:left w:val="single" w:color="CC0000" w:sz="4"/>
              <w:bottom w:val="single" w:color="CC0000" w:sz="4"/>
              <w:right w:val="single" w:color="CC0000" w:sz="4"/>
            </w:tcBorders>
            <w:shd w:fill="1A0000"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340"/>
            <w:tcBorders>
              <w:top w:val="single" w:color="CC0000" w:sz="4"/>
              <w:left w:val="single" w:color="CC0000" w:sz="4"/>
              <w:bottom w:val="single" w:color="CC0000" w:sz="4"/>
              <w:right w:val="single" w:color="CC0000" w:sz="4"/>
            </w:tcBorders>
            <w:shd w:fill="1A0000" w:val="clear"/>
            <w:tcMar>
              <w:top w:type="dxa" w:w="100"/>
              <w:left w:type="dxa" w:w="120"/>
              <w:bottom w:type="dxa" w:w="100"/>
              <w:right w:type="dxa" w:w="120"/>
            </w:tcMar>
          </w:tcPr>
          <w:p>
            <w:r>
              <w:rPr>
                <w:rFonts w:ascii="Arial" w:cs="Arial" w:eastAsia="Arial" w:hAnsi="Arial"/>
                <w:b/>
                <w:bCs/>
                <w:color w:val="FFFFFF"/>
                <w:sz w:val="20"/>
                <w:szCs w:val="20"/>
              </w:rPr>
              <w:t xml:space="preserve">Developer</w:t>
            </w:r>
          </w:p>
        </w:tc>
        <w:tc>
          <w:tcPr>
            <w:tcW w:type="dxa" w:w="2340"/>
            <w:tcBorders>
              <w:top w:val="single" w:color="CC0000" w:sz="4"/>
              <w:left w:val="single" w:color="CC0000" w:sz="4"/>
              <w:bottom w:val="single" w:color="CC0000" w:sz="4"/>
              <w:right w:val="single" w:color="CC0000" w:sz="4"/>
            </w:tcBorders>
            <w:shd w:fill="1A0000"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340"/>
            <w:tcBorders>
              <w:top w:val="single" w:color="CC0000" w:sz="4"/>
              <w:left w:val="single" w:color="CC0000" w:sz="4"/>
              <w:bottom w:val="single" w:color="CC0000" w:sz="4"/>
              <w:right w:val="single" w:color="CC0000" w:sz="4"/>
            </w:tcBorders>
            <w:shd w:fill="1A0000" w:val="clear"/>
            <w:tcMar>
              <w:top w:type="dxa" w:w="100"/>
              <w:left w:type="dxa" w:w="120"/>
              <w:bottom w:type="dxa" w:w="100"/>
              <w:right w:type="dxa" w:w="120"/>
            </w:tcMar>
          </w:tcPr>
          <w:p>
            <w:r>
              <w:rPr>
                <w:rFonts w:ascii="Arial" w:cs="Arial" w:eastAsia="Arial" w:hAnsi="Arial"/>
                <w:b/>
                <w:bCs/>
                <w:color w:val="FFFFFF"/>
                <w:sz w:val="20"/>
                <w:szCs w:val="20"/>
              </w:rPr>
              <w:t xml:space="preserve">Key Feature</w:t>
            </w:r>
          </w:p>
        </w:tc>
      </w:tr>
      <w:tr>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ChatGPT</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OpenAI</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Text / Reasoning</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GPT-4o: multimodal chat, code, advanced reasoning</w:t>
            </w:r>
          </w:p>
        </w:tc>
      </w:tr>
      <w:tr>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Claude</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Anthropic</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Text / Reasoning</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200K token context, Constitutional AI safety</w:t>
            </w:r>
          </w:p>
        </w:tc>
      </w:tr>
      <w:tr>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Gemini Ultra</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Google DeepMind</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Multimodal</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Native text, image, audio, video, code</w:t>
            </w:r>
          </w:p>
        </w:tc>
      </w:tr>
      <w:tr>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Copilot</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Microsoft/OpenAI</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Code / Office</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Coding assistant across VS Code, GitHub, Office</w:t>
            </w:r>
          </w:p>
        </w:tc>
      </w:tr>
      <w:tr>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Midjourney v6</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Midjourney</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Image Generation</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Photorealistic and artistic image synthesis</w:t>
            </w:r>
          </w:p>
        </w:tc>
      </w:tr>
      <w:tr>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DALL-E 3</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OpenAI</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Image Generation</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High-fidelity text-to-image via ChatGPT</w:t>
            </w:r>
          </w:p>
        </w:tc>
      </w:tr>
      <w:tr>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Stable Diffusion 3</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Stability AI</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Image Generation</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Open-source, locally deployable diffusion model</w:t>
            </w:r>
          </w:p>
        </w:tc>
      </w:tr>
      <w:tr>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Sora</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OpenAI</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Video Generation</w:t>
            </w:r>
          </w:p>
        </w:tc>
        <w:tc>
          <w:tcPr>
            <w:tcW w:type="dxa" w:w="234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Text-to-video up to 60 seconds</w:t>
            </w:r>
          </w:p>
        </w:tc>
      </w:tr>
      <w:tr>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Llama 3</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Meta AI</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Text (Open Source)</w:t>
            </w:r>
          </w:p>
        </w:tc>
        <w:tc>
          <w:tcPr>
            <w:tcW w:type="dxa" w:w="234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70B parameter open-weight model</w:t>
            </w:r>
          </w:p>
        </w:tc>
      </w:tr>
    </w:tbl>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6. Large Language Models (LLMs)</w:t>
      </w:r>
    </w:p>
    <w:p>
      <w:pPr>
        <w:pStyle w:val="Heading2"/>
        <w:spacing w:after="80" w:before="280"/>
      </w:pPr>
      <w:r>
        <w:rPr>
          <w:rFonts w:ascii="Georgia" w:cs="Georgia" w:eastAsia="Georgia" w:hAnsi="Georgia"/>
          <w:b/>
          <w:bCs/>
          <w:color w:val="990000"/>
          <w:sz w:val="28"/>
          <w:szCs w:val="28"/>
        </w:rPr>
        <w:t xml:space="preserve">6.1 What is an LLM?</w:t>
      </w:r>
    </w:p>
    <w:p>
      <w:pPr>
        <w:spacing w:after="80" w:before="80" w:line="320"/>
      </w:pPr>
      <w:r>
        <w:rPr>
          <w:rFonts w:ascii="Calibri" w:cs="Calibri" w:eastAsia="Calibri" w:hAnsi="Calibri"/>
          <w:color w:val="1A0000"/>
          <w:sz w:val="22"/>
          <w:szCs w:val="22"/>
        </w:rPr>
        <w:t xml:space="preserve">An LLM is a deep learning model trained on massive text corpora to understand and generate human language. 'Large' refers to parameter scale (GPT-4: estimated 1 trillion+) and training data scale (hundreds of billions of tokens).</w:t>
      </w:r>
    </w:p>
    <w:p>
      <w:pPr>
        <w:spacing w:after="80" w:before="80" w:line="320"/>
      </w:pPr>
      <w:r>
        <w:rPr>
          <w:rFonts w:ascii="Calibri" w:cs="Calibri" w:eastAsia="Calibri" w:hAnsi="Calibri"/>
          <w:color w:val="1A0000"/>
          <w:sz w:val="22"/>
          <w:szCs w:val="22"/>
        </w:rPr>
        <w:t xml:space="preserve">LLMs are foundational models—trained once on broad data, then adaptable to diverse tasks via prompting or fine-tuning, contrasting with earlier single-task specialised models.</w:t>
      </w:r>
    </w:p>
    <w:p>
      <w:pPr>
        <w:pStyle w:val="Heading2"/>
        <w:spacing w:after="80" w:before="280"/>
      </w:pPr>
      <w:r>
        <w:rPr>
          <w:rFonts w:ascii="Georgia" w:cs="Georgia" w:eastAsia="Georgia" w:hAnsi="Georgia"/>
          <w:b/>
          <w:bCs/>
          <w:color w:val="990000"/>
          <w:sz w:val="28"/>
          <w:szCs w:val="28"/>
        </w:rPr>
        <w:t xml:space="preserve">6.2 Core Capabilities</w:t>
      </w:r>
    </w:p>
    <w:p>
      <w:pPr>
        <w:pStyle w:val="ListParagraph"/>
        <w:numPr>
          <w:ilvl w:val="0"/>
          <w:numId w:val="2"/>
        </w:numPr>
        <w:spacing w:after="60" w:before="60"/>
      </w:pPr>
      <w:r>
        <w:rPr>
          <w:rFonts w:ascii="Calibri" w:cs="Calibri" w:eastAsia="Calibri" w:hAnsi="Calibri"/>
          <w:color w:val="1A0000"/>
          <w:sz w:val="22"/>
          <w:szCs w:val="22"/>
        </w:rPr>
        <w:t xml:space="preserve">Language understanding and generation of fluent, coherent prose.</w:t>
      </w:r>
    </w:p>
    <w:p>
      <w:pPr>
        <w:pStyle w:val="ListParagraph"/>
        <w:numPr>
          <w:ilvl w:val="0"/>
          <w:numId w:val="2"/>
        </w:numPr>
        <w:spacing w:after="60" w:before="60"/>
      </w:pPr>
      <w:r>
        <w:rPr>
          <w:rFonts w:ascii="Calibri" w:cs="Calibri" w:eastAsia="Calibri" w:hAnsi="Calibri"/>
          <w:color w:val="1A0000"/>
          <w:sz w:val="22"/>
          <w:szCs w:val="22"/>
        </w:rPr>
        <w:t xml:space="preserve">Question answering, summarisation, and translation.</w:t>
      </w:r>
    </w:p>
    <w:p>
      <w:pPr>
        <w:pStyle w:val="ListParagraph"/>
        <w:numPr>
          <w:ilvl w:val="0"/>
          <w:numId w:val="2"/>
        </w:numPr>
        <w:spacing w:after="60" w:before="60"/>
      </w:pPr>
      <w:r>
        <w:rPr>
          <w:rFonts w:ascii="Calibri" w:cs="Calibri" w:eastAsia="Calibri" w:hAnsi="Calibri"/>
          <w:color w:val="1A0000"/>
          <w:sz w:val="22"/>
          <w:szCs w:val="22"/>
        </w:rPr>
        <w:t xml:space="preserve">Code generation, debugging, and explanation.</w:t>
      </w:r>
    </w:p>
    <w:p>
      <w:pPr>
        <w:pStyle w:val="ListParagraph"/>
        <w:numPr>
          <w:ilvl w:val="0"/>
          <w:numId w:val="2"/>
        </w:numPr>
        <w:spacing w:after="60" w:before="60"/>
      </w:pPr>
      <w:r>
        <w:rPr>
          <w:rFonts w:ascii="Calibri" w:cs="Calibri" w:eastAsia="Calibri" w:hAnsi="Calibri"/>
          <w:color w:val="1A0000"/>
          <w:sz w:val="22"/>
          <w:szCs w:val="22"/>
        </w:rPr>
        <w:t xml:space="preserve">Multi-step logical, mathematical, and commonsense reasoning.</w:t>
      </w:r>
    </w:p>
    <w:p>
      <w:pPr>
        <w:pStyle w:val="ListParagraph"/>
        <w:numPr>
          <w:ilvl w:val="0"/>
          <w:numId w:val="2"/>
        </w:numPr>
        <w:spacing w:after="60" w:before="60"/>
      </w:pPr>
      <w:r>
        <w:rPr>
          <w:rFonts w:ascii="Calibri" w:cs="Calibri" w:eastAsia="Calibri" w:hAnsi="Calibri"/>
          <w:color w:val="1A0000"/>
          <w:sz w:val="22"/>
          <w:szCs w:val="22"/>
        </w:rPr>
        <w:t xml:space="preserve">Complex instruction following in natural language.</w:t>
      </w:r>
    </w:p>
    <w:p>
      <w:pPr>
        <w:pStyle w:val="Heading2"/>
        <w:spacing w:after="80" w:before="280"/>
      </w:pPr>
      <w:r>
        <w:rPr>
          <w:rFonts w:ascii="Georgia" w:cs="Georgia" w:eastAsia="Georgia" w:hAnsi="Georgia"/>
          <w:b/>
          <w:bCs/>
          <w:color w:val="990000"/>
          <w:sz w:val="28"/>
          <w:szCs w:val="28"/>
        </w:rPr>
        <w:t xml:space="preserve">6.3 Emergence</w:t>
      </w:r>
    </w:p>
    <w:p>
      <w:pPr>
        <w:spacing w:after="80" w:before="80" w:line="320"/>
      </w:pPr>
      <w:r>
        <w:rPr>
          <w:rFonts w:ascii="Calibri" w:cs="Calibri" w:eastAsia="Calibri" w:hAnsi="Calibri"/>
          <w:color w:val="1A0000"/>
          <w:sz w:val="22"/>
          <w:szCs w:val="22"/>
        </w:rPr>
        <w:t xml:space="preserve">A striking phenomenon: new capabilities appear at scale that were not present in smaller models and were not explicitly trained for—including multi-step arithmetic and chain-of-thought reasoning. This emergent behaviour suggests qualitatively new intellectual capacities arise from scale.</w:t>
      </w:r>
    </w:p>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7. Transformer Architecture</w:t>
      </w:r>
    </w:p>
    <w:p>
      <w:pPr>
        <w:pStyle w:val="Heading2"/>
        <w:spacing w:after="80" w:before="280"/>
      </w:pPr>
      <w:r>
        <w:rPr>
          <w:rFonts w:ascii="Georgia" w:cs="Georgia" w:eastAsia="Georgia" w:hAnsi="Georgia"/>
          <w:b/>
          <w:bCs/>
          <w:color w:val="990000"/>
          <w:sz w:val="28"/>
          <w:szCs w:val="28"/>
        </w:rPr>
        <w:t xml:space="preserve">7.1 The Transformer</w:t>
      </w:r>
    </w:p>
    <w:p>
      <w:pPr>
        <w:spacing w:after="80" w:before="80" w:line="320"/>
      </w:pPr>
      <w:r>
        <w:rPr>
          <w:rFonts w:ascii="Calibri" w:cs="Calibri" w:eastAsia="Calibri" w:hAnsi="Calibri"/>
          <w:color w:val="1A0000"/>
          <w:sz w:val="22"/>
          <w:szCs w:val="22"/>
        </w:rPr>
        <w:t xml:space="preserve">Introduced by Vaswani et al. (2017) in 'Attention Is All You Need', the Transformer replaced recurrent architectures with self-attention, enabling parallel computation and long-range dependency capture.</w:t>
      </w:r>
    </w:p>
    <w:p>
      <w:pPr>
        <w:pStyle w:val="Heading3"/>
        <w:spacing w:after="60" w:before="200"/>
      </w:pPr>
      <w:r>
        <w:rPr>
          <w:rFonts w:ascii="Arial" w:cs="Arial" w:eastAsia="Arial" w:hAnsi="Arial"/>
          <w:b/>
          <w:bCs/>
          <w:color w:val="CC0000"/>
          <w:sz w:val="24"/>
          <w:szCs w:val="24"/>
        </w:rPr>
        <w:t xml:space="preserve">Key Components</w:t>
      </w:r>
    </w:p>
    <w:p>
      <w:pPr>
        <w:pStyle w:val="ListParagraph"/>
        <w:numPr>
          <w:ilvl w:val="0"/>
          <w:numId w:val="2"/>
        </w:numPr>
        <w:spacing w:after="60" w:before="60"/>
      </w:pPr>
      <w:r>
        <w:rPr>
          <w:rFonts w:ascii="Calibri" w:cs="Calibri" w:eastAsia="Calibri" w:hAnsi="Calibri"/>
          <w:color w:val="1A0000"/>
          <w:sz w:val="22"/>
          <w:szCs w:val="22"/>
        </w:rPr>
        <w:t xml:space="preserve">Input Embedding: Tokens converted to dense numerical vectors capturing semantic meaning.</w:t>
      </w:r>
    </w:p>
    <w:p>
      <w:pPr>
        <w:pStyle w:val="ListParagraph"/>
        <w:numPr>
          <w:ilvl w:val="0"/>
          <w:numId w:val="2"/>
        </w:numPr>
        <w:spacing w:after="60" w:before="60"/>
      </w:pPr>
      <w:r>
        <w:rPr>
          <w:rFonts w:ascii="Calibri" w:cs="Calibri" w:eastAsia="Calibri" w:hAnsi="Calibri"/>
          <w:color w:val="1A0000"/>
          <w:sz w:val="22"/>
          <w:szCs w:val="22"/>
        </w:rPr>
        <w:t xml:space="preserve">Positional Encoding: Preserves token order since Transformers process all tokens in parallel.</w:t>
      </w:r>
    </w:p>
    <w:p>
      <w:pPr>
        <w:pStyle w:val="ListParagraph"/>
        <w:numPr>
          <w:ilvl w:val="0"/>
          <w:numId w:val="2"/>
        </w:numPr>
        <w:spacing w:after="60" w:before="60"/>
      </w:pPr>
      <w:r>
        <w:rPr>
          <w:rFonts w:ascii="Calibri" w:cs="Calibri" w:eastAsia="Calibri" w:hAnsi="Calibri"/>
          <w:color w:val="1A0000"/>
          <w:sz w:val="22"/>
          <w:szCs w:val="22"/>
        </w:rPr>
        <w:t xml:space="preserve">Multi-Head Self-Attention: Computes weighted sums across all tokens, attending to different aspects simultaneously.</w:t>
      </w:r>
    </w:p>
    <w:p>
      <w:pPr>
        <w:pStyle w:val="ListParagraph"/>
        <w:numPr>
          <w:ilvl w:val="0"/>
          <w:numId w:val="2"/>
        </w:numPr>
        <w:spacing w:after="60" w:before="60"/>
      </w:pPr>
      <w:r>
        <w:rPr>
          <w:rFonts w:ascii="Calibri" w:cs="Calibri" w:eastAsia="Calibri" w:hAnsi="Calibri"/>
          <w:color w:val="1A0000"/>
          <w:sz w:val="22"/>
          <w:szCs w:val="22"/>
        </w:rPr>
        <w:t xml:space="preserve">Feed-Forward Layers: Apply non-linear transformations to each token representation.</w:t>
      </w:r>
    </w:p>
    <w:p>
      <w:pPr>
        <w:pStyle w:val="ListParagraph"/>
        <w:numPr>
          <w:ilvl w:val="0"/>
          <w:numId w:val="2"/>
        </w:numPr>
        <w:spacing w:after="60" w:before="60"/>
      </w:pPr>
      <w:r>
        <w:rPr>
          <w:rFonts w:ascii="Calibri" w:cs="Calibri" w:eastAsia="Calibri" w:hAnsi="Calibri"/>
          <w:color w:val="1A0000"/>
          <w:sz w:val="22"/>
          <w:szCs w:val="22"/>
        </w:rPr>
        <w:t xml:space="preserve">Layer Normalisation &amp; Residual Connections: Stabilise training and enable deep networks.</w:t>
      </w:r>
    </w:p>
    <w:p>
      <w:pPr>
        <w:pStyle w:val="Heading2"/>
        <w:spacing w:after="80" w:before="280"/>
      </w:pPr>
      <w:r>
        <w:rPr>
          <w:rFonts w:ascii="Georgia" w:cs="Georgia" w:eastAsia="Georgia" w:hAnsi="Georgia"/>
          <w:b/>
          <w:bCs/>
          <w:color w:val="990000"/>
          <w:sz w:val="28"/>
          <w:szCs w:val="28"/>
        </w:rPr>
        <w:t xml:space="preserve">7.2 GPT vs. BERT</w:t>
      </w:r>
    </w:p>
    <w:p>
      <w:pPr>
        <w:spacing w:after="80" w:before="80" w:line="320"/>
      </w:pPr>
      <w:r>
        <w:rPr>
          <w:rFonts w:ascii="Calibri" w:cs="Calibri" w:eastAsia="Calibri" w:hAnsi="Calibri"/>
          <w:color w:val="1A0000"/>
          <w:sz w:val="22"/>
          <w:szCs w:val="22"/>
        </w:rPr>
        <w:t xml:space="preserve">GPT (decoder-only) uses next-token prediction for open-ended generation. BERT (encoder-only) uses masked language modelling for bidirectional contextual understanding—better for classification and NLU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0000" w:sz="4"/>
              <w:left w:val="single" w:color="CC0000" w:sz="4"/>
              <w:bottom w:val="single" w:color="CC0000" w:sz="4"/>
              <w:right w:val="single" w:color="CC0000" w:sz="4"/>
            </w:tcBorders>
            <w:shd w:fill="1A0000"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120"/>
            <w:tcBorders>
              <w:top w:val="single" w:color="CC0000" w:sz="4"/>
              <w:left w:val="single" w:color="CC0000" w:sz="4"/>
              <w:bottom w:val="single" w:color="CC0000" w:sz="4"/>
              <w:right w:val="single" w:color="CC0000" w:sz="4"/>
            </w:tcBorders>
            <w:shd w:fill="1A0000" w:val="clear"/>
            <w:tcMar>
              <w:top w:type="dxa" w:w="100"/>
              <w:left w:type="dxa" w:w="120"/>
              <w:bottom w:type="dxa" w:w="100"/>
              <w:right w:type="dxa" w:w="120"/>
            </w:tcMar>
          </w:tcPr>
          <w:p>
            <w:r>
              <w:rPr>
                <w:rFonts w:ascii="Arial" w:cs="Arial" w:eastAsia="Arial" w:hAnsi="Arial"/>
                <w:b/>
                <w:bCs/>
                <w:color w:val="FFFFFF"/>
                <w:sz w:val="20"/>
                <w:szCs w:val="20"/>
              </w:rPr>
              <w:t xml:space="preserve">GPT</w:t>
            </w:r>
          </w:p>
        </w:tc>
        <w:tc>
          <w:tcPr>
            <w:tcW w:type="dxa" w:w="3120"/>
            <w:tcBorders>
              <w:top w:val="single" w:color="CC0000" w:sz="4"/>
              <w:left w:val="single" w:color="CC0000" w:sz="4"/>
              <w:bottom w:val="single" w:color="CC0000" w:sz="4"/>
              <w:right w:val="single" w:color="CC0000" w:sz="4"/>
            </w:tcBorders>
            <w:shd w:fill="1A0000" w:val="clear"/>
            <w:tcMar>
              <w:top w:type="dxa" w:w="100"/>
              <w:left w:type="dxa" w:w="120"/>
              <w:bottom w:type="dxa" w:w="100"/>
              <w:right w:type="dxa" w:w="120"/>
            </w:tcMar>
          </w:tcPr>
          <w:p>
            <w:r>
              <w:rPr>
                <w:rFonts w:ascii="Arial" w:cs="Arial" w:eastAsia="Arial" w:hAnsi="Arial"/>
                <w:b/>
                <w:bCs/>
                <w:color w:val="FFFFFF"/>
                <w:sz w:val="20"/>
                <w:szCs w:val="20"/>
              </w:rPr>
              <w:t xml:space="preserve">BERT</w:t>
            </w:r>
          </w:p>
        </w:tc>
      </w:tr>
      <w:tr>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Architecture</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Decoder-only</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Encoder-only</w:t>
            </w:r>
          </w:p>
        </w:tc>
      </w:tr>
      <w:tr>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Training Objective</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Next-token prediction</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Masked language modelling</w:t>
            </w:r>
          </w:p>
        </w:tc>
      </w:tr>
      <w:tr>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Attention Direction</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Unidirectional (left-to-right)</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Bidirectional</w:t>
            </w:r>
          </w:p>
        </w:tc>
      </w:tr>
      <w:tr>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Primary Use</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Text generation</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Classification, NLU</w:t>
            </w:r>
          </w:p>
        </w:tc>
      </w:tr>
      <w:tr>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Notable Models</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GPT-3, GPT-4, ChatGPT</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BERT, RoBERTa, ALBERT</w:t>
            </w:r>
          </w:p>
        </w:tc>
      </w:tr>
    </w:tbl>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8. Training Process and Data</w:t>
      </w:r>
    </w:p>
    <w:p>
      <w:pPr>
        <w:pStyle w:val="Heading2"/>
        <w:spacing w:after="80" w:before="280"/>
      </w:pPr>
      <w:r>
        <w:rPr>
          <w:rFonts w:ascii="Georgia" w:cs="Georgia" w:eastAsia="Georgia" w:hAnsi="Georgia"/>
          <w:b/>
          <w:bCs/>
          <w:color w:val="990000"/>
          <w:sz w:val="28"/>
          <w:szCs w:val="28"/>
        </w:rPr>
        <w:t xml:space="preserve">8.1 Pre-training</w:t>
      </w:r>
    </w:p>
    <w:p>
      <w:pPr>
        <w:spacing w:after="80" w:before="80" w:line="320"/>
      </w:pPr>
      <w:r>
        <w:rPr>
          <w:rFonts w:ascii="Calibri" w:cs="Calibri" w:eastAsia="Calibri" w:hAnsi="Calibri"/>
          <w:color w:val="1A0000"/>
          <w:sz w:val="22"/>
          <w:szCs w:val="22"/>
        </w:rPr>
        <w:t xml:space="preserve">Pre-training exposes the model to enormous text quantities, learning to predict tokens via cross-entropy loss. It requires thousands of AI accelerators (H100 GPUs or TPUs) running for weeks. Training GPT-3 required ~3,640 petaflop-days; GPT-4 cost an estimated $50–100 million.</w:t>
      </w:r>
    </w:p>
    <w:p>
      <w:pPr>
        <w:pStyle w:val="Heading2"/>
        <w:spacing w:after="80" w:before="280"/>
      </w:pPr>
      <w:r>
        <w:rPr>
          <w:rFonts w:ascii="Georgia" w:cs="Georgia" w:eastAsia="Georgia" w:hAnsi="Georgia"/>
          <w:b/>
          <w:bCs/>
          <w:color w:val="990000"/>
          <w:sz w:val="28"/>
          <w:szCs w:val="28"/>
        </w:rPr>
        <w:t xml:space="preserve">8.2 Training Data Sources</w:t>
      </w:r>
    </w:p>
    <w:p>
      <w:pPr>
        <w:pStyle w:val="ListParagraph"/>
        <w:numPr>
          <w:ilvl w:val="0"/>
          <w:numId w:val="2"/>
        </w:numPr>
        <w:spacing w:after="60" w:before="60"/>
      </w:pPr>
      <w:r>
        <w:rPr>
          <w:rFonts w:ascii="Calibri" w:cs="Calibri" w:eastAsia="Calibri" w:hAnsi="Calibri"/>
          <w:color w:val="1A0000"/>
          <w:sz w:val="22"/>
          <w:szCs w:val="22"/>
        </w:rPr>
        <w:t xml:space="preserve">Web Text: Common Crawl snapshots, quality-filtered.</w:t>
      </w:r>
    </w:p>
    <w:p>
      <w:pPr>
        <w:pStyle w:val="ListParagraph"/>
        <w:numPr>
          <w:ilvl w:val="0"/>
          <w:numId w:val="2"/>
        </w:numPr>
        <w:spacing w:after="60" w:before="60"/>
      </w:pPr>
      <w:r>
        <w:rPr>
          <w:rFonts w:ascii="Calibri" w:cs="Calibri" w:eastAsia="Calibri" w:hAnsi="Calibri"/>
          <w:color w:val="1A0000"/>
          <w:sz w:val="22"/>
          <w:szCs w:val="22"/>
        </w:rPr>
        <w:t xml:space="preserve">Books &amp; Academic Papers: Gutenberg, ArXiv, PubMed for long-form and scientific knowledge.</w:t>
      </w:r>
    </w:p>
    <w:p>
      <w:pPr>
        <w:pStyle w:val="ListParagraph"/>
        <w:numPr>
          <w:ilvl w:val="0"/>
          <w:numId w:val="2"/>
        </w:numPr>
        <w:spacing w:after="60" w:before="60"/>
      </w:pPr>
      <w:r>
        <w:rPr>
          <w:rFonts w:ascii="Calibri" w:cs="Calibri" w:eastAsia="Calibri" w:hAnsi="Calibri"/>
          <w:color w:val="1A0000"/>
          <w:sz w:val="22"/>
          <w:szCs w:val="22"/>
        </w:rPr>
        <w:t xml:space="preserve">Code: GitHub repositories enabling coding capabilities.</w:t>
      </w:r>
    </w:p>
    <w:p>
      <w:pPr>
        <w:pStyle w:val="ListParagraph"/>
        <w:numPr>
          <w:ilvl w:val="0"/>
          <w:numId w:val="2"/>
        </w:numPr>
        <w:spacing w:after="60" w:before="60"/>
      </w:pPr>
      <w:r>
        <w:rPr>
          <w:rFonts w:ascii="Calibri" w:cs="Calibri" w:eastAsia="Calibri" w:hAnsi="Calibri"/>
          <w:color w:val="1A0000"/>
          <w:sz w:val="22"/>
          <w:szCs w:val="22"/>
        </w:rPr>
        <w:t xml:space="preserve">Curated Datasets: Wikipedia, encyclopaedias, question-answer pairs.</w:t>
      </w:r>
    </w:p>
    <w:p>
      <w:pPr>
        <w:pStyle w:val="Heading2"/>
        <w:spacing w:after="80" w:before="280"/>
      </w:pPr>
      <w:r>
        <w:rPr>
          <w:rFonts w:ascii="Georgia" w:cs="Georgia" w:eastAsia="Georgia" w:hAnsi="Georgia"/>
          <w:b/>
          <w:bCs/>
          <w:color w:val="990000"/>
          <w:sz w:val="28"/>
          <w:szCs w:val="28"/>
        </w:rPr>
        <w:t xml:space="preserve">8.3 Alignment: RLHF</w:t>
      </w:r>
    </w:p>
    <w:p>
      <w:pPr>
        <w:spacing w:after="80" w:before="80" w:line="320"/>
      </w:pPr>
      <w:r>
        <w:rPr>
          <w:rFonts w:ascii="Calibri" w:cs="Calibri" w:eastAsia="Calibri" w:hAnsi="Calibri"/>
          <w:color w:val="1A0000"/>
          <w:sz w:val="22"/>
          <w:szCs w:val="22"/>
        </w:rPr>
        <w:t xml:space="preserve">After pre-training, models undergo Supervised Fine-Tuning (SFT) on instruction-response pairs, then Reinforcement Learning from Human Feedback (RLHF)—where human-ranked outputs train a reward model that guides further optimisation. This aligns behaviour with helpfulness, harmlessness, and honesty.</w:t>
      </w:r>
    </w:p>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9. Applications and Use Cases</w:t>
      </w:r>
    </w:p>
    <w:p>
      <w:pPr>
        <w:pStyle w:val="Heading2"/>
        <w:spacing w:after="80" w:before="280"/>
      </w:pPr>
      <w:r>
        <w:rPr>
          <w:rFonts w:ascii="Georgia" w:cs="Georgia" w:eastAsia="Georgia" w:hAnsi="Georgia"/>
          <w:b/>
          <w:bCs/>
          <w:color w:val="990000"/>
          <w:sz w:val="28"/>
          <w:szCs w:val="28"/>
        </w:rPr>
        <w:t xml:space="preserve">9.1 Healthcare</w:t>
      </w:r>
    </w:p>
    <w:p>
      <w:pPr>
        <w:spacing w:after="80" w:before="80" w:line="320"/>
      </w:pPr>
      <w:r>
        <w:rPr>
          <w:rFonts w:ascii="Calibri" w:cs="Calibri" w:eastAsia="Calibri" w:hAnsi="Calibri"/>
          <w:color w:val="1A0000"/>
          <w:sz w:val="22"/>
          <w:szCs w:val="22"/>
        </w:rPr>
        <w:t xml:space="preserve">LLMs summarise patient records, assist drug discovery via molecular generation, support radiology reporting, and provide clinical decision support to physicians.</w:t>
      </w:r>
    </w:p>
    <w:p>
      <w:pPr>
        <w:pStyle w:val="Heading2"/>
        <w:spacing w:after="80" w:before="280"/>
      </w:pPr>
      <w:r>
        <w:rPr>
          <w:rFonts w:ascii="Georgia" w:cs="Georgia" w:eastAsia="Georgia" w:hAnsi="Georgia"/>
          <w:b/>
          <w:bCs/>
          <w:color w:val="990000"/>
          <w:sz w:val="28"/>
          <w:szCs w:val="28"/>
        </w:rPr>
        <w:t xml:space="preserve">9.2 Education</w:t>
      </w:r>
    </w:p>
    <w:p>
      <w:pPr>
        <w:spacing w:after="80" w:before="80" w:line="320"/>
      </w:pPr>
      <w:r>
        <w:rPr>
          <w:rFonts w:ascii="Calibri" w:cs="Calibri" w:eastAsia="Calibri" w:hAnsi="Calibri"/>
          <w:color w:val="1A0000"/>
          <w:sz w:val="22"/>
          <w:szCs w:val="22"/>
        </w:rPr>
        <w:t xml:space="preserve">AI tutors (e.g., Khan Academy's Khanmigo) deliver personalised instruction. LLMs provide essay feedback, generate quizzes and lesson plans, and power language learning tools like Duolingo Max.</w:t>
      </w:r>
    </w:p>
    <w:p>
      <w:pPr>
        <w:pStyle w:val="Heading2"/>
        <w:spacing w:after="80" w:before="280"/>
      </w:pPr>
      <w:r>
        <w:rPr>
          <w:rFonts w:ascii="Georgia" w:cs="Georgia" w:eastAsia="Georgia" w:hAnsi="Georgia"/>
          <w:b/>
          <w:bCs/>
          <w:color w:val="990000"/>
          <w:sz w:val="28"/>
          <w:szCs w:val="28"/>
        </w:rPr>
        <w:t xml:space="preserve">9.3 Software Development</w:t>
      </w:r>
    </w:p>
    <w:p>
      <w:pPr>
        <w:spacing w:after="80" w:before="80" w:line="320"/>
      </w:pPr>
      <w:r>
        <w:rPr>
          <w:rFonts w:ascii="Calibri" w:cs="Calibri" w:eastAsia="Calibri" w:hAnsi="Calibri"/>
          <w:color w:val="1A0000"/>
          <w:sz w:val="22"/>
          <w:szCs w:val="22"/>
        </w:rPr>
        <w:t xml:space="preserve">GitHub Copilot completes code and generates functions from comments. LLMs detect and fix bugs, generate documentation and unit tests, reducing development time significantly.</w:t>
      </w:r>
    </w:p>
    <w:p>
      <w:pPr>
        <w:pStyle w:val="Heading2"/>
        <w:spacing w:after="80" w:before="280"/>
      </w:pPr>
      <w:r>
        <w:rPr>
          <w:rFonts w:ascii="Georgia" w:cs="Georgia" w:eastAsia="Georgia" w:hAnsi="Georgia"/>
          <w:b/>
          <w:bCs/>
          <w:color w:val="990000"/>
          <w:sz w:val="28"/>
          <w:szCs w:val="28"/>
        </w:rPr>
        <w:t xml:space="preserve">9.4 Creative Industries</w:t>
      </w:r>
    </w:p>
    <w:p>
      <w:pPr>
        <w:spacing w:after="80" w:before="80" w:line="320"/>
      </w:pPr>
      <w:r>
        <w:rPr>
          <w:rFonts w:ascii="Calibri" w:cs="Calibri" w:eastAsia="Calibri" w:hAnsi="Calibri"/>
          <w:color w:val="1A0000"/>
          <w:sz w:val="22"/>
          <w:szCs w:val="22"/>
        </w:rPr>
        <w:t xml:space="preserve">AI assists copywriting, screenplay brainstorming, and music generation (MusicGen, Suno). Image tools (Midjourney, DALL-E) are now standard in graphic design and concept art workflows.</w:t>
      </w:r>
    </w:p>
    <w:p>
      <w:pPr>
        <w:pStyle w:val="Heading2"/>
        <w:spacing w:after="80" w:before="280"/>
      </w:pPr>
      <w:r>
        <w:rPr>
          <w:rFonts w:ascii="Georgia" w:cs="Georgia" w:eastAsia="Georgia" w:hAnsi="Georgia"/>
          <w:b/>
          <w:bCs/>
          <w:color w:val="990000"/>
          <w:sz w:val="28"/>
          <w:szCs w:val="28"/>
        </w:rPr>
        <w:t xml:space="preserve">9.5 Business and Science</w:t>
      </w:r>
    </w:p>
    <w:p>
      <w:pPr>
        <w:spacing w:after="80" w:before="80" w:line="320"/>
      </w:pPr>
      <w:r>
        <w:rPr>
          <w:rFonts w:ascii="Calibri" w:cs="Calibri" w:eastAsia="Calibri" w:hAnsi="Calibri"/>
          <w:color w:val="1A0000"/>
          <w:sz w:val="22"/>
          <w:szCs w:val="22"/>
        </w:rPr>
        <w:t xml:space="preserve">Enterprise applications include customer service automation, contract analysis, market research, and financial report synthesis. In science, AlphaFold revolutionised protein structure prediction; AI accelerates literature review and hypothesis generation.</w:t>
      </w:r>
    </w:p>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10. Limitations and Ethical Considerations</w:t>
      </w:r>
    </w:p>
    <w:p>
      <w:pPr>
        <w:pStyle w:val="Heading2"/>
        <w:spacing w:after="80" w:before="280"/>
      </w:pPr>
      <w:r>
        <w:rPr>
          <w:rFonts w:ascii="Georgia" w:cs="Georgia" w:eastAsia="Georgia" w:hAnsi="Georgia"/>
          <w:b/>
          <w:bCs/>
          <w:color w:val="990000"/>
          <w:sz w:val="28"/>
          <w:szCs w:val="28"/>
        </w:rPr>
        <w:t xml:space="preserve">10.1 Technical Limitations</w:t>
      </w:r>
    </w:p>
    <w:p>
      <w:pPr>
        <w:pStyle w:val="ListParagraph"/>
        <w:numPr>
          <w:ilvl w:val="0"/>
          <w:numId w:val="2"/>
        </w:numPr>
        <w:spacing w:after="60" w:before="60"/>
      </w:pPr>
      <w:r>
        <w:rPr>
          <w:rFonts w:ascii="Calibri" w:cs="Calibri" w:eastAsia="Calibri" w:hAnsi="Calibri"/>
          <w:color w:val="1A0000"/>
          <w:sz w:val="22"/>
          <w:szCs w:val="22"/>
        </w:rPr>
        <w:t xml:space="preserve">Hallucination: LLMs generate plausible but factually incorrect statements—dangerous in healthcare, law, and finance.</w:t>
      </w:r>
    </w:p>
    <w:p>
      <w:pPr>
        <w:pStyle w:val="ListParagraph"/>
        <w:numPr>
          <w:ilvl w:val="0"/>
          <w:numId w:val="2"/>
        </w:numPr>
        <w:spacing w:after="60" w:before="60"/>
      </w:pPr>
      <w:r>
        <w:rPr>
          <w:rFonts w:ascii="Calibri" w:cs="Calibri" w:eastAsia="Calibri" w:hAnsi="Calibri"/>
          <w:color w:val="1A0000"/>
          <w:sz w:val="22"/>
          <w:szCs w:val="22"/>
        </w:rPr>
        <w:t xml:space="preserve">Context Window: Despite advances (200K–1M tokens), models still struggle with very long documents.</w:t>
      </w:r>
    </w:p>
    <w:p>
      <w:pPr>
        <w:pStyle w:val="ListParagraph"/>
        <w:numPr>
          <w:ilvl w:val="0"/>
          <w:numId w:val="2"/>
        </w:numPr>
        <w:spacing w:after="60" w:before="60"/>
      </w:pPr>
      <w:r>
        <w:rPr>
          <w:rFonts w:ascii="Calibri" w:cs="Calibri" w:eastAsia="Calibri" w:hAnsi="Calibri"/>
          <w:color w:val="1A0000"/>
          <w:sz w:val="22"/>
          <w:szCs w:val="22"/>
        </w:rPr>
        <w:t xml:space="preserve">Reasoning Gaps: Inconsistent multi-step logical and mathematical reasoning remains a challenge.</w:t>
      </w:r>
    </w:p>
    <w:p>
      <w:pPr>
        <w:pStyle w:val="ListParagraph"/>
        <w:numPr>
          <w:ilvl w:val="0"/>
          <w:numId w:val="2"/>
        </w:numPr>
        <w:spacing w:after="60" w:before="60"/>
      </w:pPr>
      <w:r>
        <w:rPr>
          <w:rFonts w:ascii="Calibri" w:cs="Calibri" w:eastAsia="Calibri" w:hAnsi="Calibri"/>
          <w:color w:val="1A0000"/>
          <w:sz w:val="22"/>
          <w:szCs w:val="22"/>
        </w:rPr>
        <w:t xml:space="preserve">Knowledge Cutoff: No awareness of events after training data cutoff; RAG partially mitigates this.</w:t>
      </w:r>
    </w:p>
    <w:p>
      <w:pPr>
        <w:pStyle w:val="Heading2"/>
        <w:spacing w:after="80" w:before="280"/>
      </w:pPr>
      <w:r>
        <w:rPr>
          <w:rFonts w:ascii="Georgia" w:cs="Georgia" w:eastAsia="Georgia" w:hAnsi="Georgia"/>
          <w:b/>
          <w:bCs/>
          <w:color w:val="990000"/>
          <w:sz w:val="28"/>
          <w:szCs w:val="28"/>
        </w:rPr>
        <w:t xml:space="preserve">10.2 Bias and Fairness</w:t>
      </w:r>
    </w:p>
    <w:p>
      <w:pPr>
        <w:spacing w:after="80" w:before="80" w:line="320"/>
      </w:pPr>
      <w:r>
        <w:rPr>
          <w:rFonts w:ascii="Calibri" w:cs="Calibri" w:eastAsia="Calibri" w:hAnsi="Calibri"/>
          <w:color w:val="1A0000"/>
          <w:sz w:val="22"/>
          <w:szCs w:val="22"/>
        </w:rPr>
        <w:t xml:space="preserve">LLMs inherit biases from internet training data: gender and racial stereotyping, cultural bias toward Western perspectives, and representational harms. Active research into debiasing continues without a complete solution.</w:t>
      </w:r>
    </w:p>
    <w:p>
      <w:pPr>
        <w:pStyle w:val="Heading2"/>
        <w:spacing w:after="80" w:before="280"/>
      </w:pPr>
      <w:r>
        <w:rPr>
          <w:rFonts w:ascii="Georgia" w:cs="Georgia" w:eastAsia="Georgia" w:hAnsi="Georgia"/>
          <w:b/>
          <w:bCs/>
          <w:color w:val="990000"/>
          <w:sz w:val="28"/>
          <w:szCs w:val="28"/>
        </w:rPr>
        <w:t xml:space="preserve">10.3 Privacy and Security</w:t>
      </w:r>
    </w:p>
    <w:p>
      <w:pPr>
        <w:spacing w:after="80" w:before="80" w:line="320"/>
      </w:pPr>
      <w:r>
        <w:rPr>
          <w:rFonts w:ascii="Calibri" w:cs="Calibri" w:eastAsia="Calibri" w:hAnsi="Calibri"/>
          <w:color w:val="1A0000"/>
          <w:sz w:val="22"/>
          <w:szCs w:val="22"/>
        </w:rPr>
        <w:t xml:space="preserve">Models may memorise PII from training data. Prompt injection attacks can bypass safety guidelines. LLMs can be misused for disinformation, phishing, and deepfake generation at scale.</w:t>
      </w:r>
    </w:p>
    <w:p>
      <w:pPr>
        <w:pStyle w:val="Heading2"/>
        <w:spacing w:after="80" w:before="280"/>
      </w:pPr>
      <w:r>
        <w:rPr>
          <w:rFonts w:ascii="Georgia" w:cs="Georgia" w:eastAsia="Georgia" w:hAnsi="Georgia"/>
          <w:b/>
          <w:bCs/>
          <w:color w:val="990000"/>
          <w:sz w:val="28"/>
          <w:szCs w:val="28"/>
        </w:rPr>
        <w:t xml:space="preserve">10.4 Environmental and Economic Impact</w:t>
      </w:r>
    </w:p>
    <w:p>
      <w:pPr>
        <w:spacing w:after="80" w:before="80" w:line="320"/>
      </w:pPr>
      <w:r>
        <w:rPr>
          <w:rFonts w:ascii="Calibri" w:cs="Calibri" w:eastAsia="Calibri" w:hAnsi="Calibri"/>
          <w:color w:val="1A0000"/>
          <w:sz w:val="22"/>
          <w:szCs w:val="22"/>
        </w:rPr>
        <w:t xml:space="preserve">Training large models can emit CO₂ equivalent to five cars over their lifetime. Job displacement in writing, translation, and customer service is ongoing, while AI development remains concentrated among a small number of well-resourced organisations.</w:t>
      </w:r>
    </w:p>
    <w:p>
      <w:pPr>
        <w:pStyle w:val="Heading2"/>
        <w:spacing w:after="80" w:before="280"/>
      </w:pPr>
      <w:r>
        <w:rPr>
          <w:rFonts w:ascii="Georgia" w:cs="Georgia" w:eastAsia="Georgia" w:hAnsi="Georgia"/>
          <w:b/>
          <w:bCs/>
          <w:color w:val="990000"/>
          <w:sz w:val="28"/>
          <w:szCs w:val="28"/>
        </w:rPr>
        <w:t xml:space="preserve">10.5 Safety and Alignment</w:t>
      </w:r>
    </w:p>
    <w:p>
      <w:pPr>
        <w:spacing w:after="80" w:before="80" w:line="320"/>
      </w:pPr>
      <w:r>
        <w:rPr>
          <w:rFonts w:ascii="Calibri" w:cs="Calibri" w:eastAsia="Calibri" w:hAnsi="Calibri"/>
          <w:color w:val="1A0000"/>
          <w:sz w:val="22"/>
          <w:szCs w:val="22"/>
        </w:rPr>
        <w:t xml:space="preserve">Ensuring AI systems act in accordance with human values is an unsolved problem. Key concerns include goal misspecification, deceptive alignment, and catastrophic risk from increasingly capable autonomous systems. Anthropic (Constitutional AI), OpenAI (RLHF), and research institutes like MIRI and CHAI are actively developing solutions.</w:t>
      </w:r>
    </w:p>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11. AI Evolution Timeline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0000" w:sz="4"/>
              <w:left w:val="single" w:color="CC0000" w:sz="4"/>
              <w:bottom w:val="single" w:color="CC0000" w:sz="4"/>
              <w:right w:val="single" w:color="CC0000" w:sz="4"/>
            </w:tcBorders>
            <w:shd w:fill="1A0000" w:val="clear"/>
            <w:tcMar>
              <w:top w:type="dxa" w:w="100"/>
              <w:left w:type="dxa" w:w="120"/>
              <w:bottom w:type="dxa" w:w="100"/>
              <w:right w:type="dxa" w:w="120"/>
            </w:tcMar>
          </w:tcPr>
          <w:p>
            <w:r>
              <w:rPr>
                <w:rFonts w:ascii="Arial" w:cs="Arial" w:eastAsia="Arial" w:hAnsi="Arial"/>
                <w:b/>
                <w:bCs/>
                <w:color w:val="FFFFFF"/>
                <w:sz w:val="20"/>
                <w:szCs w:val="20"/>
              </w:rPr>
              <w:t xml:space="preserve">Year</w:t>
            </w:r>
          </w:p>
        </w:tc>
        <w:tc>
          <w:tcPr>
            <w:tcW w:type="dxa" w:w="3120"/>
            <w:tcBorders>
              <w:top w:val="single" w:color="CC0000" w:sz="4"/>
              <w:left w:val="single" w:color="CC0000" w:sz="4"/>
              <w:bottom w:val="single" w:color="CC0000" w:sz="4"/>
              <w:right w:val="single" w:color="CC0000" w:sz="4"/>
            </w:tcBorders>
            <w:shd w:fill="1A0000"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3120"/>
            <w:tcBorders>
              <w:top w:val="single" w:color="CC0000" w:sz="4"/>
              <w:left w:val="single" w:color="CC0000" w:sz="4"/>
              <w:bottom w:val="single" w:color="CC0000" w:sz="4"/>
              <w:right w:val="single" w:color="CC0000" w:sz="4"/>
            </w:tcBorders>
            <w:shd w:fill="1A0000" w:val="clear"/>
            <w:tcMar>
              <w:top w:type="dxa" w:w="100"/>
              <w:left w:type="dxa" w:w="120"/>
              <w:bottom w:type="dxa" w:w="100"/>
              <w:right w:type="dxa" w:w="120"/>
            </w:tcMar>
          </w:tcPr>
          <w:p>
            <w:r>
              <w:rPr>
                <w:rFonts w:ascii="Arial" w:cs="Arial" w:eastAsia="Arial" w:hAnsi="Arial"/>
                <w:b/>
                <w:bCs/>
                <w:color w:val="FFFFFF"/>
                <w:sz w:val="20"/>
                <w:szCs w:val="20"/>
              </w:rPr>
              <w:t xml:space="preserve">Significance</w:t>
            </w:r>
          </w:p>
        </w:tc>
      </w:tr>
      <w:tr>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1956</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Dartmouth Conference</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AI coined as a formal discipline.</w:t>
            </w:r>
          </w:p>
        </w:tc>
      </w:tr>
      <w:tr>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1986</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Backpropagation</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Enabled training of deep multi-layer networks.</w:t>
            </w:r>
          </w:p>
        </w:tc>
      </w:tr>
      <w:tr>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2012</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AlexNet</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Deep CNN wins ImageNet; catalyses deep learning revolution.</w:t>
            </w:r>
          </w:p>
        </w:tc>
      </w:tr>
      <w:tr>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2014</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GANs Introduced</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Goodfellow introduces Generative Adversarial Networks.</w:t>
            </w:r>
          </w:p>
        </w:tc>
      </w:tr>
      <w:tr>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2017</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Transformer</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'Attention Is All You Need'—foundational LLM architecture.</w:t>
            </w:r>
          </w:p>
        </w:tc>
      </w:tr>
      <w:tr>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2018</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BERT &amp; GPT-1</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Pre-training era begins; Google and OpenAI release first models.</w:t>
            </w:r>
          </w:p>
        </w:tc>
      </w:tr>
      <w:tr>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2020</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GPT-3</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175B parameters; demonstrates emergent few-shot learning.</w:t>
            </w:r>
          </w:p>
        </w:tc>
      </w:tr>
      <w:tr>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2022</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ChatGPT / Stable Diffusion</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ChatGPT reaches 100M users; open-source image generation.</w:t>
            </w:r>
          </w:p>
        </w:tc>
      </w:tr>
      <w:tr>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2023</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GPT-4 / LLaMA</w:t>
            </w:r>
          </w:p>
        </w:tc>
        <w:tc>
          <w:tcPr>
            <w:tcW w:type="dxa" w:w="3120"/>
            <w:tcBorders>
              <w:top w:val="single" w:color="CC0000" w:sz="4"/>
              <w:left w:val="single" w:color="CC0000" w:sz="4"/>
              <w:bottom w:val="single" w:color="CC0000" w:sz="4"/>
              <w:right w:val="single" w:color="CC0000" w:sz="4"/>
            </w:tcBorders>
            <w:shd w:fill="FFF5F5" w:val="clear"/>
            <w:tcMar>
              <w:top w:type="dxa" w:w="80"/>
              <w:left w:type="dxa" w:w="120"/>
              <w:bottom w:type="dxa" w:w="80"/>
              <w:right w:type="dxa" w:w="120"/>
            </w:tcMar>
          </w:tcPr>
          <w:p>
            <w:r>
              <w:rPr>
                <w:rFonts w:ascii="Calibri" w:cs="Calibri" w:eastAsia="Calibri" w:hAnsi="Calibri"/>
                <w:color w:val="1A0000"/>
                <w:sz w:val="20"/>
                <w:szCs w:val="20"/>
              </w:rPr>
              <w:t xml:space="preserve">Multimodal capabilities; Meta releases open models.</w:t>
            </w:r>
          </w:p>
        </w:tc>
      </w:tr>
      <w:tr>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2024</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Multimodal &amp; Agentic AI</w:t>
            </w:r>
          </w:p>
        </w:tc>
        <w:tc>
          <w:tcPr>
            <w:tcW w:type="dxa" w:w="3120"/>
            <w:tcBorders>
              <w:top w:val="single" w:color="CC0000" w:sz="4"/>
              <w:left w:val="single" w:color="CC0000" w:sz="4"/>
              <w:bottom w:val="single" w:color="CC0000" w:sz="4"/>
              <w:right w:val="single" w:color="CC0000" w:sz="4"/>
            </w:tcBorders>
            <w:shd w:fill="FFFFFF" w:val="clear"/>
            <w:tcMar>
              <w:top w:type="dxa" w:w="80"/>
              <w:left w:type="dxa" w:w="120"/>
              <w:bottom w:type="dxa" w:w="80"/>
              <w:right w:type="dxa" w:w="120"/>
            </w:tcMar>
          </w:tcPr>
          <w:p>
            <w:r>
              <w:rPr>
                <w:rFonts w:ascii="Calibri" w:cs="Calibri" w:eastAsia="Calibri" w:hAnsi="Calibri"/>
                <w:color w:val="1A0000"/>
                <w:sz w:val="20"/>
                <w:szCs w:val="20"/>
              </w:rPr>
              <w:t xml:space="preserve">GPT-4o, Gemini Ultra, Claude 3; video gen, 1M token contexts.</w:t>
            </w:r>
          </w:p>
        </w:tc>
      </w:tr>
    </w:tbl>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12. Future Trends</w:t>
      </w:r>
    </w:p>
    <w:p>
      <w:pPr>
        <w:pStyle w:val="Heading2"/>
        <w:spacing w:after="80" w:before="280"/>
      </w:pPr>
      <w:r>
        <w:rPr>
          <w:rFonts w:ascii="Georgia" w:cs="Georgia" w:eastAsia="Georgia" w:hAnsi="Georgia"/>
          <w:b/>
          <w:bCs/>
          <w:color w:val="990000"/>
          <w:sz w:val="28"/>
          <w:szCs w:val="28"/>
        </w:rPr>
        <w:t xml:space="preserve">12.1 Multimodal Foundation Models</w:t>
      </w:r>
    </w:p>
    <w:p>
      <w:pPr>
        <w:spacing w:after="80" w:before="80" w:line="320"/>
      </w:pPr>
      <w:r>
        <w:rPr>
          <w:rFonts w:ascii="Calibri" w:cs="Calibri" w:eastAsia="Calibri" w:hAnsi="Calibri"/>
          <w:color w:val="1A0000"/>
          <w:sz w:val="22"/>
          <w:szCs w:val="22"/>
        </w:rPr>
        <w:t xml:space="preserve">Next-generation systems will natively integrate text, images, audio, video, and structured data—reasoning across all modalities without separate specialised modules. GPT-4o and Gemini Ultra represent early iterations.</w:t>
      </w:r>
    </w:p>
    <w:p>
      <w:pPr>
        <w:pStyle w:val="Heading2"/>
        <w:spacing w:after="80" w:before="280"/>
      </w:pPr>
      <w:r>
        <w:rPr>
          <w:rFonts w:ascii="Georgia" w:cs="Georgia" w:eastAsia="Georgia" w:hAnsi="Georgia"/>
          <w:b/>
          <w:bCs/>
          <w:color w:val="990000"/>
          <w:sz w:val="28"/>
          <w:szCs w:val="28"/>
        </w:rPr>
        <w:t xml:space="preserve">12.2 Agentic AI</w:t>
      </w:r>
    </w:p>
    <w:p>
      <w:pPr>
        <w:spacing w:after="80" w:before="80" w:line="320"/>
      </w:pPr>
      <w:r>
        <w:rPr>
          <w:rFonts w:ascii="Calibri" w:cs="Calibri" w:eastAsia="Calibri" w:hAnsi="Calibri"/>
          <w:color w:val="1A0000"/>
          <w:sz w:val="22"/>
          <w:szCs w:val="22"/>
        </w:rPr>
        <w:t xml:space="preserve">AI agents autonomously plan and execute multi-step tasks using tools (browsers, APIs, code interpreters). Key research directions include long-horizon planning, persistent memory, multi-agent collaboration, and safe tool use.</w:t>
      </w:r>
    </w:p>
    <w:p>
      <w:pPr>
        <w:pStyle w:val="Heading2"/>
        <w:spacing w:after="80" w:before="280"/>
      </w:pPr>
      <w:r>
        <w:rPr>
          <w:rFonts w:ascii="Georgia" w:cs="Georgia" w:eastAsia="Georgia" w:hAnsi="Georgia"/>
          <w:b/>
          <w:bCs/>
          <w:color w:val="990000"/>
          <w:sz w:val="28"/>
          <w:szCs w:val="28"/>
        </w:rPr>
        <w:t xml:space="preserve">12.3 Efficiency Innovations</w:t>
      </w:r>
    </w:p>
    <w:p>
      <w:pPr>
        <w:spacing w:after="80" w:before="80" w:line="320"/>
      </w:pPr>
      <w:r>
        <w:rPr>
          <w:rFonts w:ascii="Calibri" w:cs="Calibri" w:eastAsia="Calibri" w:hAnsi="Calibri"/>
          <w:color w:val="1A0000"/>
          <w:sz w:val="22"/>
          <w:szCs w:val="22"/>
        </w:rPr>
        <w:t xml:space="preserve">Mixture of Experts (MoE), quantisation, knowledge distillation, and State Space Models (e.g., Mamba) are producing increasingly capable models at far lower compute costs.</w:t>
      </w:r>
    </w:p>
    <w:p>
      <w:pPr>
        <w:pStyle w:val="Heading2"/>
        <w:spacing w:after="80" w:before="280"/>
      </w:pPr>
      <w:r>
        <w:rPr>
          <w:rFonts w:ascii="Georgia" w:cs="Georgia" w:eastAsia="Georgia" w:hAnsi="Georgia"/>
          <w:b/>
          <w:bCs/>
          <w:color w:val="990000"/>
          <w:sz w:val="28"/>
          <w:szCs w:val="28"/>
        </w:rPr>
        <w:t xml:space="preserve">12.4 AI Governance</w:t>
      </w:r>
    </w:p>
    <w:p>
      <w:pPr>
        <w:spacing w:after="80" w:before="80" w:line="320"/>
      </w:pPr>
      <w:r>
        <w:rPr>
          <w:rFonts w:ascii="Calibri" w:cs="Calibri" w:eastAsia="Calibri" w:hAnsi="Calibri"/>
          <w:color w:val="1A0000"/>
          <w:sz w:val="22"/>
          <w:szCs w:val="22"/>
        </w:rPr>
        <w:t xml:space="preserve">The EU AI Act (2024) established the first comprehensive AI regulatory framework. US Executive Orders and international safety summits are coordinating shared standards. Governance is racing to keep pace with deployment.</w:t>
      </w:r>
    </w:p>
    <w:p>
      <w:pPr>
        <w:pStyle w:val="Heading2"/>
        <w:spacing w:after="80" w:before="280"/>
      </w:pPr>
      <w:r>
        <w:rPr>
          <w:rFonts w:ascii="Georgia" w:cs="Georgia" w:eastAsia="Georgia" w:hAnsi="Georgia"/>
          <w:b/>
          <w:bCs/>
          <w:color w:val="990000"/>
          <w:sz w:val="28"/>
          <w:szCs w:val="28"/>
        </w:rPr>
        <w:t xml:space="preserve">12.5 Artificial General Intelligence</w:t>
      </w:r>
    </w:p>
    <w:p>
      <w:pPr>
        <w:spacing w:after="80" w:before="80" w:line="320"/>
      </w:pPr>
      <w:r>
        <w:rPr>
          <w:rFonts w:ascii="Calibri" w:cs="Calibri" w:eastAsia="Calibri" w:hAnsi="Calibri"/>
          <w:color w:val="1A0000"/>
          <w:sz w:val="22"/>
          <w:szCs w:val="22"/>
        </w:rPr>
        <w:t xml:space="preserve">AGI remains contested—timelines range from years to decades or never. However, rapid progress since 2017 has prompted serious engagement with medium-term possibilities and the alignment challenges they entail.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C0000" w:sz="12"/>
              <w:left w:val="single" w:color="CC0000" w:sz="12"/>
              <w:bottom w:val="single" w:color="CC0000" w:sz="12"/>
              <w:right w:val="single" w:color="CC0000" w:sz="12"/>
            </w:tcBorders>
            <w:shd w:fill="FFF0F0" w:val="clear"/>
            <w:tcMar>
              <w:top w:type="dxa" w:w="120"/>
              <w:left w:type="dxa" w:w="240"/>
              <w:bottom w:type="dxa" w:w="120"/>
              <w:right w:type="dxa" w:w="240"/>
            </w:tcMar>
          </w:tcPr>
          <w:p>
            <w:pPr>
              <w:spacing w:after="60" w:before="0"/>
            </w:pPr>
            <w:r>
              <w:rPr>
                <w:rFonts w:ascii="Arial" w:cs="Arial" w:eastAsia="Arial" w:hAnsi="Arial"/>
                <w:b/>
                <w:bCs/>
                <w:caps/>
                <w:color w:val="CC0000"/>
                <w:sz w:val="18"/>
                <w:szCs w:val="18"/>
              </w:rPr>
              <w:t xml:space="preserve">INDUSTRY PERSPECTIVE</w:t>
            </w:r>
          </w:p>
          <w:p>
            <w:pPr>
              <w:spacing w:after="0" w:before="0"/>
            </w:pPr>
            <w:r>
              <w:rPr>
                <w:rFonts w:ascii="Calibri" w:cs="Calibri" w:eastAsia="Calibri" w:hAnsi="Calibri"/>
                <w:i/>
                <w:iCs/>
                <w:color w:val="1A0000"/>
                <w:sz w:val="21"/>
                <w:szCs w:val="21"/>
              </w:rPr>
              <w:t xml:space="preserve">OpenAI's Sam Altman, Anthropic's Dario Amodei, and Google DeepMind's Demis Hassabis have all indicated AGI-level systems could emerge within this decade, underscoring the urgency of safety research.</w:t>
            </w:r>
          </w:p>
        </w:tc>
      </w:tr>
    </w:tbl>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13. Conclusion</w:t>
      </w:r>
    </w:p>
    <w:p>
      <w:pPr>
        <w:spacing w:after="80" w:before="80" w:line="320"/>
      </w:pPr>
      <w:r>
        <w:rPr>
          <w:rFonts w:ascii="Calibri" w:cs="Calibri" w:eastAsia="Calibri" w:hAnsi="Calibri"/>
          <w:color w:val="1A0000"/>
          <w:sz w:val="22"/>
          <w:szCs w:val="22"/>
        </w:rPr>
        <w:t xml:space="preserve">Generative AI and Large Language Models represent one of the most consequential technological developments of the 21st century. From the Transformer's introduction in 2017 through today's GPT-4, Claude, and Gemini, the field has accelerated dramatically—reshaping healthcare, education, software development, and creative industries.</w:t>
      </w:r>
    </w:p>
    <w:p>
      <w:pPr>
        <w:spacing w:after="80" w:before="80" w:line="320"/>
      </w:pPr>
      <w:r>
        <w:rPr>
          <w:rFonts w:ascii="Calibri" w:cs="Calibri" w:eastAsia="Calibri" w:hAnsi="Calibri"/>
          <w:color w:val="1A0000"/>
          <w:sz w:val="22"/>
          <w:szCs w:val="22"/>
        </w:rPr>
        <w:t xml:space="preserve">Yet significant challenges remain: hallucination, bias, privacy risks, computational costs, and the alignment problem demand continued research and thoughtful governance. The concentration of AI among a few powerful organisations raises equity concerns, while rapid deployment outstrips regulation.</w:t>
      </w:r>
    </w:p>
    <w:p>
      <w:pPr>
        <w:spacing w:after="80" w:before="80" w:line="320"/>
      </w:pPr>
      <w:r>
        <w:rPr>
          <w:rFonts w:ascii="Calibri" w:cs="Calibri" w:eastAsia="Calibri" w:hAnsi="Calibri"/>
          <w:color w:val="1A0000"/>
          <w:sz w:val="22"/>
          <w:szCs w:val="22"/>
        </w:rPr>
        <w:t xml:space="preserve">For students entering this field, the opportunities are extraordinary. Technical rigour and humanistic sensitivity are both essential—the most pressing AI problems involve not only making models more capable, but making them safe, fair, and beneficial to all. The story of Generative AI is still in its early chapters.</w:t>
      </w:r>
    </w:p>
    <w:p>
      <w:pPr>
        <w:spacing w:after="0" w:before="0"/>
      </w:pPr>
      <w:r>
        <w:t xml:space="preserve"/>
      </w:r>
    </w:p>
    <w:p>
      <w:pPr>
        <w:pStyle w:val="Heading1"/>
        <w:pBdr>
          <w:bottom w:val="single" w:color="CC0000" w:sz="8" w:space="4"/>
        </w:pBdr>
        <w:spacing w:after="120" w:before="360"/>
      </w:pPr>
      <w:r>
        <w:rPr>
          <w:rFonts w:ascii="Georgia" w:cs="Georgia" w:eastAsia="Georgia" w:hAnsi="Georgia"/>
          <w:b/>
          <w:bCs/>
          <w:color w:val="1A0000"/>
          <w:sz w:val="36"/>
          <w:szCs w:val="36"/>
        </w:rPr>
        <w:t xml:space="preserve">14. References</w:t>
      </w:r>
    </w:p>
    <w:p>
      <w:pPr>
        <w:spacing w:after="80" w:before="80" w:line="320"/>
      </w:pPr>
      <w:r>
        <w:rPr>
          <w:rFonts w:ascii="Calibri" w:cs="Calibri" w:eastAsia="Calibri" w:hAnsi="Calibri"/>
          <w:color w:val="1A0000"/>
          <w:sz w:val="22"/>
          <w:szCs w:val="22"/>
        </w:rPr>
        <w:t xml:space="preserve">Vaswani, A., et al. (2017). Attention Is All You Need. NeurIPS, 30.</w:t>
      </w:r>
    </w:p>
    <w:p>
      <w:pPr>
        <w:spacing w:after="80" w:before="80" w:line="320"/>
      </w:pPr>
      <w:r>
        <w:rPr>
          <w:rFonts w:ascii="Calibri" w:cs="Calibri" w:eastAsia="Calibri" w:hAnsi="Calibri"/>
          <w:color w:val="1A0000"/>
          <w:sz w:val="22"/>
          <w:szCs w:val="22"/>
        </w:rPr>
        <w:t xml:space="preserve">Goodfellow, I., et al. (2014). Generative Adversarial Nets. NeurIPS, 27.</w:t>
      </w:r>
    </w:p>
    <w:p>
      <w:pPr>
        <w:spacing w:after="80" w:before="80" w:line="320"/>
      </w:pPr>
      <w:r>
        <w:rPr>
          <w:rFonts w:ascii="Calibri" w:cs="Calibri" w:eastAsia="Calibri" w:hAnsi="Calibri"/>
          <w:color w:val="1A0000"/>
          <w:sz w:val="22"/>
          <w:szCs w:val="22"/>
        </w:rPr>
        <w:t xml:space="preserve">Devlin, J., et al. (2019). BERT: Pre-training of Deep Bidirectional Transformers. NAACL-HLT.</w:t>
      </w:r>
    </w:p>
    <w:p>
      <w:pPr>
        <w:spacing w:after="80" w:before="80" w:line="320"/>
      </w:pPr>
      <w:r>
        <w:rPr>
          <w:rFonts w:ascii="Calibri" w:cs="Calibri" w:eastAsia="Calibri" w:hAnsi="Calibri"/>
          <w:color w:val="1A0000"/>
          <w:sz w:val="22"/>
          <w:szCs w:val="22"/>
        </w:rPr>
        <w:t xml:space="preserve">Brown, T., et al. (2020). Language Models are Few-Shot Learners. NeurIPS, 33.</w:t>
      </w:r>
    </w:p>
    <w:p>
      <w:pPr>
        <w:spacing w:after="80" w:before="80" w:line="320"/>
      </w:pPr>
      <w:r>
        <w:rPr>
          <w:rFonts w:ascii="Calibri" w:cs="Calibri" w:eastAsia="Calibri" w:hAnsi="Calibri"/>
          <w:color w:val="1A0000"/>
          <w:sz w:val="22"/>
          <w:szCs w:val="22"/>
        </w:rPr>
        <w:t xml:space="preserve">Ho, J., Jain, A., &amp; Abbeel, P. (2020). Denoising Diffusion Probabilistic Models. NeurIPS, 33.</w:t>
      </w:r>
    </w:p>
    <w:p>
      <w:pPr>
        <w:spacing w:after="80" w:before="80" w:line="320"/>
      </w:pPr>
      <w:r>
        <w:rPr>
          <w:rFonts w:ascii="Calibri" w:cs="Calibri" w:eastAsia="Calibri" w:hAnsi="Calibri"/>
          <w:color w:val="1A0000"/>
          <w:sz w:val="22"/>
          <w:szCs w:val="22"/>
        </w:rPr>
        <w:t xml:space="preserve">Kingma, D. P., &amp; Welling, M. (2013). Auto-Encoding Variational Bayes. arXiv:1312.6114.</w:t>
      </w:r>
    </w:p>
    <w:p>
      <w:pPr>
        <w:spacing w:after="80" w:before="80" w:line="320"/>
      </w:pPr>
      <w:r>
        <w:rPr>
          <w:rFonts w:ascii="Calibri" w:cs="Calibri" w:eastAsia="Calibri" w:hAnsi="Calibri"/>
          <w:color w:val="1A0000"/>
          <w:sz w:val="22"/>
          <w:szCs w:val="22"/>
        </w:rPr>
        <w:t xml:space="preserve">OpenAI. (2023). GPT-4 Technical Report. arXiv:2303.08774.</w:t>
      </w:r>
    </w:p>
    <w:p>
      <w:pPr>
        <w:spacing w:after="80" w:before="80" w:line="320"/>
      </w:pPr>
      <w:r>
        <w:rPr>
          <w:rFonts w:ascii="Calibri" w:cs="Calibri" w:eastAsia="Calibri" w:hAnsi="Calibri"/>
          <w:color w:val="1A0000"/>
          <w:sz w:val="22"/>
          <w:szCs w:val="22"/>
        </w:rPr>
        <w:t xml:space="preserve">LeCun, Y., Bengio, Y., &amp; Hinton, G. (2015). Deep Learning. Nature, 521, 436–444.</w:t>
      </w:r>
    </w:p>
    <w:p>
      <w:pPr>
        <w:spacing w:after="80" w:before="80" w:line="320"/>
      </w:pPr>
      <w:r>
        <w:rPr>
          <w:rFonts w:ascii="Calibri" w:cs="Calibri" w:eastAsia="Calibri" w:hAnsi="Calibri"/>
          <w:color w:val="1A0000"/>
          <w:sz w:val="22"/>
          <w:szCs w:val="22"/>
        </w:rPr>
        <w:t xml:space="preserve">Jumper, J., et al. (2021). Highly accurate protein structure prediction with AlphaFold. Nature, 596, 583–589.</w:t>
      </w:r>
    </w:p>
    <w:p>
      <w:pPr>
        <w:spacing w:after="80" w:before="80" w:line="320"/>
      </w:pPr>
      <w:r>
        <w:rPr>
          <w:rFonts w:ascii="Calibri" w:cs="Calibri" w:eastAsia="Calibri" w:hAnsi="Calibri"/>
          <w:color w:val="1A0000"/>
          <w:sz w:val="22"/>
          <w:szCs w:val="22"/>
        </w:rPr>
        <w:t xml:space="preserve">Russell, S., &amp; Norvig, P. (2020). Artificial Intelligence: A Modern Approach (4th ed.). Pearson.</w:t>
      </w:r>
    </w:p>
    <w:p>
      <w:pPr>
        <w:spacing w:after="80" w:before="80" w:line="320"/>
      </w:pPr>
      <w:r>
        <w:rPr>
          <w:rFonts w:ascii="Calibri" w:cs="Calibri" w:eastAsia="Calibri" w:hAnsi="Calibri"/>
          <w:color w:val="1A0000"/>
          <w:sz w:val="22"/>
          <w:szCs w:val="22"/>
        </w:rPr>
        <w:t xml:space="preserve">European Parliament. (2024). EU Artificial Intelligence Act. Official Journal of the EU.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00" w:sz="6" w:space="4"/>
      </w:pBdr>
      <w:tabs>
        <w:tab w:val="right" w:pos="9026"/>
      </w:tabs>
      <w:spacing w:after="0" w:before="80"/>
    </w:pPr>
    <w:r>
      <w:rPr>
        <w:rFonts w:ascii="Calibri" w:cs="Calibri" w:eastAsia="Calibri" w:hAnsi="Calibri"/>
        <w:color w:val="666666"/>
        <w:sz w:val="18"/>
        <w:szCs w:val="18"/>
      </w:rPr>
      <w:t xml:space="preserve">© 2025 Academic Report</w:t>
    </w:r>
    <w:r>
      <w:rPr>
        <w:rFonts w:ascii="Calibri" w:cs="Calibri" w:eastAsia="Calibri" w:hAnsi="Calibri"/>
        <w:color w:val="666666"/>
        <w:sz w:val="18"/>
        <w:szCs w:val="18"/>
      </w:rPr>
      <w:t xml:space="preserve">	Page </w:t>
    </w:r>
    <w:r>
      <w:rPr>
        <w:rFonts w:ascii="Calibri" w:cs="Calibri" w:eastAsia="Calibri" w:hAnsi="Calibri"/>
        <w:color w:val="CC0000"/>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6" w:space="4"/>
      </w:pBdr>
      <w:spacing w:after="80" w:before="0"/>
    </w:pPr>
    <w:r>
      <w:rPr>
        <w:rFonts w:ascii="Calibri" w:cs="Calibri" w:eastAsia="Calibri" w:hAnsi="Calibri"/>
        <w:b/>
        <w:bCs/>
        <w:color w:val="990000"/>
        <w:sz w:val="18"/>
        <w:szCs w:val="18"/>
      </w:rPr>
      <w:t xml:space="preserve">Fundamentals of Generative AI &amp; LLMs</w:t>
    </w:r>
    <w:r>
      <w:rPr>
        <w:rFonts w:ascii="Calibri" w:cs="Calibri" w:eastAsia="Calibri" w:hAnsi="Calibri"/>
        <w:color w:val="666666"/>
        <w:sz w:val="18"/>
        <w:szCs w:val="18"/>
      </w:rPr>
      <w:t xml:space="preserve">   |   Academic Report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A0000"/>
      <w:sz w:val="36"/>
      <w:szCs w:val="36"/>
    </w:rPr>
  </w:style>
  <w:style w:type="paragraph" w:styleId="Heading2">
    <w:name w:val="Heading 2"/>
    <w:basedOn w:val="Normal"/>
    <w:next w:val="Normal"/>
    <w:qFormat/>
    <w:pPr>
      <w:spacing w:after="80" w:before="280"/>
      <w:outlineLvl w:val="1"/>
    </w:pPr>
    <w:rPr>
      <w:rFonts w:ascii="Georgia" w:cs="Georgia" w:eastAsia="Georgia" w:hAnsi="Georgia"/>
      <w:b/>
      <w:bCs/>
      <w:color w:val="99000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CC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2026-04-30T10:47:31.785Z</dcterms:created>
  <dcterms:modified xsi:type="dcterms:W3CDTF">2026-04-30T10:47:31.785Z</dcterms:modified>
</cp:coreProperties>
</file>

<file path=docProps/custom.xml><?xml version="1.0" encoding="utf-8"?>
<Properties xmlns="http://schemas.openxmlformats.org/officeDocument/2006/custom-properties" xmlns:vt="http://schemas.openxmlformats.org/officeDocument/2006/docPropsVTypes"/>
</file>