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DC97C" w14:textId="77777777" w:rsidR="00AF536B" w:rsidRDefault="00CB6A0F">
      <w:pPr>
        <w:rPr>
          <w:rFonts w:ascii="Arial" w:hAnsi="Arial" w:cs="Arial"/>
        </w:rPr>
      </w:pPr>
      <w:r w:rsidRPr="00CB6A0F">
        <w:rPr>
          <w:rFonts w:ascii="Arial" w:hAnsi="Arial" w:cs="Arial"/>
          <w:b/>
        </w:rPr>
        <w:t>Title</w:t>
      </w:r>
      <w:r w:rsidRPr="00CB6A0F">
        <w:rPr>
          <w:rFonts w:ascii="Arial" w:hAnsi="Arial" w:cs="Arial"/>
        </w:rPr>
        <w:t xml:space="preserve">: </w:t>
      </w:r>
      <w:r w:rsidR="007B35AE" w:rsidRPr="00CB6A0F">
        <w:rPr>
          <w:rFonts w:ascii="Arial" w:hAnsi="Arial" w:cs="Arial"/>
        </w:rPr>
        <w:t>DNA-ploidy Oral Cancer Screening</w:t>
      </w:r>
    </w:p>
    <w:p w14:paraId="7A774FEB" w14:textId="77777777" w:rsidR="007B35AE" w:rsidRPr="00CB6A0F" w:rsidRDefault="007B35AE">
      <w:pPr>
        <w:rPr>
          <w:rFonts w:ascii="Arial" w:hAnsi="Arial" w:cs="Arial"/>
          <w:b/>
          <w:szCs w:val="20"/>
        </w:rPr>
      </w:pPr>
      <w:r w:rsidRPr="00CB6A0F">
        <w:rPr>
          <w:rFonts w:ascii="Arial" w:hAnsi="Arial" w:cs="Arial"/>
          <w:b/>
          <w:szCs w:val="20"/>
        </w:rPr>
        <w:t>Materials and methods</w:t>
      </w:r>
    </w:p>
    <w:p w14:paraId="4E41DB36" w14:textId="77777777" w:rsidR="007B35AE" w:rsidRPr="00CB6A0F" w:rsidRDefault="007B35AE">
      <w:pPr>
        <w:rPr>
          <w:rFonts w:ascii="Arial" w:hAnsi="Arial" w:cs="Arial"/>
          <w:szCs w:val="20"/>
        </w:rPr>
      </w:pPr>
      <w:r w:rsidRPr="00CB6A0F">
        <w:rPr>
          <w:rFonts w:ascii="Arial" w:hAnsi="Arial" w:cs="Arial"/>
          <w:szCs w:val="20"/>
        </w:rPr>
        <w:t xml:space="preserve">This is a single-center retrospective study approved by the University of British Columbia (H20-03982). All methods were performed in accordance with ethical standards and with the 1964 </w:t>
      </w:r>
      <w:proofErr w:type="spellStart"/>
      <w:r w:rsidRPr="00CB6A0F">
        <w:rPr>
          <w:rFonts w:ascii="Arial" w:hAnsi="Arial" w:cs="Arial"/>
          <w:szCs w:val="20"/>
        </w:rPr>
        <w:t>Helskinki</w:t>
      </w:r>
      <w:proofErr w:type="spellEnd"/>
      <w:r w:rsidRPr="00CB6A0F">
        <w:rPr>
          <w:rFonts w:ascii="Arial" w:hAnsi="Arial" w:cs="Arial"/>
          <w:szCs w:val="20"/>
        </w:rPr>
        <w:t xml:space="preserve"> declaration and its later amendments.</w:t>
      </w:r>
    </w:p>
    <w:p w14:paraId="4F8395BC" w14:textId="77777777" w:rsidR="008F7A21" w:rsidRPr="00CB6A0F" w:rsidRDefault="008F7A21" w:rsidP="008F7A21">
      <w:pPr>
        <w:rPr>
          <w:rFonts w:ascii="Arial" w:hAnsi="Arial" w:cs="Arial"/>
          <w:szCs w:val="20"/>
        </w:rPr>
      </w:pPr>
      <w:r w:rsidRPr="00CB6A0F">
        <w:rPr>
          <w:rFonts w:ascii="Arial" w:hAnsi="Arial" w:cs="Arial"/>
          <w:b/>
          <w:bCs/>
          <w:szCs w:val="20"/>
        </w:rPr>
        <w:t>Sample collection</w:t>
      </w:r>
      <w:r w:rsidRPr="00CB6A0F">
        <w:rPr>
          <w:rFonts w:ascii="Arial" w:hAnsi="Arial" w:cs="Arial"/>
          <w:szCs w:val="20"/>
        </w:rPr>
        <w:t xml:space="preserve">. Patients who had abnormal lesions in the oral cavity and were followed up at our institution from Jan 2010 to </w:t>
      </w:r>
      <w:r w:rsidR="009B4010" w:rsidRPr="00CB6A0F">
        <w:rPr>
          <w:rFonts w:ascii="Arial" w:hAnsi="Arial" w:cs="Arial"/>
          <w:szCs w:val="20"/>
        </w:rPr>
        <w:t>November</w:t>
      </w:r>
      <w:r w:rsidRPr="00CB6A0F">
        <w:rPr>
          <w:rFonts w:ascii="Arial" w:hAnsi="Arial" w:cs="Arial"/>
          <w:szCs w:val="20"/>
        </w:rPr>
        <w:t xml:space="preserve"> 202</w:t>
      </w:r>
      <w:r w:rsidR="009B4010" w:rsidRPr="00CB6A0F">
        <w:rPr>
          <w:rFonts w:ascii="Arial" w:hAnsi="Arial" w:cs="Arial"/>
          <w:szCs w:val="20"/>
        </w:rPr>
        <w:t>3</w:t>
      </w:r>
      <w:r w:rsidRPr="00CB6A0F">
        <w:rPr>
          <w:rFonts w:ascii="Arial" w:hAnsi="Arial" w:cs="Arial"/>
          <w:szCs w:val="20"/>
        </w:rPr>
        <w:t xml:space="preserve"> were retrospectively identified and reviewed. Patients who had oral brushing le</w:t>
      </w:r>
      <w:r w:rsidR="009B4010" w:rsidRPr="00CB6A0F">
        <w:rPr>
          <w:rFonts w:ascii="Arial" w:hAnsi="Arial" w:cs="Arial"/>
          <w:szCs w:val="20"/>
        </w:rPr>
        <w:t>sions collected at the time of initial</w:t>
      </w:r>
      <w:r w:rsidRPr="00CB6A0F">
        <w:rPr>
          <w:rFonts w:ascii="Arial" w:hAnsi="Arial" w:cs="Arial"/>
          <w:szCs w:val="20"/>
        </w:rPr>
        <w:t xml:space="preserve"> biopsy or during post-surgery follow-up </w:t>
      </w:r>
      <w:r w:rsidR="008F59B0">
        <w:rPr>
          <w:rFonts w:ascii="Arial" w:hAnsi="Arial" w:cs="Arial"/>
          <w:szCs w:val="20"/>
        </w:rPr>
        <w:t xml:space="preserve">were included in the study. Brushing </w:t>
      </w:r>
      <w:r w:rsidRPr="00CB6A0F">
        <w:rPr>
          <w:rFonts w:ascii="Arial" w:hAnsi="Arial" w:cs="Arial"/>
          <w:szCs w:val="20"/>
        </w:rPr>
        <w:t xml:space="preserve">samples were collected using a targeted brushing technique directly over </w:t>
      </w:r>
      <w:r w:rsidR="000C00F5" w:rsidRPr="00CB6A0F">
        <w:rPr>
          <w:rFonts w:ascii="Arial" w:hAnsi="Arial" w:cs="Arial"/>
          <w:szCs w:val="20"/>
        </w:rPr>
        <w:t>a suspicious clinical lesion</w:t>
      </w:r>
      <w:r w:rsidRPr="00CB6A0F">
        <w:rPr>
          <w:rFonts w:ascii="Arial" w:hAnsi="Arial" w:cs="Arial"/>
          <w:szCs w:val="20"/>
        </w:rPr>
        <w:t xml:space="preserve"> with a curved interdental brush (</w:t>
      </w:r>
      <w:proofErr w:type="spellStart"/>
      <w:r w:rsidRPr="00CB6A0F">
        <w:rPr>
          <w:rFonts w:ascii="Arial" w:hAnsi="Arial" w:cs="Arial"/>
          <w:szCs w:val="20"/>
        </w:rPr>
        <w:t>Innovatek</w:t>
      </w:r>
      <w:proofErr w:type="spellEnd"/>
      <w:r w:rsidRPr="00CB6A0F">
        <w:rPr>
          <w:rFonts w:ascii="Arial" w:hAnsi="Arial" w:cs="Arial"/>
          <w:szCs w:val="20"/>
        </w:rPr>
        <w:t xml:space="preserve"> cytology brush). After 15-20 brushing strokes, the brush with the exfoliated cells was placed into a 1.5mL </w:t>
      </w:r>
      <w:proofErr w:type="spellStart"/>
      <w:r w:rsidRPr="00CB6A0F">
        <w:rPr>
          <w:rFonts w:ascii="Arial" w:hAnsi="Arial" w:cs="Arial"/>
          <w:szCs w:val="20"/>
        </w:rPr>
        <w:t>cryovial</w:t>
      </w:r>
      <w:proofErr w:type="spellEnd"/>
      <w:r w:rsidRPr="00CB6A0F">
        <w:rPr>
          <w:rFonts w:ascii="Arial" w:hAnsi="Arial" w:cs="Arial"/>
          <w:szCs w:val="20"/>
        </w:rPr>
        <w:t xml:space="preserve"> containing 1.5ml of preservative and stored at 4C. In addition, the control normal oral brushing samples were collected at the community clinics from January 2005 to </w:t>
      </w:r>
      <w:r w:rsidR="000C00F5" w:rsidRPr="00CB6A0F">
        <w:rPr>
          <w:rFonts w:ascii="Arial" w:hAnsi="Arial" w:cs="Arial"/>
          <w:szCs w:val="20"/>
        </w:rPr>
        <w:t>January</w:t>
      </w:r>
      <w:r w:rsidRPr="00CB6A0F">
        <w:rPr>
          <w:rFonts w:ascii="Arial" w:hAnsi="Arial" w:cs="Arial"/>
          <w:szCs w:val="20"/>
        </w:rPr>
        <w:t xml:space="preserve"> 2009.</w:t>
      </w:r>
    </w:p>
    <w:p w14:paraId="06143573" w14:textId="77777777" w:rsidR="008F7A21" w:rsidRPr="00CB6A0F" w:rsidRDefault="008F7A21" w:rsidP="008F7A21">
      <w:pPr>
        <w:rPr>
          <w:rFonts w:ascii="Arial" w:hAnsi="Arial" w:cs="Arial"/>
          <w:szCs w:val="20"/>
        </w:rPr>
      </w:pPr>
      <w:r w:rsidRPr="00CB6A0F">
        <w:rPr>
          <w:rFonts w:ascii="Arial" w:hAnsi="Arial" w:cs="Arial"/>
          <w:b/>
          <w:bCs/>
          <w:szCs w:val="20"/>
        </w:rPr>
        <w:t>Clinical profiles</w:t>
      </w:r>
      <w:r w:rsidRPr="00CB6A0F">
        <w:rPr>
          <w:rFonts w:ascii="Arial" w:hAnsi="Arial" w:cs="Arial"/>
          <w:szCs w:val="20"/>
        </w:rPr>
        <w:t>.</w:t>
      </w:r>
      <w:r w:rsidR="009B4010" w:rsidRPr="00CB6A0F">
        <w:rPr>
          <w:rFonts w:ascii="Arial" w:hAnsi="Arial" w:cs="Arial"/>
          <w:szCs w:val="20"/>
        </w:rPr>
        <w:t xml:space="preserve"> Patient charts and pathology reports were reviewed for demographics, smoking history, clinic-pathological information, and outcome of 5-year progression survival. The pathological diagnosis of brushing is considered concurrent if taken from a biopsy within 6 months of </w:t>
      </w:r>
      <w:r w:rsidR="00CB6A0F" w:rsidRPr="00CB6A0F">
        <w:rPr>
          <w:rFonts w:ascii="Arial" w:hAnsi="Arial" w:cs="Arial"/>
          <w:szCs w:val="20"/>
        </w:rPr>
        <w:t xml:space="preserve">brushing. Diagnosis are grouped into reactive (acanthosis, </w:t>
      </w:r>
      <w:proofErr w:type="spellStart"/>
      <w:r w:rsidR="00CB6A0F" w:rsidRPr="00CB6A0F">
        <w:rPr>
          <w:rFonts w:ascii="Arial" w:hAnsi="Arial" w:cs="Arial"/>
          <w:szCs w:val="20"/>
        </w:rPr>
        <w:t>candiadiasis</w:t>
      </w:r>
      <w:proofErr w:type="spellEnd"/>
      <w:r w:rsidR="00CB6A0F" w:rsidRPr="00CB6A0F">
        <w:rPr>
          <w:rFonts w:ascii="Arial" w:hAnsi="Arial" w:cs="Arial"/>
          <w:szCs w:val="20"/>
        </w:rPr>
        <w:t xml:space="preserve">, follicle epithelial polyp, granuloma, </w:t>
      </w:r>
      <w:r w:rsidR="008F59B0" w:rsidRPr="00CB6A0F">
        <w:rPr>
          <w:rFonts w:ascii="Arial" w:hAnsi="Arial" w:cs="Arial"/>
          <w:szCs w:val="20"/>
        </w:rPr>
        <w:t>hyperkeratosis</w:t>
      </w:r>
      <w:r w:rsidR="00CB6A0F" w:rsidRPr="00CB6A0F">
        <w:rPr>
          <w:rFonts w:ascii="Arial" w:hAnsi="Arial" w:cs="Arial"/>
          <w:szCs w:val="20"/>
        </w:rPr>
        <w:t xml:space="preserve">, inflammation, lichenoid </w:t>
      </w:r>
      <w:proofErr w:type="spellStart"/>
      <w:r w:rsidR="00CB6A0F" w:rsidRPr="00CB6A0F">
        <w:rPr>
          <w:rFonts w:ascii="Arial" w:hAnsi="Arial" w:cs="Arial"/>
          <w:szCs w:val="20"/>
        </w:rPr>
        <w:t>mucositis</w:t>
      </w:r>
      <w:proofErr w:type="spellEnd"/>
      <w:r w:rsidR="00CB6A0F" w:rsidRPr="00CB6A0F">
        <w:rPr>
          <w:rFonts w:ascii="Arial" w:hAnsi="Arial" w:cs="Arial"/>
          <w:szCs w:val="20"/>
        </w:rPr>
        <w:t xml:space="preserve">, lichen planus, papilloma, scar, or trauma), low-grade lesion (LGL; lichenoid dysplasia, mild dysplasia, moderate dysplasia, and verrucous hyperplasia), high-grade lesion </w:t>
      </w:r>
      <w:proofErr w:type="gramStart"/>
      <w:r w:rsidR="00CB6A0F" w:rsidRPr="00CB6A0F">
        <w:rPr>
          <w:rFonts w:ascii="Arial" w:hAnsi="Arial" w:cs="Arial"/>
          <w:szCs w:val="20"/>
        </w:rPr>
        <w:t>( P</w:t>
      </w:r>
      <w:r w:rsidR="009B4010" w:rsidRPr="00CB6A0F">
        <w:rPr>
          <w:rFonts w:ascii="Arial" w:hAnsi="Arial" w:cs="Arial"/>
          <w:szCs w:val="20"/>
        </w:rPr>
        <w:t>rogression</w:t>
      </w:r>
      <w:proofErr w:type="gramEnd"/>
      <w:r w:rsidR="009B4010" w:rsidRPr="00CB6A0F">
        <w:rPr>
          <w:rFonts w:ascii="Arial" w:hAnsi="Arial" w:cs="Arial"/>
          <w:szCs w:val="20"/>
        </w:rPr>
        <w:t xml:space="preserve"> is defined as a diagnosis of D3/CIS/SCC occurring at least 6 months after a brushing of the same site among reactive or LGL samples.</w:t>
      </w:r>
    </w:p>
    <w:p w14:paraId="505342AF" w14:textId="77777777" w:rsidR="008F7A21" w:rsidRPr="00CB6A0F" w:rsidRDefault="008F7A21" w:rsidP="008F7A21">
      <w:pPr>
        <w:rPr>
          <w:rFonts w:ascii="Arial" w:hAnsi="Arial" w:cs="Arial"/>
          <w:szCs w:val="20"/>
        </w:rPr>
      </w:pPr>
      <w:r w:rsidRPr="00CB6A0F">
        <w:rPr>
          <w:rFonts w:ascii="Arial" w:hAnsi="Arial" w:cs="Arial"/>
          <w:b/>
          <w:bCs/>
          <w:szCs w:val="20"/>
        </w:rPr>
        <w:t xml:space="preserve">Image acquisition. </w:t>
      </w:r>
      <w:r w:rsidRPr="00CB6A0F">
        <w:rPr>
          <w:rFonts w:ascii="Arial" w:hAnsi="Arial" w:cs="Arial"/>
          <w:szCs w:val="20"/>
        </w:rPr>
        <w:t xml:space="preserve">The oral </w:t>
      </w:r>
      <w:r w:rsidR="000C00F5" w:rsidRPr="00CB6A0F">
        <w:rPr>
          <w:rFonts w:ascii="Arial" w:hAnsi="Arial" w:cs="Arial"/>
          <w:szCs w:val="20"/>
        </w:rPr>
        <w:t>brushing</w:t>
      </w:r>
      <w:r w:rsidRPr="00CB6A0F">
        <w:rPr>
          <w:rFonts w:ascii="Arial" w:hAnsi="Arial" w:cs="Arial"/>
          <w:szCs w:val="20"/>
        </w:rPr>
        <w:t xml:space="preserve"> samples were </w:t>
      </w:r>
      <w:proofErr w:type="spellStart"/>
      <w:r w:rsidRPr="00CB6A0F">
        <w:rPr>
          <w:rFonts w:ascii="Arial" w:hAnsi="Arial" w:cs="Arial"/>
          <w:szCs w:val="20"/>
        </w:rPr>
        <w:t>aliquoted</w:t>
      </w:r>
      <w:proofErr w:type="spellEnd"/>
      <w:r w:rsidRPr="00CB6A0F">
        <w:rPr>
          <w:rFonts w:ascii="Arial" w:hAnsi="Arial" w:cs="Arial"/>
          <w:szCs w:val="20"/>
        </w:rPr>
        <w:t xml:space="preserve"> into 150ul and spun down onto charged glass slides using Cytospin4. To optimize the staining quality and minimize overcrowding of cells, each brushing sample was processed into 2 slides if cell density was greater than 7.5/</w:t>
      </w:r>
      <w:proofErr w:type="spellStart"/>
      <w:r w:rsidRPr="00CB6A0F">
        <w:rPr>
          <w:rFonts w:ascii="Arial" w:hAnsi="Arial" w:cs="Arial"/>
          <w:szCs w:val="20"/>
        </w:rPr>
        <w:t>ul</w:t>
      </w:r>
      <w:proofErr w:type="spellEnd"/>
      <w:r w:rsidRPr="00CB6A0F">
        <w:rPr>
          <w:rFonts w:ascii="Arial" w:hAnsi="Arial" w:cs="Arial"/>
          <w:szCs w:val="20"/>
        </w:rPr>
        <w:t>.</w:t>
      </w:r>
    </w:p>
    <w:p w14:paraId="25321F79" w14:textId="77777777" w:rsidR="007B35AE" w:rsidRDefault="007B35AE">
      <w:pPr>
        <w:rPr>
          <w:rFonts w:ascii="Arial" w:hAnsi="Arial" w:cs="Arial"/>
          <w:szCs w:val="20"/>
        </w:rPr>
      </w:pPr>
      <w:r w:rsidRPr="00CB6A0F">
        <w:rPr>
          <w:rFonts w:ascii="Arial" w:hAnsi="Arial" w:cs="Arial"/>
          <w:b/>
          <w:szCs w:val="20"/>
        </w:rPr>
        <w:t>Statistical analysis.</w:t>
      </w:r>
      <w:r w:rsidRPr="00CB6A0F">
        <w:rPr>
          <w:rFonts w:ascii="Arial" w:hAnsi="Arial" w:cs="Arial"/>
          <w:szCs w:val="20"/>
        </w:rPr>
        <w:t xml:space="preserve"> The continuous variables were reported as mean and standard deviation or median and interquartile range, as appropriate. For categorical variables, </w:t>
      </w:r>
      <w:r w:rsidR="000C00F5" w:rsidRPr="00CB6A0F">
        <w:rPr>
          <w:rFonts w:ascii="Arial" w:hAnsi="Arial" w:cs="Arial"/>
          <w:szCs w:val="20"/>
        </w:rPr>
        <w:t>frequencies</w:t>
      </w:r>
      <w:r w:rsidRPr="00CB6A0F">
        <w:rPr>
          <w:rFonts w:ascii="Arial" w:hAnsi="Arial" w:cs="Arial"/>
          <w:szCs w:val="20"/>
        </w:rPr>
        <w:t xml:space="preserve"> and proportions were reported. The difference between DNA </w:t>
      </w:r>
      <w:proofErr w:type="gramStart"/>
      <w:r w:rsidRPr="00CB6A0F">
        <w:rPr>
          <w:rFonts w:ascii="Arial" w:hAnsi="Arial" w:cs="Arial"/>
          <w:szCs w:val="20"/>
        </w:rPr>
        <w:t>index</w:t>
      </w:r>
      <w:proofErr w:type="gramEnd"/>
      <w:r w:rsidRPr="00CB6A0F">
        <w:rPr>
          <w:rFonts w:ascii="Arial" w:hAnsi="Arial" w:cs="Arial"/>
          <w:szCs w:val="20"/>
        </w:rPr>
        <w:t xml:space="preserve"> between diagnostic groups was assessed via unpaired Wilcoxon signed-rank test. Survival analysis on progression-free survival was performed via Cox-proportional hazards models. </w:t>
      </w:r>
      <w:proofErr w:type="spellStart"/>
      <w:r w:rsidRPr="00CB6A0F">
        <w:rPr>
          <w:rFonts w:ascii="Arial" w:hAnsi="Arial" w:cs="Arial"/>
          <w:szCs w:val="20"/>
        </w:rPr>
        <w:t>Kapaln</w:t>
      </w:r>
      <w:proofErr w:type="spellEnd"/>
      <w:r w:rsidRPr="00CB6A0F">
        <w:rPr>
          <w:rFonts w:ascii="Arial" w:hAnsi="Arial" w:cs="Arial"/>
          <w:szCs w:val="20"/>
        </w:rPr>
        <w:t xml:space="preserve">-Meier curves were plotted with log-rank tests to compare survival curves. The </w:t>
      </w:r>
      <w:proofErr w:type="spellStart"/>
      <w:r w:rsidRPr="00CB6A0F">
        <w:rPr>
          <w:rFonts w:ascii="Arial" w:hAnsi="Arial" w:cs="Arial"/>
          <w:szCs w:val="20"/>
        </w:rPr>
        <w:t>cutoff</w:t>
      </w:r>
      <w:proofErr w:type="spellEnd"/>
      <w:r w:rsidRPr="00CB6A0F">
        <w:rPr>
          <w:rFonts w:ascii="Arial" w:hAnsi="Arial" w:cs="Arial"/>
          <w:szCs w:val="20"/>
        </w:rPr>
        <w:t xml:space="preserve"> values of the proportion of </w:t>
      </w:r>
      <w:r w:rsidR="000C00F5" w:rsidRPr="00CB6A0F">
        <w:rPr>
          <w:rFonts w:ascii="Arial" w:hAnsi="Arial" w:cs="Arial"/>
          <w:szCs w:val="20"/>
        </w:rPr>
        <w:t>abnormal</w:t>
      </w:r>
      <w:r w:rsidRPr="00CB6A0F">
        <w:rPr>
          <w:rFonts w:ascii="Arial" w:hAnsi="Arial" w:cs="Arial"/>
          <w:szCs w:val="20"/>
        </w:rPr>
        <w:t xml:space="preserve"> ploidy cells was </w:t>
      </w:r>
      <w:r w:rsidR="000C00F5" w:rsidRPr="00CB6A0F">
        <w:rPr>
          <w:rFonts w:ascii="Arial" w:hAnsi="Arial" w:cs="Arial"/>
          <w:szCs w:val="20"/>
        </w:rPr>
        <w:t>determined</w:t>
      </w:r>
      <w:r w:rsidRPr="00CB6A0F">
        <w:rPr>
          <w:rFonts w:ascii="Arial" w:hAnsi="Arial" w:cs="Arial"/>
          <w:szCs w:val="20"/>
        </w:rPr>
        <w:t xml:space="preserve"> by threshold which gave </w:t>
      </w:r>
      <w:r w:rsidR="000C00F5" w:rsidRPr="00CB6A0F">
        <w:rPr>
          <w:rFonts w:ascii="Arial" w:hAnsi="Arial" w:cs="Arial"/>
          <w:szCs w:val="20"/>
        </w:rPr>
        <w:t xml:space="preserve">the </w:t>
      </w:r>
      <w:r w:rsidRPr="00CB6A0F">
        <w:rPr>
          <w:rFonts w:ascii="Arial" w:hAnsi="Arial" w:cs="Arial"/>
          <w:szCs w:val="20"/>
        </w:rPr>
        <w:t xml:space="preserve">highest sensitivity and specificity based on receiver-operative characteristics curves. All statistical analyses were performed using R statistical software (v.4.2.2, R Foundation for Statistical Computing, Vienna Austria, </w:t>
      </w:r>
      <w:hyperlink r:id="rId7" w:history="1">
        <w:r w:rsidRPr="00CB6A0F">
          <w:rPr>
            <w:rStyle w:val="Hyperlink"/>
            <w:rFonts w:ascii="Arial" w:hAnsi="Arial" w:cs="Arial"/>
            <w:szCs w:val="20"/>
          </w:rPr>
          <w:t>https://www.R-project.org</w:t>
        </w:r>
      </w:hyperlink>
      <w:r w:rsidRPr="00CB6A0F">
        <w:rPr>
          <w:rFonts w:ascii="Arial" w:hAnsi="Arial" w:cs="Arial"/>
          <w:szCs w:val="20"/>
        </w:rPr>
        <w:t xml:space="preserve">). Statistical significance was set at P &lt; 0.05. </w:t>
      </w:r>
    </w:p>
    <w:p w14:paraId="0EEE2E04" w14:textId="77777777" w:rsidR="00CB6A0F" w:rsidRDefault="00CB6A0F">
      <w:pPr>
        <w:rPr>
          <w:rFonts w:ascii="Arial" w:hAnsi="Arial" w:cs="Arial"/>
          <w:szCs w:val="20"/>
        </w:rPr>
      </w:pPr>
    </w:p>
    <w:p w14:paraId="626806C0" w14:textId="77777777" w:rsidR="00CB6A0F" w:rsidRPr="00CB6A0F" w:rsidRDefault="00CB6A0F" w:rsidP="00CB6A0F">
      <w:pPr>
        <w:rPr>
          <w:rFonts w:ascii="Arial" w:hAnsi="Arial" w:cs="Arial"/>
          <w:b/>
        </w:rPr>
      </w:pPr>
      <w:r w:rsidRPr="00CB6A0F">
        <w:rPr>
          <w:rFonts w:ascii="Arial" w:hAnsi="Arial" w:cs="Arial"/>
          <w:b/>
        </w:rPr>
        <w:t>Results</w:t>
      </w:r>
    </w:p>
    <w:p w14:paraId="4BD7CF89" w14:textId="77777777" w:rsidR="00CB6A0F" w:rsidRPr="000708B6" w:rsidRDefault="000708B6">
      <w:pPr>
        <w:rPr>
          <w:rFonts w:ascii="Arial" w:hAnsi="Arial" w:cs="Arial"/>
          <w:szCs w:val="20"/>
        </w:rPr>
      </w:pPr>
      <w:r>
        <w:rPr>
          <w:rFonts w:ascii="Arial" w:hAnsi="Arial" w:cs="Arial"/>
          <w:szCs w:val="20"/>
        </w:rPr>
        <w:t xml:space="preserve">Patient and brushing clinical profiles. A total of 506 patients were included which accounts for 779 oral brushing samples. The patient selection process is depicted in Figure 1. The baseline characteristics of the patient cohort is summarized in Table 1. The mean age was 62±13 years </w:t>
      </w:r>
      <w:r>
        <w:rPr>
          <w:rFonts w:ascii="Arial" w:hAnsi="Arial" w:cs="Arial"/>
          <w:szCs w:val="20"/>
        </w:rPr>
        <w:lastRenderedPageBreak/>
        <w:t>old with a little over half</w:t>
      </w:r>
      <w:r w:rsidR="00BC7F9D">
        <w:rPr>
          <w:rFonts w:ascii="Arial" w:hAnsi="Arial" w:cs="Arial"/>
          <w:szCs w:val="20"/>
        </w:rPr>
        <w:t xml:space="preserve"> were males (288/506 (57%)), and approximately 1:1 ratio of ever-smokers and non-smokers.</w:t>
      </w:r>
    </w:p>
    <w:p w14:paraId="3141A82B" w14:textId="77777777" w:rsidR="000708B6" w:rsidRDefault="00A767F5">
      <w:pPr>
        <w:rPr>
          <w:rFonts w:ascii="Arial" w:hAnsi="Arial" w:cs="Arial"/>
          <w:szCs w:val="20"/>
        </w:rPr>
      </w:pPr>
      <w:r w:rsidRPr="00A767F5">
        <w:rPr>
          <w:noProof/>
        </w:rPr>
        <w:drawing>
          <wp:inline distT="0" distB="0" distL="0" distR="0" wp14:anchorId="7BE97815" wp14:editId="46B0BF8E">
            <wp:extent cx="2085714" cy="38285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5714" cy="3828571"/>
                    </a:xfrm>
                    <a:prstGeom prst="rect">
                      <a:avLst/>
                    </a:prstGeom>
                  </pic:spPr>
                </pic:pic>
              </a:graphicData>
            </a:graphic>
          </wp:inline>
        </w:drawing>
      </w:r>
    </w:p>
    <w:p w14:paraId="3EDD3497" w14:textId="77777777" w:rsidR="00A767F5" w:rsidRDefault="00A767F5">
      <w:pPr>
        <w:rPr>
          <w:rFonts w:ascii="Arial" w:hAnsi="Arial" w:cs="Arial"/>
          <w:szCs w:val="20"/>
        </w:rPr>
      </w:pPr>
      <w:r>
        <w:rPr>
          <w:rFonts w:ascii="Arial" w:hAnsi="Arial" w:cs="Arial"/>
          <w:szCs w:val="20"/>
        </w:rPr>
        <w:br w:type="page"/>
      </w:r>
    </w:p>
    <w:p w14:paraId="47375CD2" w14:textId="443F6537" w:rsidR="00BC7F9D" w:rsidRPr="00BC7F9D" w:rsidRDefault="00BC7F9D">
      <w:pPr>
        <w:rPr>
          <w:rFonts w:ascii="Arial" w:hAnsi="Arial" w:cs="Arial"/>
          <w:noProof/>
          <w:sz w:val="20"/>
          <w:szCs w:val="20"/>
        </w:rPr>
      </w:pPr>
      <w:r w:rsidRPr="00BC7F9D">
        <w:rPr>
          <w:rFonts w:ascii="Arial" w:hAnsi="Arial" w:cs="Arial"/>
          <w:noProof/>
          <w:sz w:val="20"/>
          <w:szCs w:val="20"/>
        </w:rPr>
        <w:lastRenderedPageBreak/>
        <w:t>Of the 506 patients, 780 brushing samples were collected</w:t>
      </w:r>
      <w:r w:rsidR="007F3837">
        <w:rPr>
          <w:rFonts w:ascii="Arial" w:hAnsi="Arial" w:cs="Arial"/>
          <w:noProof/>
          <w:sz w:val="20"/>
          <w:szCs w:val="20"/>
        </w:rPr>
        <w:t xml:space="preserve"> from 607 clinically positively (cP) abnormal lesion and 173 clinically negative or scar mucosal areas (cN). The samples were collected mainly from the tongue or floor of mouth (75%) follwed by buccal mucosa/gingiva/hard palate (22%) and soft palate complex (2.8%). </w:t>
      </w:r>
      <w:r w:rsidR="008F59B0">
        <w:rPr>
          <w:rFonts w:ascii="Arial" w:hAnsi="Arial" w:cs="Arial"/>
          <w:noProof/>
          <w:sz w:val="20"/>
          <w:szCs w:val="20"/>
        </w:rPr>
        <w:t xml:space="preserve">Between the cN and cP groups, there was no difference in anatomical sites (p = 0.13). </w:t>
      </w:r>
      <w:r w:rsidR="001E1ADA">
        <w:rPr>
          <w:rFonts w:ascii="Arial" w:hAnsi="Arial" w:cs="Arial"/>
          <w:noProof/>
          <w:sz w:val="20"/>
          <w:szCs w:val="20"/>
        </w:rPr>
        <w:t xml:space="preserve">Besides the 95 normal controls, </w:t>
      </w:r>
      <w:r w:rsidR="009A6898">
        <w:rPr>
          <w:rFonts w:ascii="Arial" w:hAnsi="Arial" w:cs="Arial"/>
          <w:noProof/>
          <w:sz w:val="20"/>
          <w:szCs w:val="20"/>
        </w:rPr>
        <w:t>425</w:t>
      </w:r>
      <w:r w:rsidR="001E1ADA">
        <w:rPr>
          <w:rFonts w:ascii="Arial" w:hAnsi="Arial" w:cs="Arial"/>
          <w:noProof/>
          <w:sz w:val="20"/>
          <w:szCs w:val="20"/>
        </w:rPr>
        <w:t xml:space="preserve"> samples had concurrent pathology diagnosis </w:t>
      </w:r>
      <w:r w:rsidR="00406F50">
        <w:rPr>
          <w:rFonts w:ascii="Arial" w:hAnsi="Arial" w:cs="Arial"/>
          <w:noProof/>
          <w:sz w:val="20"/>
          <w:szCs w:val="20"/>
        </w:rPr>
        <w:t>with 180 reactive or low-grade lesions and 245 high-grade or cancerous</w:t>
      </w:r>
      <w:r w:rsidR="00303941">
        <w:rPr>
          <w:rFonts w:ascii="Arial" w:hAnsi="Arial" w:cs="Arial"/>
          <w:noProof/>
          <w:sz w:val="20"/>
          <w:szCs w:val="20"/>
        </w:rPr>
        <w:t xml:space="preserve"> of which 50 appeared to be clinically negative (Table 2).</w:t>
      </w:r>
    </w:p>
    <w:p w14:paraId="31F0C792" w14:textId="44E83870" w:rsidR="00A4163D" w:rsidRDefault="000F4769">
      <w:pPr>
        <w:rPr>
          <w:rFonts w:ascii="Arial" w:hAnsi="Arial" w:cs="Arial"/>
          <w:szCs w:val="20"/>
        </w:rPr>
      </w:pPr>
      <w:r>
        <w:rPr>
          <w:noProof/>
        </w:rPr>
        <w:drawing>
          <wp:inline distT="0" distB="0" distL="0" distR="0" wp14:anchorId="1BC9F49C" wp14:editId="2DB9C8EF">
            <wp:extent cx="5934075" cy="5391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075" cy="5391150"/>
                    </a:xfrm>
                    <a:prstGeom prst="rect">
                      <a:avLst/>
                    </a:prstGeom>
                  </pic:spPr>
                </pic:pic>
              </a:graphicData>
            </a:graphic>
          </wp:inline>
        </w:drawing>
      </w:r>
    </w:p>
    <w:p w14:paraId="581A7F8D" w14:textId="5E7D3EFB" w:rsidR="00085B66" w:rsidRPr="009F72A2" w:rsidRDefault="001F34FF">
      <w:pPr>
        <w:rPr>
          <w:rFonts w:ascii="Arial" w:hAnsi="Arial" w:cs="Arial"/>
          <w:b/>
          <w:bCs/>
          <w:szCs w:val="20"/>
        </w:rPr>
      </w:pPr>
      <w:r w:rsidRPr="009F72A2">
        <w:rPr>
          <w:rFonts w:ascii="Arial" w:hAnsi="Arial" w:cs="Arial"/>
          <w:b/>
          <w:bCs/>
          <w:szCs w:val="20"/>
        </w:rPr>
        <w:t>Isolated epithelial cellularity</w:t>
      </w:r>
    </w:p>
    <w:p w14:paraId="64CC4DF8" w14:textId="44862761" w:rsidR="001F34FF" w:rsidRDefault="00185953">
      <w:pPr>
        <w:rPr>
          <w:rFonts w:ascii="Arial" w:hAnsi="Arial" w:cs="Arial"/>
          <w:szCs w:val="20"/>
        </w:rPr>
      </w:pPr>
      <w:r>
        <w:rPr>
          <w:rFonts w:ascii="Arial" w:hAnsi="Arial" w:cs="Arial"/>
          <w:szCs w:val="20"/>
        </w:rPr>
        <w:t>To have meaningful cytology results,</w:t>
      </w:r>
      <w:r w:rsidR="00551835">
        <w:rPr>
          <w:rFonts w:ascii="Arial" w:hAnsi="Arial" w:cs="Arial"/>
          <w:szCs w:val="20"/>
        </w:rPr>
        <w:t xml:space="preserve"> there needs to be sufficient isolated epithelial cellularit</w:t>
      </w:r>
      <w:r w:rsidR="00656634">
        <w:rPr>
          <w:rFonts w:ascii="Arial" w:hAnsi="Arial" w:cs="Arial"/>
          <w:szCs w:val="20"/>
        </w:rPr>
        <w:t xml:space="preserve">y. While our protocol was optimized to ensure overcrowding of cells, </w:t>
      </w:r>
      <w:r w:rsidR="004745A2">
        <w:rPr>
          <w:rFonts w:ascii="Arial" w:hAnsi="Arial" w:cs="Arial"/>
          <w:szCs w:val="20"/>
        </w:rPr>
        <w:t xml:space="preserve">cellularity can be affected by number of clinical reasons. </w:t>
      </w:r>
      <w:r w:rsidR="00E23FD4">
        <w:rPr>
          <w:rFonts w:ascii="Arial" w:hAnsi="Arial" w:cs="Arial"/>
          <w:szCs w:val="20"/>
        </w:rPr>
        <w:t xml:space="preserve">As before mentioned, each brushing samples were processed to </w:t>
      </w:r>
      <w:r w:rsidR="00EF7BA2">
        <w:rPr>
          <w:rFonts w:ascii="Arial" w:hAnsi="Arial" w:cs="Arial"/>
          <w:szCs w:val="20"/>
        </w:rPr>
        <w:t>make two cytology slides to avoid</w:t>
      </w:r>
      <w:r w:rsidR="0072187F">
        <w:rPr>
          <w:rFonts w:ascii="Arial" w:hAnsi="Arial" w:cs="Arial"/>
          <w:szCs w:val="20"/>
        </w:rPr>
        <w:t xml:space="preserve"> overcrowding of cells.</w:t>
      </w:r>
      <w:r w:rsidR="00E52C01">
        <w:rPr>
          <w:rFonts w:ascii="Arial" w:hAnsi="Arial" w:cs="Arial"/>
          <w:szCs w:val="20"/>
        </w:rPr>
        <w:t xml:space="preserve"> The number of isolated epithelial cells for each samples</w:t>
      </w:r>
      <w:r w:rsidR="00E016D1">
        <w:rPr>
          <w:rFonts w:ascii="Arial" w:hAnsi="Arial" w:cs="Arial"/>
          <w:szCs w:val="20"/>
        </w:rPr>
        <w:t xml:space="preserve"> is summarized in </w:t>
      </w:r>
      <w:r w:rsidR="00FE4A9E">
        <w:rPr>
          <w:rFonts w:ascii="Arial" w:hAnsi="Arial" w:cs="Arial"/>
          <w:szCs w:val="20"/>
        </w:rPr>
        <w:t>Figure 1</w:t>
      </w:r>
      <w:r w:rsidR="00E016D1">
        <w:rPr>
          <w:rFonts w:ascii="Arial" w:hAnsi="Arial" w:cs="Arial"/>
          <w:szCs w:val="20"/>
        </w:rPr>
        <w:t xml:space="preserve"> by clinical appearance and </w:t>
      </w:r>
      <w:r w:rsidR="00607B82">
        <w:rPr>
          <w:rFonts w:ascii="Arial" w:hAnsi="Arial" w:cs="Arial"/>
          <w:szCs w:val="20"/>
        </w:rPr>
        <w:t>pathological diagnosis.</w:t>
      </w:r>
      <w:r w:rsidR="002057FD">
        <w:rPr>
          <w:rFonts w:ascii="Arial" w:hAnsi="Arial" w:cs="Arial"/>
          <w:szCs w:val="20"/>
        </w:rPr>
        <w:t xml:space="preserve"> </w:t>
      </w:r>
      <w:r w:rsidR="00030F82">
        <w:rPr>
          <w:rFonts w:ascii="Arial" w:hAnsi="Arial" w:cs="Arial"/>
          <w:szCs w:val="20"/>
        </w:rPr>
        <w:t>Overall, much more cells were collected from clinically negative/scar group</w:t>
      </w:r>
      <w:r w:rsidR="00943F91">
        <w:rPr>
          <w:rFonts w:ascii="Arial" w:hAnsi="Arial" w:cs="Arial"/>
          <w:szCs w:val="20"/>
        </w:rPr>
        <w:t xml:space="preserve"> (p &lt; 0.001)</w:t>
      </w:r>
      <w:r w:rsidR="00030F82">
        <w:rPr>
          <w:rFonts w:ascii="Arial" w:hAnsi="Arial" w:cs="Arial"/>
          <w:szCs w:val="20"/>
        </w:rPr>
        <w:t xml:space="preserve"> and </w:t>
      </w:r>
      <w:r w:rsidR="00851C41">
        <w:rPr>
          <w:rFonts w:ascii="Arial" w:hAnsi="Arial" w:cs="Arial"/>
          <w:szCs w:val="20"/>
        </w:rPr>
        <w:lastRenderedPageBreak/>
        <w:t xml:space="preserve">between </w:t>
      </w:r>
      <w:r w:rsidR="00D57119">
        <w:rPr>
          <w:rFonts w:ascii="Arial" w:hAnsi="Arial" w:cs="Arial"/>
          <w:szCs w:val="20"/>
        </w:rPr>
        <w:t>patholog</w:t>
      </w:r>
      <w:r w:rsidR="00EA4BA5">
        <w:rPr>
          <w:rFonts w:ascii="Arial" w:hAnsi="Arial" w:cs="Arial"/>
          <w:szCs w:val="20"/>
        </w:rPr>
        <w:t>ical group comparisons</w:t>
      </w:r>
      <w:r w:rsidR="00943F91">
        <w:rPr>
          <w:rFonts w:ascii="Arial" w:hAnsi="Arial" w:cs="Arial"/>
          <w:szCs w:val="20"/>
        </w:rPr>
        <w:t xml:space="preserve"> (p &lt; 0.001)</w:t>
      </w:r>
      <w:r w:rsidR="00750936">
        <w:rPr>
          <w:rFonts w:ascii="Arial" w:hAnsi="Arial" w:cs="Arial"/>
          <w:szCs w:val="20"/>
        </w:rPr>
        <w:t xml:space="preserve"> with no association between cellularity and lesion size (Figure 1C)</w:t>
      </w:r>
    </w:p>
    <w:p w14:paraId="521AB5BA" w14:textId="65D4B35C" w:rsidR="003419F5" w:rsidRDefault="009E6658">
      <w:pPr>
        <w:rPr>
          <w:rFonts w:ascii="Arial" w:hAnsi="Arial" w:cs="Arial"/>
          <w:szCs w:val="20"/>
          <w:lang w:val="en-US"/>
        </w:rPr>
      </w:pPr>
      <w:r>
        <w:rPr>
          <w:rFonts w:ascii="Arial" w:hAnsi="Arial" w:cs="Arial"/>
          <w:noProof/>
          <w:szCs w:val="20"/>
        </w:rPr>
        <w:drawing>
          <wp:inline distT="0" distB="0" distL="0" distR="0" wp14:anchorId="7C93E106" wp14:editId="3272C878">
            <wp:extent cx="5899150" cy="2251385"/>
            <wp:effectExtent l="0" t="0" r="6350" b="0"/>
            <wp:docPr id="790132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3019" cy="2264311"/>
                    </a:xfrm>
                    <a:prstGeom prst="rect">
                      <a:avLst/>
                    </a:prstGeom>
                    <a:noFill/>
                  </pic:spPr>
                </pic:pic>
              </a:graphicData>
            </a:graphic>
          </wp:inline>
        </w:drawing>
      </w:r>
    </w:p>
    <w:p w14:paraId="17306FC1" w14:textId="0B591959" w:rsidR="001E16B6" w:rsidRPr="00FE4A9E" w:rsidRDefault="001E16B6">
      <w:pPr>
        <w:rPr>
          <w:rFonts w:ascii="Arial" w:hAnsi="Arial" w:cs="Arial"/>
          <w:szCs w:val="20"/>
          <w:lang w:val="en-US"/>
        </w:rPr>
      </w:pPr>
      <w:r>
        <w:rPr>
          <w:rFonts w:ascii="Arial" w:hAnsi="Arial" w:cs="Arial"/>
          <w:noProof/>
          <w:szCs w:val="20"/>
        </w:rPr>
        <w:drawing>
          <wp:inline distT="0" distB="0" distL="0" distR="0" wp14:anchorId="158DF834" wp14:editId="3397260B">
            <wp:extent cx="5959475" cy="3133467"/>
            <wp:effectExtent l="0" t="0" r="3175" b="0"/>
            <wp:docPr id="18514350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174" cy="3141196"/>
                    </a:xfrm>
                    <a:prstGeom prst="rect">
                      <a:avLst/>
                    </a:prstGeom>
                    <a:noFill/>
                  </pic:spPr>
                </pic:pic>
              </a:graphicData>
            </a:graphic>
          </wp:inline>
        </w:drawing>
      </w:r>
    </w:p>
    <w:p w14:paraId="16C35896" w14:textId="77777777" w:rsidR="00A742FD" w:rsidRDefault="00A742FD">
      <w:pPr>
        <w:rPr>
          <w:rFonts w:ascii="Arial" w:hAnsi="Arial" w:cs="Arial"/>
          <w:b/>
          <w:szCs w:val="20"/>
        </w:rPr>
      </w:pPr>
      <w:r>
        <w:rPr>
          <w:rFonts w:ascii="Arial" w:hAnsi="Arial" w:cs="Arial"/>
          <w:b/>
          <w:szCs w:val="20"/>
        </w:rPr>
        <w:br w:type="page"/>
      </w:r>
    </w:p>
    <w:p w14:paraId="7D24F95D" w14:textId="7F3E5EAF" w:rsidR="004F191B" w:rsidRDefault="00B850D7">
      <w:pPr>
        <w:rPr>
          <w:rFonts w:ascii="Arial" w:hAnsi="Arial" w:cs="Arial"/>
          <w:b/>
          <w:szCs w:val="20"/>
        </w:rPr>
      </w:pPr>
      <w:r w:rsidRPr="000F4769">
        <w:rPr>
          <w:rFonts w:ascii="Arial" w:hAnsi="Arial" w:cs="Arial"/>
          <w:b/>
          <w:szCs w:val="20"/>
        </w:rPr>
        <w:lastRenderedPageBreak/>
        <w:t>Association of clinical variables with DNA-ploidy</w:t>
      </w:r>
    </w:p>
    <w:p w14:paraId="628D6878" w14:textId="37553DC2" w:rsidR="003C3168" w:rsidRDefault="00A742FD">
      <w:pPr>
        <w:rPr>
          <w:rFonts w:ascii="Arial" w:hAnsi="Arial" w:cs="Arial"/>
          <w:b/>
          <w:szCs w:val="20"/>
        </w:rPr>
      </w:pPr>
      <w:r>
        <w:rPr>
          <w:rFonts w:ascii="Arial" w:hAnsi="Arial" w:cs="Arial"/>
          <w:b/>
          <w:noProof/>
          <w:szCs w:val="20"/>
        </w:rPr>
        <w:drawing>
          <wp:inline distT="0" distB="0" distL="0" distR="0" wp14:anchorId="5B1DA025" wp14:editId="09EDB4D1">
            <wp:extent cx="5887216" cy="3402419"/>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8126" cy="3408724"/>
                    </a:xfrm>
                    <a:prstGeom prst="rect">
                      <a:avLst/>
                    </a:prstGeom>
                    <a:noFill/>
                  </pic:spPr>
                </pic:pic>
              </a:graphicData>
            </a:graphic>
          </wp:inline>
        </w:drawing>
      </w:r>
    </w:p>
    <w:p w14:paraId="5C2F0BE0" w14:textId="68B353A5" w:rsidR="009C5A83" w:rsidRPr="000F4769" w:rsidRDefault="009C5A83">
      <w:pPr>
        <w:rPr>
          <w:rFonts w:ascii="Arial" w:hAnsi="Arial" w:cs="Arial"/>
          <w:b/>
          <w:szCs w:val="20"/>
        </w:rPr>
      </w:pPr>
    </w:p>
    <w:p w14:paraId="0F7B502B" w14:textId="45DD1865" w:rsidR="00EA2CFA" w:rsidRDefault="009C5A83">
      <w:pPr>
        <w:rPr>
          <w:rFonts w:ascii="Arial" w:hAnsi="Arial" w:cs="Arial"/>
          <w:szCs w:val="20"/>
        </w:rPr>
      </w:pPr>
      <w:r>
        <w:rPr>
          <w:rFonts w:ascii="Arial" w:hAnsi="Arial" w:cs="Arial"/>
          <w:szCs w:val="20"/>
        </w:rPr>
        <w:t>W</w:t>
      </w:r>
      <w:r w:rsidR="00C32287">
        <w:rPr>
          <w:rFonts w:ascii="Arial" w:hAnsi="Arial" w:cs="Arial"/>
          <w:szCs w:val="20"/>
        </w:rPr>
        <w:t>e observed higher DI in the clinically positive and pathologically HGL/SCC groups (1.0</w:t>
      </w:r>
      <w:r w:rsidR="00A42544">
        <w:rPr>
          <w:rFonts w:ascii="Arial" w:hAnsi="Arial" w:cs="Arial"/>
          <w:szCs w:val="20"/>
        </w:rPr>
        <w:t xml:space="preserve">0 vs 0.98; 1.00 vs 0.99). </w:t>
      </w:r>
      <w:r>
        <w:rPr>
          <w:rFonts w:ascii="Arial" w:hAnsi="Arial" w:cs="Arial"/>
          <w:szCs w:val="20"/>
        </w:rPr>
        <w:t xml:space="preserve">Given that most isolated epithelial cells are in the diploid group, we grouped the nuclei in bins of DI at interval of 0.05 and </w:t>
      </w:r>
      <w:r w:rsidR="00CA4554">
        <w:rPr>
          <w:rFonts w:ascii="Arial" w:hAnsi="Arial" w:cs="Arial"/>
          <w:szCs w:val="20"/>
        </w:rPr>
        <w:t>described them</w:t>
      </w:r>
      <w:r>
        <w:rPr>
          <w:rFonts w:ascii="Arial" w:hAnsi="Arial" w:cs="Arial"/>
          <w:szCs w:val="20"/>
        </w:rPr>
        <w:t xml:space="preserve"> in counts and proportion</w:t>
      </w:r>
      <w:r w:rsidR="00DE6678">
        <w:rPr>
          <w:rFonts w:ascii="Arial" w:hAnsi="Arial" w:cs="Arial"/>
          <w:szCs w:val="20"/>
        </w:rPr>
        <w:t xml:space="preserve"> (Figure 2A and 2B)</w:t>
      </w:r>
      <w:r w:rsidR="00CA4554">
        <w:rPr>
          <w:rFonts w:ascii="Arial" w:hAnsi="Arial" w:cs="Arial"/>
          <w:szCs w:val="20"/>
        </w:rPr>
        <w:t xml:space="preserve"> for each brushing sample.</w:t>
      </w:r>
      <w:r w:rsidR="0045605E">
        <w:rPr>
          <w:rFonts w:ascii="Arial" w:hAnsi="Arial" w:cs="Arial"/>
          <w:szCs w:val="20"/>
        </w:rPr>
        <w:t xml:space="preserve"> In addition, DI is categorized into ploidy group based on the pre-determined cut-offs as per the previously published work (ref). </w:t>
      </w:r>
    </w:p>
    <w:p w14:paraId="15B2CE6C" w14:textId="308441E6" w:rsidR="00DE6678" w:rsidRDefault="00C1624C">
      <w:pPr>
        <w:rPr>
          <w:rFonts w:ascii="Arial" w:hAnsi="Arial" w:cs="Arial"/>
          <w:szCs w:val="20"/>
        </w:rPr>
      </w:pPr>
      <w:r>
        <w:rPr>
          <w:rFonts w:ascii="Arial" w:hAnsi="Arial" w:cs="Arial"/>
          <w:noProof/>
          <w:szCs w:val="20"/>
        </w:rPr>
        <w:lastRenderedPageBreak/>
        <w:drawing>
          <wp:inline distT="0" distB="0" distL="0" distR="0" wp14:anchorId="5F5B74A4" wp14:editId="24A3FDD9">
            <wp:extent cx="5920693" cy="4327451"/>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6697" cy="4331840"/>
                    </a:xfrm>
                    <a:prstGeom prst="rect">
                      <a:avLst/>
                    </a:prstGeom>
                    <a:noFill/>
                  </pic:spPr>
                </pic:pic>
              </a:graphicData>
            </a:graphic>
          </wp:inline>
        </w:drawing>
      </w:r>
    </w:p>
    <w:p w14:paraId="5CE0CF86" w14:textId="624206C2" w:rsidR="009853A5" w:rsidRDefault="009853A5">
      <w:pPr>
        <w:rPr>
          <w:rFonts w:ascii="Arial" w:hAnsi="Arial" w:cs="Arial"/>
          <w:szCs w:val="20"/>
        </w:rPr>
      </w:pPr>
      <w:bookmarkStart w:id="0" w:name="_GoBack"/>
      <w:bookmarkEnd w:id="0"/>
      <w:r>
        <w:rPr>
          <w:rFonts w:ascii="Arial" w:hAnsi="Arial" w:cs="Arial"/>
          <w:noProof/>
          <w:szCs w:val="20"/>
        </w:rPr>
        <w:lastRenderedPageBreak/>
        <w:drawing>
          <wp:inline distT="0" distB="0" distL="0" distR="0" wp14:anchorId="421471C1" wp14:editId="7597F940">
            <wp:extent cx="6048375" cy="4343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4343400"/>
                    </a:xfrm>
                    <a:prstGeom prst="rect">
                      <a:avLst/>
                    </a:prstGeom>
                    <a:noFill/>
                  </pic:spPr>
                </pic:pic>
              </a:graphicData>
            </a:graphic>
          </wp:inline>
        </w:drawing>
      </w:r>
    </w:p>
    <w:p w14:paraId="398BEF4D" w14:textId="07594717" w:rsidR="0045605E" w:rsidRDefault="0045605E">
      <w:pPr>
        <w:rPr>
          <w:rFonts w:ascii="Arial" w:hAnsi="Arial" w:cs="Arial"/>
          <w:szCs w:val="20"/>
        </w:rPr>
      </w:pPr>
      <w:r>
        <w:rPr>
          <w:rFonts w:ascii="Arial" w:hAnsi="Arial" w:cs="Arial"/>
          <w:noProof/>
          <w:szCs w:val="20"/>
        </w:rPr>
        <w:lastRenderedPageBreak/>
        <w:drawing>
          <wp:inline distT="0" distB="0" distL="0" distR="0" wp14:anchorId="250F7169" wp14:editId="542AC1CA">
            <wp:extent cx="5486400" cy="401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010025"/>
                    </a:xfrm>
                    <a:prstGeom prst="rect">
                      <a:avLst/>
                    </a:prstGeom>
                    <a:noFill/>
                  </pic:spPr>
                </pic:pic>
              </a:graphicData>
            </a:graphic>
          </wp:inline>
        </w:drawing>
      </w:r>
    </w:p>
    <w:p w14:paraId="4D9100A4" w14:textId="77777777" w:rsidR="00C1624C" w:rsidRDefault="00C1624C">
      <w:pPr>
        <w:rPr>
          <w:rFonts w:ascii="Arial" w:hAnsi="Arial" w:cs="Arial"/>
          <w:szCs w:val="20"/>
        </w:rPr>
      </w:pPr>
    </w:p>
    <w:p w14:paraId="3C4B7F09" w14:textId="77777777" w:rsidR="009C5A83" w:rsidRPr="00EA2CFA" w:rsidRDefault="009C5A83">
      <w:pPr>
        <w:rPr>
          <w:rFonts w:ascii="Arial" w:hAnsi="Arial" w:cs="Arial"/>
          <w:szCs w:val="20"/>
          <w:lang w:val="en-US"/>
        </w:rPr>
      </w:pPr>
    </w:p>
    <w:p w14:paraId="0E7F5003" w14:textId="77777777" w:rsidR="004F191B" w:rsidRDefault="004F191B">
      <w:pPr>
        <w:rPr>
          <w:rFonts w:ascii="Arial" w:hAnsi="Arial" w:cs="Arial"/>
          <w:szCs w:val="20"/>
        </w:rPr>
      </w:pPr>
      <w:r>
        <w:rPr>
          <w:rFonts w:ascii="Arial" w:hAnsi="Arial" w:cs="Arial"/>
          <w:szCs w:val="20"/>
        </w:rPr>
        <w:t xml:space="preserve">Unsatisfactory if there’s insufficient </w:t>
      </w:r>
      <w:proofErr w:type="spellStart"/>
      <w:r>
        <w:rPr>
          <w:rFonts w:ascii="Arial" w:hAnsi="Arial" w:cs="Arial"/>
          <w:szCs w:val="20"/>
        </w:rPr>
        <w:t>isoloated</w:t>
      </w:r>
      <w:proofErr w:type="spellEnd"/>
      <w:r>
        <w:rPr>
          <w:rFonts w:ascii="Arial" w:hAnsi="Arial" w:cs="Arial"/>
          <w:szCs w:val="20"/>
        </w:rPr>
        <w:t xml:space="preserve"> epithelial cellularity</w:t>
      </w:r>
    </w:p>
    <w:p w14:paraId="452D33DE" w14:textId="77777777" w:rsidR="004F191B" w:rsidRPr="00CB6A0F" w:rsidRDefault="004F191B">
      <w:pPr>
        <w:rPr>
          <w:rFonts w:ascii="Arial" w:hAnsi="Arial" w:cs="Arial"/>
          <w:szCs w:val="20"/>
        </w:rPr>
      </w:pPr>
      <w:r>
        <w:rPr>
          <w:rFonts w:ascii="Arial" w:hAnsi="Arial" w:cs="Arial"/>
          <w:szCs w:val="20"/>
        </w:rPr>
        <w:t xml:space="preserve">As a screening procedure with the potential false-positive and negative results. If the patient has any clinically </w:t>
      </w:r>
      <w:proofErr w:type="spellStart"/>
      <w:r>
        <w:rPr>
          <w:rFonts w:ascii="Arial" w:hAnsi="Arial" w:cs="Arial"/>
          <w:szCs w:val="20"/>
        </w:rPr>
        <w:t>suspicisous</w:t>
      </w:r>
      <w:proofErr w:type="spellEnd"/>
      <w:r>
        <w:rPr>
          <w:rFonts w:ascii="Arial" w:hAnsi="Arial" w:cs="Arial"/>
          <w:szCs w:val="20"/>
        </w:rPr>
        <w:t xml:space="preserve"> lesions, abnormal bleeding or other relevant symptoms, further evaluation is required, even if the screening test was normal.</w:t>
      </w:r>
    </w:p>
    <w:sectPr w:rsidR="004F191B" w:rsidRPr="00CB6A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5AE"/>
    <w:rsid w:val="00030F82"/>
    <w:rsid w:val="000708B6"/>
    <w:rsid w:val="00085B66"/>
    <w:rsid w:val="000C00F5"/>
    <w:rsid w:val="000F4769"/>
    <w:rsid w:val="00163602"/>
    <w:rsid w:val="00185953"/>
    <w:rsid w:val="001C7623"/>
    <w:rsid w:val="001E16B6"/>
    <w:rsid w:val="001E1ADA"/>
    <w:rsid w:val="001F34FF"/>
    <w:rsid w:val="002057FD"/>
    <w:rsid w:val="00246EA0"/>
    <w:rsid w:val="0025538F"/>
    <w:rsid w:val="002E791D"/>
    <w:rsid w:val="00303941"/>
    <w:rsid w:val="003419F5"/>
    <w:rsid w:val="003C3168"/>
    <w:rsid w:val="00406F50"/>
    <w:rsid w:val="0045605E"/>
    <w:rsid w:val="004745A2"/>
    <w:rsid w:val="004F191B"/>
    <w:rsid w:val="00551835"/>
    <w:rsid w:val="005A7CD6"/>
    <w:rsid w:val="00607B82"/>
    <w:rsid w:val="00656634"/>
    <w:rsid w:val="0072187F"/>
    <w:rsid w:val="00750936"/>
    <w:rsid w:val="007B35AE"/>
    <w:rsid w:val="007D0AD1"/>
    <w:rsid w:val="007F3837"/>
    <w:rsid w:val="00851C41"/>
    <w:rsid w:val="00893B82"/>
    <w:rsid w:val="008F59B0"/>
    <w:rsid w:val="008F7A21"/>
    <w:rsid w:val="00941407"/>
    <w:rsid w:val="00943F91"/>
    <w:rsid w:val="00972A40"/>
    <w:rsid w:val="009853A5"/>
    <w:rsid w:val="009A6898"/>
    <w:rsid w:val="009B4010"/>
    <w:rsid w:val="009C5A83"/>
    <w:rsid w:val="009D70FD"/>
    <w:rsid w:val="009E6658"/>
    <w:rsid w:val="009F72A2"/>
    <w:rsid w:val="00A4163D"/>
    <w:rsid w:val="00A42544"/>
    <w:rsid w:val="00A742FD"/>
    <w:rsid w:val="00A767F5"/>
    <w:rsid w:val="00A911B1"/>
    <w:rsid w:val="00A93937"/>
    <w:rsid w:val="00AC2D7F"/>
    <w:rsid w:val="00AF536B"/>
    <w:rsid w:val="00AF565F"/>
    <w:rsid w:val="00B15ECB"/>
    <w:rsid w:val="00B16DAB"/>
    <w:rsid w:val="00B42B6C"/>
    <w:rsid w:val="00B850D7"/>
    <w:rsid w:val="00BC7F9D"/>
    <w:rsid w:val="00C1624C"/>
    <w:rsid w:val="00C32287"/>
    <w:rsid w:val="00C93D1A"/>
    <w:rsid w:val="00CA4554"/>
    <w:rsid w:val="00CB6A0F"/>
    <w:rsid w:val="00CC07EC"/>
    <w:rsid w:val="00CD219F"/>
    <w:rsid w:val="00D457E3"/>
    <w:rsid w:val="00D57119"/>
    <w:rsid w:val="00D73731"/>
    <w:rsid w:val="00DD0921"/>
    <w:rsid w:val="00DE6678"/>
    <w:rsid w:val="00E016D1"/>
    <w:rsid w:val="00E23FD4"/>
    <w:rsid w:val="00E338D7"/>
    <w:rsid w:val="00E52C01"/>
    <w:rsid w:val="00E6463E"/>
    <w:rsid w:val="00E96F0D"/>
    <w:rsid w:val="00EA2CFA"/>
    <w:rsid w:val="00EA4BA5"/>
    <w:rsid w:val="00EF7BA2"/>
    <w:rsid w:val="00F07CDE"/>
    <w:rsid w:val="00F14465"/>
    <w:rsid w:val="00F91AD5"/>
    <w:rsid w:val="00FE4A9E"/>
    <w:rsid w:val="00FE4CD2"/>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13E2DE95"/>
  <w15:chartTrackingRefBased/>
  <w15:docId w15:val="{94E1ED6D-56D0-4BC3-857D-FC41222A5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5AE"/>
    <w:rPr>
      <w:color w:val="0563C1" w:themeColor="hyperlink"/>
      <w:u w:val="single"/>
    </w:rPr>
  </w:style>
  <w:style w:type="table" w:styleId="TableGrid">
    <w:name w:val="Table Grid"/>
    <w:basedOn w:val="TableNormal"/>
    <w:uiPriority w:val="39"/>
    <w:rsid w:val="003C3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55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hyperlink" Target="https://www.R-project.org"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A4673B6527B148823ADB53C6FA6F52" ma:contentTypeVersion="3" ma:contentTypeDescription="Create a new document." ma:contentTypeScope="" ma:versionID="25d8b6b5f8539c3ec259a060dd8e9fae">
  <xsd:schema xmlns:xsd="http://www.w3.org/2001/XMLSchema" xmlns:xs="http://www.w3.org/2001/XMLSchema" xmlns:p="http://schemas.microsoft.com/office/2006/metadata/properties" xmlns:ns3="dc5a7da2-ca9c-4fb4-a449-31f564fb22b3" targetNamespace="http://schemas.microsoft.com/office/2006/metadata/properties" ma:root="true" ma:fieldsID="1ff6bf5c1278b6d6e898de520f1fe940" ns3:_="">
    <xsd:import namespace="dc5a7da2-ca9c-4fb4-a449-31f564fb22b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a7da2-ca9c-4fb4-a449-31f564fb22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C2394C-3DB5-4130-80ED-BA6EDD676D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a7da2-ca9c-4fb4-a449-31f564fb2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F99FCD-C061-4FCC-8E08-EFF72918A4D9}">
  <ds:schemaRefs>
    <ds:schemaRef ds:uri="http://schemas.microsoft.com/sharepoint/v3/contenttype/forms"/>
  </ds:schemaRefs>
</ds:datastoreItem>
</file>

<file path=customXml/itemProps3.xml><?xml version="1.0" encoding="utf-8"?>
<ds:datastoreItem xmlns:ds="http://schemas.openxmlformats.org/officeDocument/2006/customXml" ds:itemID="{E521D6D3-319D-47F0-8C76-1F7CB8DE30D7}">
  <ds:schemaRefs>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purl.org/dc/elements/1.1/"/>
    <ds:schemaRef ds:uri="http://www.w3.org/XML/1998/namespace"/>
    <ds:schemaRef ds:uri="http://purl.org/dc/dcmitype/"/>
    <ds:schemaRef ds:uri="dc5a7da2-ca9c-4fb4-a449-31f564fb22b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8</Pages>
  <Words>810</Words>
  <Characters>4800</Characters>
  <Application>Microsoft Office Word</Application>
  <DocSecurity>0</DocSecurity>
  <Lines>83</Lines>
  <Paragraphs>16</Paragraphs>
  <ScaleCrop>false</ScaleCrop>
  <HeadingPairs>
    <vt:vector size="2" baseType="variant">
      <vt:variant>
        <vt:lpstr>Title</vt:lpstr>
      </vt:variant>
      <vt:variant>
        <vt:i4>1</vt:i4>
      </vt:variant>
    </vt:vector>
  </HeadingPairs>
  <TitlesOfParts>
    <vt:vector size="1" baseType="lpstr">
      <vt:lpstr/>
    </vt:vector>
  </TitlesOfParts>
  <Company>BC Cancer Research Centre</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Liu</dc:creator>
  <cp:keywords/>
  <dc:description/>
  <cp:lastModifiedBy>Kelly Liu</cp:lastModifiedBy>
  <cp:revision>60</cp:revision>
  <dcterms:created xsi:type="dcterms:W3CDTF">2023-11-29T00:01:00Z</dcterms:created>
  <dcterms:modified xsi:type="dcterms:W3CDTF">2023-12-06T01:27:00Z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bc40dff1-df34-4c4b-b18e-abc90748360b</vt:lpwstr>
  </property>
  <property fmtid="{D5CDD505-2E9C-101B-9397-08002B2CF9AE}" pid="3" name="ContentTypeId">
    <vt:lpwstr>0x01010088A4673B6527B148823ADB53C6FA6F52</vt:lpwstr>
  </property>
</Properties>
</file>