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3103D65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6629DD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22F82EB" w14:textId="78B4C353" w:rsidR="00FB77ED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9932BF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6A0CE4">
        <w:rPr>
          <w:rFonts w:ascii="Palatino Linotype" w:hAnsi="Palatino Linotype" w:cs="Times New Roman"/>
          <w:bCs/>
        </w:rPr>
        <w:t xml:space="preserve"> </w:t>
      </w:r>
      <w:r w:rsidR="006A0CE4">
        <w:rPr>
          <w:rFonts w:ascii="Palatino Linotype" w:hAnsi="Palatino Linotype" w:cs="Times New Roman"/>
          <w:bCs/>
        </w:rPr>
        <w:t>[panel]</w:t>
      </w:r>
    </w:p>
    <w:p w14:paraId="4A949567" w14:textId="77777777" w:rsidR="006A0CE4" w:rsidRPr="006A0CE4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December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3B2BCB95" w14:textId="010DC0D9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09746E21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Code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 xml:space="preserve">Economics of Education </w:t>
      </w:r>
      <w:proofErr w:type="gramStart"/>
      <w:r w:rsidR="004A1369" w:rsidRPr="00755582">
        <w:rPr>
          <w:rFonts w:ascii="Palatino Linotype" w:hAnsi="Palatino Linotype" w:cs="Times New Roman"/>
          <w:i/>
        </w:rPr>
        <w:t>Review</w:t>
      </w:r>
      <w:r w:rsidR="003C7D1B">
        <w:rPr>
          <w:rFonts w:ascii="Palatino Linotype" w:hAnsi="Palatino Linotype" w:cs="Times New Roman"/>
        </w:rPr>
        <w:t>;</w:t>
      </w:r>
      <w:proofErr w:type="gramEnd"/>
      <w:r w:rsidR="003C7D1B">
        <w:rPr>
          <w:rFonts w:ascii="Palatino Linotype" w:hAnsi="Palatino Linotype" w:cs="Times New Roman"/>
        </w:rPr>
        <w:t xml:space="preserve">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9A7BB7">
        <w:rPr>
          <w:rFonts w:ascii="Palatino Linotype" w:hAnsi="Palatino Linotype" w:cs="Times New Roman"/>
          <w:i/>
        </w:rPr>
        <w:t>Policy</w:t>
      </w:r>
      <w:r>
        <w:rPr>
          <w:rFonts w:ascii="Palatino Linotype" w:hAnsi="Palatino Linotype" w:cs="Times New Roman"/>
        </w:rPr>
        <w:t>;</w:t>
      </w:r>
      <w:proofErr w:type="gramEnd"/>
      <w:r>
        <w:rPr>
          <w:rFonts w:ascii="Palatino Linotype" w:hAnsi="Palatino Linotype" w:cs="Times New Roman"/>
        </w:rPr>
        <w:t xml:space="preserve">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lastRenderedPageBreak/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Students complete more credits due to text </w:t>
        </w:r>
        <w:proofErr w:type="gramStart"/>
        <w:r w:rsidRPr="007C4646">
          <w:rPr>
            <w:rStyle w:val="Hyperlink"/>
            <w:rFonts w:ascii="Palatino Linotype" w:hAnsi="Palatino Linotype" w:cs="Times New Roman"/>
            <w:color w:val="auto"/>
          </w:rPr>
          <w:t>reminders,</w:t>
        </w:r>
        <w:proofErr w:type="gramEnd"/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B2106" w14:textId="77777777" w:rsidR="00CF4826" w:rsidRDefault="00CF4826" w:rsidP="00D95A1F">
      <w:pPr>
        <w:spacing w:after="0" w:line="240" w:lineRule="auto"/>
      </w:pPr>
      <w:r>
        <w:separator/>
      </w:r>
    </w:p>
  </w:endnote>
  <w:endnote w:type="continuationSeparator" w:id="0">
    <w:p w14:paraId="4B6B5CBE" w14:textId="77777777" w:rsidR="00CF4826" w:rsidRDefault="00CF4826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FF002F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08787F">
      <w:rPr>
        <w:rFonts w:ascii="Times New Roman" w:hAnsi="Times New Roman" w:cs="Times New Roman"/>
        <w:noProof/>
      </w:rPr>
      <w:t>1/14/2021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712A7" w14:textId="77777777" w:rsidR="00CF4826" w:rsidRDefault="00CF4826" w:rsidP="00D95A1F">
      <w:pPr>
        <w:spacing w:after="0" w:line="240" w:lineRule="auto"/>
      </w:pPr>
      <w:r>
        <w:separator/>
      </w:r>
    </w:p>
  </w:footnote>
  <w:footnote w:type="continuationSeparator" w:id="0">
    <w:p w14:paraId="75954E61" w14:textId="77777777" w:rsidR="00CF4826" w:rsidRDefault="00CF4826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2AA2"/>
    <w:rsid w:val="0068413E"/>
    <w:rsid w:val="006846DE"/>
    <w:rsid w:val="006855FE"/>
    <w:rsid w:val="0069101E"/>
    <w:rsid w:val="00691512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4826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167</cp:revision>
  <cp:lastPrinted>2020-09-14T17:40:00Z</cp:lastPrinted>
  <dcterms:created xsi:type="dcterms:W3CDTF">2019-08-08T20:02:00Z</dcterms:created>
  <dcterms:modified xsi:type="dcterms:W3CDTF">2021-01-14T21:04:00Z</dcterms:modified>
</cp:coreProperties>
</file>