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B632EA" w14:textId="2AE5437F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9BE5C2F" w14:textId="589B7E94" w:rsidR="00B44254" w:rsidRPr="0086671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8222DFF" w14:textId="129BF8DA" w:rsidR="00836748" w:rsidRPr="008E74A1" w:rsidRDefault="00B4425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R</w:t>
      </w:r>
      <w:r w:rsidR="00836748">
        <w:rPr>
          <w:rFonts w:ascii="Palatino Linotype" w:eastAsia="Times New Roman" w:hAnsi="Palatino Linotype" w:cs="Times New Roman"/>
        </w:rPr>
        <w:t xml:space="preserve">osinger, K. O., </w:t>
      </w:r>
      <w:r w:rsidR="00836748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836748">
        <w:rPr>
          <w:rFonts w:ascii="Palatino Linotype" w:eastAsia="Times New Roman" w:hAnsi="Palatino Linotype" w:cs="Times New Roman"/>
        </w:rPr>
        <w:t>, &amp; Wang, J</w:t>
      </w:r>
      <w:r w:rsidR="00836748" w:rsidRPr="00836748">
        <w:rPr>
          <w:rFonts w:ascii="Palatino Linotype" w:eastAsia="Times New Roman" w:hAnsi="Palatino Linotype" w:cs="Times New Roman"/>
        </w:rPr>
        <w:t xml:space="preserve">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  <w:r w:rsidR="008E74A1">
        <w:rPr>
          <w:rFonts w:ascii="Palatino Linotype" w:eastAsia="Times New Roman" w:hAnsi="Palatino Linotype" w:cs="Times New Roman"/>
        </w:rPr>
        <w:t xml:space="preserve"> (</w:t>
      </w:r>
      <w:r w:rsidR="008E74A1" w:rsidRPr="008E74A1">
        <w:rPr>
          <w:rFonts w:ascii="Palatino Linotype" w:eastAsia="Times New Roman" w:hAnsi="Palatino Linotype" w:cs="Times New Roman"/>
          <w:i/>
        </w:rPr>
        <w:t>revise &amp; resubmit</w:t>
      </w:r>
      <w:r w:rsidR="008E74A1">
        <w:rPr>
          <w:rFonts w:ascii="Palatino Linotype" w:eastAsia="Times New Roman" w:hAnsi="Palatino Linotype" w:cs="Times New Roman"/>
        </w:rPr>
        <w:t>)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685D1B81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lastRenderedPageBreak/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56F5105C" w14:textId="128173DD" w:rsidR="00317167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Lessons from the library: Improving youth library engagement (with Ben Castleman, Alice Choe, and Ariel Kalil)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3652AF86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45528A" w14:textId="4D4DA228" w:rsidR="000D6525" w:rsidRDefault="000D6525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 College Advising Styles Matter? Applying Natural Language Processing to Understand Treatment Variation (with Brian Kim and Alice Choe)</w:t>
      </w:r>
    </w:p>
    <w:p w14:paraId="3E3300FB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E0FCB23" w14:textId="2125CB1E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 (with Ben Castleman and Cait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15A4B6EC" w14:textId="0CE25B97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Bassok</w:t>
      </w:r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01D78C61" w14:textId="00B325F4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lastRenderedPageBreak/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r w:rsidR="001E59A0" w:rsidRPr="001E59A0">
        <w:rPr>
          <w:rFonts w:ascii="Palatino Linotype" w:hAnsi="Palatino Linotype" w:cs="Times New Roman"/>
          <w:i/>
        </w:rPr>
        <w:t>Behavioural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48DD385F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C43E5" w14:textId="77777777" w:rsidR="00CD4788" w:rsidRDefault="00CD4788" w:rsidP="00D95A1F">
      <w:pPr>
        <w:spacing w:after="0" w:line="240" w:lineRule="auto"/>
      </w:pPr>
      <w:r>
        <w:separator/>
      </w:r>
    </w:p>
  </w:endnote>
  <w:endnote w:type="continuationSeparator" w:id="0">
    <w:p w14:paraId="37ED9F3B" w14:textId="77777777" w:rsidR="00CD4788" w:rsidRDefault="00CD4788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691EB3FB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317167">
      <w:rPr>
        <w:rFonts w:ascii="Times New Roman" w:hAnsi="Times New Roman" w:cs="Times New Roman"/>
        <w:noProof/>
      </w:rPr>
      <w:t>10/2/2020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0DE75" w14:textId="77777777" w:rsidR="00CD4788" w:rsidRDefault="00CD4788" w:rsidP="00D95A1F">
      <w:pPr>
        <w:spacing w:after="0" w:line="240" w:lineRule="auto"/>
      </w:pPr>
      <w:r>
        <w:separator/>
      </w:r>
    </w:p>
  </w:footnote>
  <w:footnote w:type="continuationSeparator" w:id="0">
    <w:p w14:paraId="097AA40C" w14:textId="77777777" w:rsidR="00CD4788" w:rsidRDefault="00CD4788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B7871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154</cp:revision>
  <cp:lastPrinted>2020-09-14T17:40:00Z</cp:lastPrinted>
  <dcterms:created xsi:type="dcterms:W3CDTF">2019-08-08T20:02:00Z</dcterms:created>
  <dcterms:modified xsi:type="dcterms:W3CDTF">2020-10-02T17:52:00Z</dcterms:modified>
</cp:coreProperties>
</file>