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06D9B6D3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>(</w:t>
      </w:r>
      <w:r w:rsidR="00C33B66">
        <w:rPr>
          <w:rFonts w:ascii="Palatino Linotype" w:eastAsia="Times New Roman" w:hAnsi="Palatino Linotype" w:cs="Times New Roman"/>
        </w:rPr>
        <w:t>2021</w:t>
      </w:r>
      <w:r w:rsidR="00530DF6">
        <w:rPr>
          <w:rFonts w:ascii="Palatino Linotype" w:eastAsia="Times New Roman" w:hAnsi="Palatino Linotype" w:cs="Times New Roman"/>
        </w:rPr>
        <w:t xml:space="preserve">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C33B66">
        <w:rPr>
          <w:rFonts w:ascii="Palatino Linotype" w:hAnsi="Palatino Linotype" w:cs="Arial"/>
          <w:i/>
          <w:iCs/>
          <w:color w:val="222222"/>
          <w:shd w:val="clear" w:color="auto" w:fill="FFFFFF"/>
        </w:rPr>
        <w:t>, 4</w:t>
      </w:r>
      <w:r w:rsidR="00C33B66" w:rsidRPr="00C33B66">
        <w:rPr>
          <w:rFonts w:ascii="Palatino Linotype" w:hAnsi="Palatino Linotype" w:cs="Arial"/>
          <w:color w:val="222222"/>
          <w:shd w:val="clear" w:color="auto" w:fill="FFFFFF"/>
        </w:rPr>
        <w:t>(2)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6DDB36BA" w14:textId="77777777" w:rsidR="00530DF6" w:rsidRDefault="00530DF6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br w:type="page"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7ED7346A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08787F">
        <w:rPr>
          <w:rFonts w:ascii="Palatino Linotype" w:eastAsia="Times New Roman" w:hAnsi="Palatino Linotype" w:cs="Times New Roman"/>
          <w:i/>
          <w:iCs/>
        </w:rPr>
        <w:t>Revise and Resubmit at the Journal of Human Resources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Pr="00AD58D8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53725D" w14:textId="19767BB2" w:rsid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Home Visits and Parental Engagement (with Susanna Loeb and </w:t>
      </w:r>
      <w:proofErr w:type="spellStart"/>
      <w:r>
        <w:rPr>
          <w:rFonts w:ascii="Palatino Linotype" w:hAnsi="Palatino Linotype" w:cs="Times New Roman"/>
        </w:rPr>
        <w:t>Biraj</w:t>
      </w:r>
      <w:proofErr w:type="spellEnd"/>
      <w:r>
        <w:rPr>
          <w:rFonts w:ascii="Palatino Linotype" w:hAnsi="Palatino Linotype" w:cs="Times New Roman"/>
        </w:rPr>
        <w:t xml:space="preserve"> Bisht)</w:t>
      </w:r>
    </w:p>
    <w:p w14:paraId="29CFB313" w14:textId="71741BBA" w:rsidR="00E47A11" w:rsidRP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589407" w14:textId="33799AED" w:rsid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Boston Public Schools school choice (with Jesse Bruhn)</w:t>
      </w:r>
    </w:p>
    <w:p w14:paraId="3BAF2645" w14:textId="77777777" w:rsidR="00E47A11" w:rsidRP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5F570E62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 (with Ben Castleman and Cait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2EFADE7E" w14:textId="41654E31" w:rsidR="00463D6A" w:rsidRPr="006629DD" w:rsidRDefault="00463D6A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iCs/>
          <w:u w:val="single"/>
        </w:rPr>
      </w:pPr>
      <w:r w:rsidRPr="006629DD">
        <w:rPr>
          <w:rFonts w:ascii="Palatino Linotype" w:eastAsia="Times New Roman" w:hAnsi="Palatino Linotype" w:cs="Times New Roman"/>
          <w:i/>
          <w:iCs/>
          <w:u w:val="single"/>
        </w:rPr>
        <w:t>Peer Reviewed Conference</w:t>
      </w:r>
      <w:r w:rsidR="00772FD5" w:rsidRPr="006629DD">
        <w:rPr>
          <w:rFonts w:ascii="Palatino Linotype" w:eastAsia="Times New Roman" w:hAnsi="Palatino Linotype" w:cs="Times New Roman"/>
          <w:i/>
          <w:iCs/>
          <w:u w:val="single"/>
        </w:rPr>
        <w:t>s</w:t>
      </w:r>
    </w:p>
    <w:p w14:paraId="0E6BB62B" w14:textId="52415230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093609AA" w14:textId="4DB2280D" w:rsidR="00AF2078" w:rsidRDefault="00AF2078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APPAM annual conference,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Nov. 2020</w:t>
      </w:r>
    </w:p>
    <w:p w14:paraId="15A4B6EC" w14:textId="4BE496D4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 w:rsidR="00463D6A">
        <w:rPr>
          <w:rFonts w:ascii="Palatino Linotype" w:eastAsia="Times New Roman" w:hAnsi="Palatino Linotype" w:cs="Times New Roman"/>
        </w:rPr>
        <w:t>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5EA24F90" w14:textId="1C3CE688" w:rsidR="00D548E3" w:rsidRPr="00C80E3C" w:rsidRDefault="00D548E3" w:rsidP="00D548E3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 xml:space="preserve">APPAM annual conference, </w:t>
      </w:r>
      <w:r>
        <w:rPr>
          <w:rFonts w:ascii="Palatino Linotype" w:eastAsia="Times New Roman" w:hAnsi="Palatino Linotype" w:cs="Times New Roman"/>
        </w:rPr>
        <w:t>virtual</w:t>
      </w:r>
      <w:r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</w:t>
      </w:r>
      <w:r>
        <w:rPr>
          <w:rFonts w:ascii="Palatino Linotype" w:eastAsia="Times New Roman" w:hAnsi="Palatino Linotype" w:cs="Times New Roman"/>
        </w:rPr>
        <w:t>20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2C2F532E" w14:textId="7984E88C" w:rsidR="00072DDC" w:rsidRDefault="00072DDC" w:rsidP="006809E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1A126EF1" w14:textId="5036E36C" w:rsidR="006629DD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64BF9833" w14:textId="04BA10A5" w:rsidR="006629DD" w:rsidRPr="00FA28B1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  <w:u w:val="single"/>
        </w:rPr>
      </w:pPr>
      <w:r w:rsidRPr="00FA28B1">
        <w:rPr>
          <w:rFonts w:ascii="Palatino Linotype" w:hAnsi="Palatino Linotype" w:cs="Times New Roman"/>
          <w:i/>
          <w:iCs/>
          <w:u w:val="single"/>
        </w:rPr>
        <w:t>Invited Presentations</w:t>
      </w:r>
      <w:r w:rsidR="009932BF" w:rsidRPr="00FA28B1">
        <w:rPr>
          <w:rFonts w:ascii="Palatino Linotype" w:hAnsi="Palatino Linotype" w:cs="Times New Roman"/>
          <w:i/>
          <w:iCs/>
          <w:u w:val="single"/>
        </w:rPr>
        <w:t xml:space="preserve"> and Panels</w:t>
      </w:r>
    </w:p>
    <w:p w14:paraId="744BF9C1" w14:textId="77777777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235DD439" w14:textId="459B5D02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March 2021, 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Stacking the Deck for Employment Success: New Research on the Labor Market Returns to Stackable Credentials, </w:t>
      </w:r>
      <w:r w:rsidRPr="00E14FE8">
        <w:rPr>
          <w:rFonts w:ascii="Palatino Linotype" w:hAnsi="Palatino Linotype" w:cs="Arial"/>
          <w:i/>
          <w:iCs/>
          <w:color w:val="222222"/>
          <w:shd w:val="clear" w:color="auto" w:fill="FFFFFF"/>
        </w:rPr>
        <w:t>The National Council for Workforce Education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 [webinar]</w:t>
      </w:r>
    </w:p>
    <w:p w14:paraId="53875033" w14:textId="77777777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722F82EB" w14:textId="61A35F2E" w:rsidR="00FB77ED" w:rsidRPr="00FA28B1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FA28B1">
        <w:rPr>
          <w:rFonts w:ascii="Palatino Linotype" w:hAnsi="Palatino Linotype" w:cs="Times New Roman"/>
          <w:bCs/>
          <w:i/>
          <w:iCs/>
        </w:rPr>
        <w:t>Institute of Museum and Library Services (IMLS)</w:t>
      </w:r>
      <w:r w:rsidR="006A0CE4" w:rsidRPr="00FA28B1">
        <w:rPr>
          <w:rFonts w:ascii="Palatino Linotype" w:hAnsi="Palatino Linotype" w:cs="Times New Roman"/>
          <w:bCs/>
        </w:rPr>
        <w:t xml:space="preserve"> [panel]</w:t>
      </w:r>
    </w:p>
    <w:p w14:paraId="4A949567" w14:textId="77777777" w:rsidR="006A0CE4" w:rsidRPr="00FA28B1" w:rsidRDefault="006A0CE4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497D09BC" w14:textId="12009B17" w:rsidR="009932BF" w:rsidRPr="009932BF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>December</w:t>
      </w:r>
      <w:r>
        <w:rPr>
          <w:rFonts w:ascii="Palatino Linotype" w:hAnsi="Palatino Linotype" w:cs="Times New Roman"/>
          <w:bCs/>
        </w:rPr>
        <w:t xml:space="preserve">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  <w:r w:rsidR="006A0CE4">
        <w:rPr>
          <w:rFonts w:ascii="Palatino Linotype" w:hAnsi="Palatino Linotype" w:cs="Times New Roman"/>
          <w:bCs/>
        </w:rPr>
        <w:t xml:space="preserve"> [panel]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5025F810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5BAA63A4" w14:textId="77777777" w:rsidR="00AA7E4B" w:rsidRDefault="00AA7E4B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6C41FACD" w14:textId="01716BB9" w:rsid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 Undergraduate Fellows</w:t>
      </w:r>
    </w:p>
    <w:p w14:paraId="2E23155C" w14:textId="1DAEDE7B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="001722D4" w:rsidRPr="00AA7E4B">
        <w:rPr>
          <w:rFonts w:ascii="Palatino Linotype" w:hAnsi="Palatino Linotype" w:cs="Times New Roman"/>
          <w:i/>
          <w:iCs/>
        </w:rPr>
        <w:t>Eight-week</w:t>
      </w:r>
      <w:r w:rsidRPr="00AA7E4B">
        <w:rPr>
          <w:rFonts w:ascii="Palatino Linotype" w:hAnsi="Palatino Linotype" w:cs="Times New Roman"/>
          <w:i/>
          <w:iCs/>
        </w:rPr>
        <w:t xml:space="preserve"> training program; program coordinator and data instructor</w:t>
      </w:r>
    </w:p>
    <w:p w14:paraId="2E6F7C00" w14:textId="77777777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B2BCB95" w14:textId="3A3F6C1B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21B94DC3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A6E075" w14:textId="77777777" w:rsidR="00B34C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B34C39" w:rsidRPr="00B34C39">
        <w:rPr>
          <w:rFonts w:ascii="Palatino Linotype" w:hAnsi="Palatino Linotype" w:cs="Times New Roman"/>
          <w:i/>
          <w:iCs/>
        </w:rPr>
        <w:t>Children and Youth Services Review</w:t>
      </w:r>
      <w:r w:rsidR="00B34C39">
        <w:rPr>
          <w:rFonts w:ascii="Palatino Linotype" w:hAnsi="Palatino Linotype" w:cs="Times New Roman"/>
        </w:rPr>
        <w:t xml:space="preserve">; </w:t>
      </w:r>
    </w:p>
    <w:p w14:paraId="7470A4F0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>;</w:t>
      </w:r>
      <w:r>
        <w:rPr>
          <w:rFonts w:ascii="Palatino Linotype" w:hAnsi="Palatino Linotype" w:cs="Times New Roman"/>
        </w:rPr>
        <w:t xml:space="preserve"> </w:t>
      </w:r>
      <w:r w:rsidR="00323735" w:rsidRPr="00755582">
        <w:rPr>
          <w:rFonts w:ascii="Palatino Linotype" w:hAnsi="Palatino Linotype" w:cs="Times New Roman"/>
          <w:i/>
        </w:rPr>
        <w:t xml:space="preserve">Education Evaluation and Policy </w:t>
      </w:r>
      <w:r w:rsidR="00323735" w:rsidRPr="0041051B">
        <w:rPr>
          <w:rFonts w:ascii="Palatino Linotype" w:hAnsi="Palatino Linotype" w:cs="Times New Roman"/>
          <w:i/>
        </w:rPr>
        <w:t>Analysis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</w:p>
    <w:p w14:paraId="1B77B547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FA28B1" w:rsidRPr="0041051B">
        <w:rPr>
          <w:rFonts w:ascii="Palatino Linotype" w:hAnsi="Palatino Linotype" w:cs="Times New Roman"/>
          <w:i/>
        </w:rPr>
        <w:t xml:space="preserve">Education Finance and Policy; </w:t>
      </w:r>
      <w:r w:rsidR="009A7BB7" w:rsidRPr="0041051B">
        <w:rPr>
          <w:rFonts w:ascii="Palatino Linotype" w:hAnsi="Palatino Linotype" w:cs="Times New Roman"/>
          <w:i/>
        </w:rPr>
        <w:t>Educational Policy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C4D7B" w:rsidRPr="0041051B">
        <w:rPr>
          <w:rFonts w:ascii="Palatino Linotype" w:hAnsi="Palatino Linotype" w:cs="Times New Roman"/>
          <w:i/>
        </w:rPr>
        <w:t>Educational Researcher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</w:p>
    <w:p w14:paraId="79B123D7" w14:textId="77777777" w:rsidR="00C505B4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C505B4">
        <w:rPr>
          <w:rFonts w:ascii="Palatino Linotype" w:hAnsi="Palatino Linotype" w:cs="Times New Roman"/>
          <w:i/>
        </w:rPr>
        <w:t xml:space="preserve">Higher Education Policy; </w:t>
      </w:r>
      <w:r w:rsidR="005378B6">
        <w:rPr>
          <w:rFonts w:ascii="Palatino Linotype" w:hAnsi="Palatino Linotype" w:cs="Times New Roman"/>
          <w:i/>
        </w:rPr>
        <w:t>Journal of Human Resources;</w:t>
      </w:r>
      <w:r>
        <w:rPr>
          <w:rFonts w:ascii="Palatino Linotype" w:hAnsi="Palatino Linotype" w:cs="Times New Roman"/>
          <w:i/>
        </w:rPr>
        <w:t xml:space="preserve"> </w:t>
      </w:r>
    </w:p>
    <w:p w14:paraId="4DB0848D" w14:textId="77777777" w:rsidR="00C505B4" w:rsidRDefault="00C505B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755794">
        <w:rPr>
          <w:rFonts w:ascii="Palatino Linotype" w:hAnsi="Palatino Linotype" w:cs="Times New Roman"/>
          <w:i/>
        </w:rPr>
        <w:t xml:space="preserve">Journal of Student Financial Aid; </w:t>
      </w:r>
      <w:r w:rsidR="005417C0">
        <w:rPr>
          <w:rFonts w:ascii="Palatino Linotype" w:hAnsi="Palatino Linotype" w:cs="Times New Roman"/>
          <w:i/>
        </w:rPr>
        <w:t xml:space="preserve">Research in Higher Education; </w:t>
      </w:r>
    </w:p>
    <w:p w14:paraId="4158D2A1" w14:textId="7418A610" w:rsidR="00B41A75" w:rsidRPr="00C505B4" w:rsidRDefault="00C505B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A1EC9" w:rsidRPr="0041051B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770A7B86" w14:textId="77777777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5E64502A" w14:textId="59AAAB9E" w:rsid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Meyer, K. &amp; Castleman, B. “Stackable credentials open doors to new career opportunities.” </w:t>
      </w:r>
      <w:r w:rsidRPr="00EE109A">
        <w:rPr>
          <w:rFonts w:ascii="Palatino Linotype" w:hAnsi="Palatino Linotype" w:cs="Times New Roman"/>
          <w:i/>
          <w:iCs/>
        </w:rPr>
        <w:t>The Brookings Institution Brown Center Chalkboard</w:t>
      </w:r>
      <w:r>
        <w:rPr>
          <w:rFonts w:ascii="Palatino Linotype" w:hAnsi="Palatino Linotype" w:cs="Times New Roman"/>
        </w:rPr>
        <w:t>, scheduled February 2021.</w:t>
      </w:r>
    </w:p>
    <w:p w14:paraId="26529ADD" w14:textId="77777777" w:rsidR="00EE109A" w:rsidRP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1654089C" w14:textId="4964425C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6A558301" w:rsidR="00D43D5F" w:rsidRPr="00F5509A" w:rsidRDefault="00955302" w:rsidP="000248F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2016.</w:t>
      </w:r>
    </w:p>
    <w:sectPr w:rsidR="00D43D5F" w:rsidRPr="00F5509A" w:rsidSect="0070444E">
      <w:footerReference w:type="default" r:id="rId8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4F57" w14:textId="77777777" w:rsidR="002863FE" w:rsidRDefault="002863FE" w:rsidP="00D95A1F">
      <w:pPr>
        <w:spacing w:after="0" w:line="240" w:lineRule="auto"/>
      </w:pPr>
      <w:r>
        <w:separator/>
      </w:r>
    </w:p>
  </w:endnote>
  <w:endnote w:type="continuationSeparator" w:id="0">
    <w:p w14:paraId="65687DF9" w14:textId="77777777" w:rsidR="002863FE" w:rsidRDefault="002863FE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3EE348C8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C33B66">
      <w:rPr>
        <w:rFonts w:ascii="Times New Roman" w:hAnsi="Times New Roman" w:cs="Times New Roman"/>
        <w:noProof/>
      </w:rPr>
      <w:t>6/4/2021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B4FAE" w14:textId="77777777" w:rsidR="002863FE" w:rsidRDefault="002863FE" w:rsidP="00D95A1F">
      <w:pPr>
        <w:spacing w:after="0" w:line="240" w:lineRule="auto"/>
      </w:pPr>
      <w:r>
        <w:separator/>
      </w:r>
    </w:p>
  </w:footnote>
  <w:footnote w:type="continuationSeparator" w:id="0">
    <w:p w14:paraId="72C2C75E" w14:textId="77777777" w:rsidR="002863FE" w:rsidRDefault="002863FE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48FA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22D4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63FE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E1996"/>
    <w:rsid w:val="003E79FD"/>
    <w:rsid w:val="003F4058"/>
    <w:rsid w:val="003F6529"/>
    <w:rsid w:val="003F752A"/>
    <w:rsid w:val="003F7D20"/>
    <w:rsid w:val="00401066"/>
    <w:rsid w:val="00403635"/>
    <w:rsid w:val="004038BB"/>
    <w:rsid w:val="004065F3"/>
    <w:rsid w:val="00407660"/>
    <w:rsid w:val="00407EDB"/>
    <w:rsid w:val="0041051B"/>
    <w:rsid w:val="00413061"/>
    <w:rsid w:val="00414B53"/>
    <w:rsid w:val="00414FDA"/>
    <w:rsid w:val="00415E5C"/>
    <w:rsid w:val="0041724C"/>
    <w:rsid w:val="0041764F"/>
    <w:rsid w:val="00421615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8B6"/>
    <w:rsid w:val="00537A51"/>
    <w:rsid w:val="00537D7F"/>
    <w:rsid w:val="00540F5A"/>
    <w:rsid w:val="005417C0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822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37FC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09E9"/>
    <w:rsid w:val="00682AA2"/>
    <w:rsid w:val="0068413E"/>
    <w:rsid w:val="006846DE"/>
    <w:rsid w:val="006855FE"/>
    <w:rsid w:val="00685EA6"/>
    <w:rsid w:val="0069101E"/>
    <w:rsid w:val="00691512"/>
    <w:rsid w:val="00693EF3"/>
    <w:rsid w:val="006A0CE4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55794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A7E4B"/>
    <w:rsid w:val="00AB0295"/>
    <w:rsid w:val="00AB2639"/>
    <w:rsid w:val="00AB4E1C"/>
    <w:rsid w:val="00AB7871"/>
    <w:rsid w:val="00AC4AB2"/>
    <w:rsid w:val="00AC5EC9"/>
    <w:rsid w:val="00AC6090"/>
    <w:rsid w:val="00AD58D8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4C39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152B2"/>
    <w:rsid w:val="00C30602"/>
    <w:rsid w:val="00C30E5F"/>
    <w:rsid w:val="00C33B07"/>
    <w:rsid w:val="00C33B66"/>
    <w:rsid w:val="00C40568"/>
    <w:rsid w:val="00C40F0E"/>
    <w:rsid w:val="00C417DB"/>
    <w:rsid w:val="00C46711"/>
    <w:rsid w:val="00C4733F"/>
    <w:rsid w:val="00C4773F"/>
    <w:rsid w:val="00C505B4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14FE8"/>
    <w:rsid w:val="00E22F31"/>
    <w:rsid w:val="00E26093"/>
    <w:rsid w:val="00E26D92"/>
    <w:rsid w:val="00E27810"/>
    <w:rsid w:val="00E303D0"/>
    <w:rsid w:val="00E35AA4"/>
    <w:rsid w:val="00E3657F"/>
    <w:rsid w:val="00E37BFC"/>
    <w:rsid w:val="00E47A11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6E7B"/>
    <w:rsid w:val="00EB783A"/>
    <w:rsid w:val="00EC46AD"/>
    <w:rsid w:val="00EC5215"/>
    <w:rsid w:val="00ED1AFC"/>
    <w:rsid w:val="00ED481F"/>
    <w:rsid w:val="00ED52D0"/>
    <w:rsid w:val="00ED6867"/>
    <w:rsid w:val="00EE08C9"/>
    <w:rsid w:val="00EE0B5B"/>
    <w:rsid w:val="00EE109A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8B1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191</cp:revision>
  <cp:lastPrinted>2021-04-12T13:54:00Z</cp:lastPrinted>
  <dcterms:created xsi:type="dcterms:W3CDTF">2019-08-08T20:02:00Z</dcterms:created>
  <dcterms:modified xsi:type="dcterms:W3CDTF">2021-06-04T18:25:00Z</dcterms:modified>
</cp:coreProperties>
</file>