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0F5306" w14:textId="77777777" w:rsidR="009A26E4" w:rsidRDefault="00F04619">
      <w:pPr>
        <w:pStyle w:val="Title"/>
      </w:pPr>
      <w:r>
        <w:t>Moos as cues: One-to-one biases in a non-linguistic and non-communicative domain</w:t>
      </w:r>
    </w:p>
    <w:tbl>
      <w:tblPr>
        <w:tblW w:w="5000" w:type="pct"/>
        <w:tblLook w:val="04A0" w:firstRow="1" w:lastRow="0" w:firstColumn="1" w:lastColumn="0" w:noHBand="0" w:noVBand="1"/>
      </w:tblPr>
      <w:tblGrid>
        <w:gridCol w:w="9288"/>
      </w:tblGrid>
      <w:tr w:rsidR="009A26E4" w14:paraId="164E7751" w14:textId="77777777">
        <w:tc>
          <w:tcPr>
            <w:tcW w:w="0" w:type="auto"/>
          </w:tcPr>
          <w:p w14:paraId="55F0EA04" w14:textId="77777777" w:rsidR="009A26E4" w:rsidRDefault="00F04619">
            <w:pPr>
              <w:pStyle w:val="Compact"/>
              <w:jc w:val="center"/>
            </w:pPr>
            <w:r>
              <w:t>Kyle MacDonald</w:t>
            </w:r>
            <w:r>
              <w:rPr>
                <w:vertAlign w:val="superscript"/>
              </w:rPr>
              <w:t>1</w:t>
            </w:r>
            <w:r>
              <w:t>, Ricardo A. H. Bion</w:t>
            </w:r>
            <w:r>
              <w:rPr>
                <w:vertAlign w:val="superscript"/>
              </w:rPr>
              <w:t>1</w:t>
            </w:r>
            <w:r>
              <w:t>, &amp; Anne Fernald</w:t>
            </w:r>
            <w:r>
              <w:rPr>
                <w:vertAlign w:val="superscript"/>
              </w:rPr>
              <w:t>1</w:t>
            </w:r>
          </w:p>
        </w:tc>
      </w:tr>
      <w:tr w:rsidR="009A26E4" w14:paraId="61692ECF" w14:textId="77777777">
        <w:tc>
          <w:tcPr>
            <w:tcW w:w="0" w:type="auto"/>
          </w:tcPr>
          <w:p w14:paraId="5B442C6D" w14:textId="77777777" w:rsidR="009A26E4" w:rsidRDefault="00F04619">
            <w:pPr>
              <w:pStyle w:val="Compact"/>
              <w:jc w:val="center"/>
            </w:pPr>
            <w:r>
              <w:t>                                                                                                                                                    </w:t>
            </w:r>
          </w:p>
        </w:tc>
      </w:tr>
      <w:tr w:rsidR="009A26E4" w14:paraId="7169F4E3" w14:textId="77777777">
        <w:tc>
          <w:tcPr>
            <w:tcW w:w="0" w:type="auto"/>
          </w:tcPr>
          <w:p w14:paraId="1B35938B" w14:textId="77777777" w:rsidR="009A26E4" w:rsidRDefault="00F04619">
            <w:pPr>
              <w:pStyle w:val="Compact"/>
              <w:jc w:val="center"/>
            </w:pPr>
            <w:r>
              <w:rPr>
                <w:vertAlign w:val="superscript"/>
              </w:rPr>
              <w:t>1</w:t>
            </w:r>
            <w:r>
              <w:t xml:space="preserve"> Stanford University</w:t>
            </w:r>
          </w:p>
        </w:tc>
      </w:tr>
      <w:tr w:rsidR="009A26E4" w14:paraId="47F0B0D1" w14:textId="77777777">
        <w:tc>
          <w:tcPr>
            <w:tcW w:w="0" w:type="auto"/>
          </w:tcPr>
          <w:p w14:paraId="08E4ADEA" w14:textId="77777777" w:rsidR="009A26E4" w:rsidRDefault="00F04619">
            <w:pPr>
              <w:pStyle w:val="Compact"/>
              <w:jc w:val="center"/>
            </w:pPr>
            <w:r>
              <w:t>                                                                                                                                                    </w:t>
            </w:r>
          </w:p>
        </w:tc>
      </w:tr>
    </w:tbl>
    <w:p w14:paraId="77BC0E59" w14:textId="77777777" w:rsidR="009A26E4" w:rsidRDefault="00F04619">
      <w:pPr>
        <w:pStyle w:val="BodyText"/>
      </w:pPr>
      <w:r>
        <w:t> </w:t>
      </w:r>
    </w:p>
    <w:p w14:paraId="047F7707" w14:textId="77777777" w:rsidR="009A26E4" w:rsidRDefault="00F04619">
      <w:pPr>
        <w:pStyle w:val="Heading11"/>
      </w:pPr>
      <w:bookmarkStart w:id="0" w:name="author-note"/>
      <w:bookmarkEnd w:id="0"/>
      <w:r>
        <w:t>Author note</w:t>
      </w:r>
    </w:p>
    <w:p w14:paraId="2906036A" w14:textId="77777777" w:rsidR="009A26E4" w:rsidRDefault="00F04619">
      <w:r>
        <w:t xml:space="preserve">Correspondence concerning this article should be addressed to Kyle MacDonald, 450 Serra Mall, Stanford, CA 94306. E-mail: </w:t>
      </w:r>
      <w:hyperlink r:id="rId8">
        <w:r>
          <w:t>kylem4@stanford.edu</w:t>
        </w:r>
      </w:hyperlink>
    </w:p>
    <w:p w14:paraId="66BDB200" w14:textId="77777777" w:rsidR="009A26E4" w:rsidRDefault="00F04619">
      <w:pPr>
        <w:pStyle w:val="BodyText"/>
      </w:pPr>
      <w:r>
        <w:t> </w:t>
      </w:r>
    </w:p>
    <w:p w14:paraId="1662A88F" w14:textId="77777777" w:rsidR="009A26E4" w:rsidRDefault="00F04619">
      <w:pPr>
        <w:pStyle w:val="BodyText"/>
      </w:pPr>
      <w:r>
        <w:t> </w:t>
      </w:r>
    </w:p>
    <w:p w14:paraId="61E92168" w14:textId="77777777" w:rsidR="009A26E4" w:rsidRDefault="00F04619">
      <w:pPr>
        <w:pStyle w:val="BodyText"/>
      </w:pPr>
      <w:r>
        <w:t> </w:t>
      </w:r>
    </w:p>
    <w:p w14:paraId="47B37A1B" w14:textId="77777777" w:rsidR="009A26E4" w:rsidRDefault="00F04619">
      <w:pPr>
        <w:pStyle w:val="BodyText"/>
      </w:pPr>
      <w:r>
        <w:t> </w:t>
      </w:r>
    </w:p>
    <w:p w14:paraId="4B604A28" w14:textId="77777777" w:rsidR="004B3576" w:rsidRDefault="004B3576">
      <w:pPr>
        <w:spacing w:before="0" w:after="200" w:line="240" w:lineRule="auto"/>
        <w:ind w:firstLine="0"/>
        <w:rPr>
          <w:rFonts w:eastAsiaTheme="majorEastAsia" w:cstheme="majorBidi"/>
          <w:b/>
          <w:bCs/>
          <w:szCs w:val="36"/>
        </w:rPr>
      </w:pPr>
      <w:bookmarkStart w:id="1" w:name="abstract"/>
      <w:bookmarkEnd w:id="1"/>
      <w:r>
        <w:br w:type="page"/>
      </w:r>
    </w:p>
    <w:p w14:paraId="4809AD08" w14:textId="77777777" w:rsidR="009A26E4" w:rsidRDefault="00F04619">
      <w:pPr>
        <w:pStyle w:val="Heading11"/>
      </w:pPr>
      <w:r>
        <w:lastRenderedPageBreak/>
        <w:t>Abstract</w:t>
      </w:r>
    </w:p>
    <w:p w14:paraId="363FF734" w14:textId="77777777" w:rsidR="009A26E4" w:rsidRDefault="00F04619">
      <w:r>
        <w:t>When hearing a novel name, children tend to select a novel object rather than a familiar one, a bias known as disambiguation. This bias is often assumed to reflect children’s expectations about the nature of words or expectations about the communicative intention of speakers. This work investigated whether similar biases emerge in a domain that is non-linguistic and non-communicative for children, but in which strong regularities can be found: the vocalizations that animals produce. Using online processing measures, we first show that two-year-olds can identify familiar animals based on their vocalizations, though not as fast as they are to identify these same animals when hearing their names. We then show that children rapidly look at an unfamiliar animal when hearing a novel animal vocalization or novel animal name, being equally fast in both conditions. In a follow-up experiment, we replicate the key finding that children look at a novel animal when hearing a novel animal vocalization, but show that these biases do not necessarily lead to learning. We characterize disambiguation biases as resulting from domain-general processing mechanisms, rather than from lexical or communicative constraints.</w:t>
      </w:r>
    </w:p>
    <w:p w14:paraId="4EFB63ED" w14:textId="77777777" w:rsidR="009A26E4" w:rsidRDefault="00F04619">
      <w:pPr>
        <w:pStyle w:val="BodyText"/>
      </w:pPr>
      <w:r>
        <w:rPr>
          <w:i/>
        </w:rPr>
        <w:t>Keywords:</w:t>
      </w:r>
      <w:r>
        <w:t xml:space="preserve"> disambiguation, mutual exclusivity, environmental sounds, retention, word learning</w:t>
      </w:r>
    </w:p>
    <w:p w14:paraId="1D35535E" w14:textId="77777777" w:rsidR="009A26E4" w:rsidRDefault="00F04619">
      <w:pPr>
        <w:pStyle w:val="BodyText"/>
      </w:pPr>
      <w:r>
        <w:t>Word count: 7923</w:t>
      </w:r>
    </w:p>
    <w:p w14:paraId="21CBEF94" w14:textId="77777777" w:rsidR="009A26E4" w:rsidRDefault="00F04619">
      <w:pPr>
        <w:pStyle w:val="BodyText"/>
      </w:pPr>
      <w:r>
        <w:t> </w:t>
      </w:r>
    </w:p>
    <w:p w14:paraId="27B2BD9C" w14:textId="77777777" w:rsidR="009A26E4" w:rsidRDefault="00F04619">
      <w:pPr>
        <w:pStyle w:val="BodyText"/>
      </w:pPr>
      <w:r>
        <w:t> </w:t>
      </w:r>
    </w:p>
    <w:p w14:paraId="0F20D008" w14:textId="77777777" w:rsidR="009A26E4" w:rsidRDefault="00F04619">
      <w:pPr>
        <w:pStyle w:val="BodyText"/>
      </w:pPr>
      <w:r>
        <w:t> </w:t>
      </w:r>
    </w:p>
    <w:p w14:paraId="78D98BE2" w14:textId="77777777" w:rsidR="009A26E4" w:rsidRDefault="00F04619">
      <w:pPr>
        <w:pStyle w:val="BodyText"/>
      </w:pPr>
      <w:r>
        <w:t> </w:t>
      </w:r>
    </w:p>
    <w:p w14:paraId="4CD85A28" w14:textId="77777777" w:rsidR="004B3576" w:rsidRDefault="004B3576">
      <w:pPr>
        <w:spacing w:before="0" w:after="200" w:line="240" w:lineRule="auto"/>
        <w:ind w:firstLine="0"/>
        <w:rPr>
          <w:rFonts w:eastAsiaTheme="majorEastAsia" w:cstheme="majorBidi"/>
          <w:b/>
          <w:bCs/>
          <w:szCs w:val="36"/>
        </w:rPr>
      </w:pPr>
      <w:bookmarkStart w:id="2" w:name="moos-as-cues-one-to-one-biases-in-a-non-"/>
      <w:bookmarkEnd w:id="2"/>
      <w:r>
        <w:br w:type="page"/>
      </w:r>
    </w:p>
    <w:p w14:paraId="23079084" w14:textId="77777777" w:rsidR="009A26E4" w:rsidRDefault="00F04619">
      <w:pPr>
        <w:pStyle w:val="Heading11"/>
      </w:pPr>
      <w:r>
        <w:lastRenderedPageBreak/>
        <w:t>Moos as cues: One-to-one biases in a non-linguistic and non-communicative domain</w:t>
      </w:r>
    </w:p>
    <w:p w14:paraId="743FE593" w14:textId="77777777" w:rsidR="009A26E4" w:rsidRDefault="00F04619">
      <w:pPr>
        <w:pStyle w:val="Heading11"/>
      </w:pPr>
      <w:bookmarkStart w:id="3" w:name="introduction"/>
      <w:bookmarkEnd w:id="3"/>
      <w:r>
        <w:t>Introduction</w:t>
      </w:r>
    </w:p>
    <w:p w14:paraId="52573F7F" w14:textId="77777777" w:rsidR="009A26E4" w:rsidRDefault="00F04619">
      <w:r>
        <w:t>When children encounter people and animals in daily life, they experience them through multiple sensory modalities simultaneously. When playing with pets, for example, the child learns to associate the physical features and actions of dogs and cows with the barking or mooing sounds typically produced by these animals. Eventually, the child will also link words to each type of animal, learning that they are associated with the object names dog or cow, as well as with onomatopoeic words resembling their characteristic vocalizations, such as woof-woof or moo. Thus, just as familiar object labels are consistently associated with particular kinds of animate and inanimate objects, animal vocalizations and onomatopoeic words for vocalizations also provide consistent associations between auditory stimuli and different types of animals. Here, we compare young children’s efficiency in using these different sounds as cues to identifying particular animals. In addition, we investigate whether children can use disambiguation strategies, which have frequently been characterized as pragmatic or lexically-specific in nature (Bloom, 2002; Diesendruck &amp; Markson, 2001; Markman, 1991) to infer which of two animals is associated with a novel animal vocalization.</w:t>
      </w:r>
    </w:p>
    <w:p w14:paraId="782BD827" w14:textId="77777777" w:rsidR="009A26E4" w:rsidRDefault="00F04619">
      <w:pPr>
        <w:pStyle w:val="BodyText"/>
      </w:pPr>
      <w:r>
        <w:t>The question of whether words are a special kind of stimulus is not new. Several studies have found advantages for speech sounds over tones in object individuation and categorization in young infants (Fulkerson &amp; Waxman, 2007; Xu, 2002). Focusing on associations between objects and sounds, objects and tones, or objects and gestures, several studies found that younger infants accept several different forms as potential object labels, but that older infants are more discriminating and favor words (Namy &amp; Waxman, 1998; Woodward &amp; Hoyne, 1999). A different line of research found that infants prefer to hear spoken words over some non-linguistic analogues (Vouloumanos &amp; Werker, 2004, 2007a, 2007b), and that the neonate brain responds differently to speech as compared to backwards speech (Pena et al., 2003). These studies found advantages for speech over non-linguistic analogues in categorization, individuation, crossmodal association, and speech preferences. However, they all focused on arbitrary, non-linguistic cues that are not consistently associated to objects in children’s everyday environments.</w:t>
      </w:r>
    </w:p>
    <w:p w14:paraId="45105B62" w14:textId="77777777" w:rsidR="009A26E4" w:rsidRDefault="00F04619">
      <w:pPr>
        <w:pStyle w:val="BodyText"/>
      </w:pPr>
      <w:r>
        <w:t xml:space="preserve">Other research has approached the question of whether speech is special from a different perspective, comparing how children process spoken words as compared to non-arbitrary environmental sounds, such as animal vocalizations (e.g., cat meowing) or the sounds produced by inanimate objects (e.g., car starting). Studies with adults found similarities and differences in both behavioral and neural responses to cross-modal semantic associations between words and environmental sounds. In a picture detection task, Chen and Spence (2011) found priming for environmental sounds but not for words. They suggest that </w:t>
      </w:r>
      <w:r>
        <w:lastRenderedPageBreak/>
        <w:t>recognition of environmental sounds is faster because words must also be processed at a lexical stage, while environmental sounds activate semantic representations directly. In contrast, in a sound to picture matching task, Lupyan and Thompson-Schill (2012) found advantages for words as compared to environmental sounds. This finding was interpreted as evidence that words activate conceptual information more quickly and accurately and in a more categorical way than nonverbal sounds.</w:t>
      </w:r>
    </w:p>
    <w:p w14:paraId="1F8EAB53" w14:textId="77777777" w:rsidR="009A26E4" w:rsidRDefault="00F04619">
      <w:pPr>
        <w:pStyle w:val="BodyText"/>
      </w:pPr>
      <w:r>
        <w:t>In an ERP study with adults, A Cummings et al. (2006) found that largely overlapping neural networks processed verbal and non-verbal meaningful sounds. In another study focusing on three different sound types that varied in arbitrariness, Hashimoto et al. (2006) found different neural mechanisms for the processing of animal names and vocalizations, with onomatopoeic words activating both areas. Because research on environmental sounds is relatively new, it is hard to reconcile these somewhat discrepant findings. Variations in tasks or timing of stimuli could influence results, and different theoretical commitments can lead to different interpretations. For example, environmental sounds are often treated as encompassing both the sounds of living and man-made objects (e.g. cow mooing, bell ringing) despite evidence that these sounds are treated differently by the adult brain (Murray, Camen, Andino, Bovet, &amp; Clarke, 2006). But this line of research provides promising new ways to examine the question of whether language emerges from the interaction of domain-general cognitive processes or domain-specific mechanism (Bates, MacWhinney, &amp; others, 1989). For example, recent research comparing processing of speech and non-speech sounds is leading to new insights relevant to autism, developmental language impairment, and cochlear implants (Alycia Cummings &amp; Ceponiene, 2010; McCleery et al., 2010).</w:t>
      </w:r>
    </w:p>
    <w:p w14:paraId="3F4F5822" w14:textId="77777777" w:rsidR="009A26E4" w:rsidRDefault="00F04619">
      <w:pPr>
        <w:pStyle w:val="BodyText"/>
      </w:pPr>
      <w:r>
        <w:t>From a developmental perspective, it is also important to understand how children process words and non-arbitrary non-linguistic sounds. However, few studies have examined this question. Using a preferential-looking paradigm, Alycia Cummings, Saygin, Bates, and Dick (2009) found that 15- and 25-mo-olds can use words and environmental sounds to guide their attention to familiar objects, improving as they get older. Vouloumanos, Druhen, Hauser, and Huizink (2009) found that 5-month-olds can match some animals to the vocalizations they produce. And studies with children with autism and developmental language impairment found more severe deficits for the processing of words than environmental sounds (Alycia Cummings &amp; Ceponiene, 2010; McCleery et al., 2010).</w:t>
      </w:r>
    </w:p>
    <w:p w14:paraId="61F4E70B" w14:textId="77777777" w:rsidR="009A26E4" w:rsidRDefault="00F04619">
      <w:pPr>
        <w:pStyle w:val="BodyText"/>
      </w:pPr>
      <w:r>
        <w:t xml:space="preserve">We build on these earlier studies using the looking-while-listening paradigm, which has been widely used to assess real-time interpretation of spoken words by infants and young children (Fernald, Zangl, Portillo, &amp; Marchman, 2008). One major goal in this research is to investigate how two-year-old children process different types of auditory stimuli that are consistently associated with familiar animals but vary in level of arbitrariness. First, we ask whether 32-month-olds can use onomatopoeic sounds (e.g. bow-wow), and animal vocalizations (e.g., dog barking) to identify familiar animals, as well as familiar animal names </w:t>
      </w:r>
      <w:r>
        <w:lastRenderedPageBreak/>
        <w:t>(e.g., dog). By using real-time processing measures, we can determine whether these three sounds are equally effective as acoustic cues in guiding children’s attention to a particular animal in the visual scene. The use of looking to visual stimuli, rather than object-choice responses, reduces the task demands of procedures requiring more complex responses such as reaching or pointing, and yield continuous rather than categorical measures of attention on every trial, capturing differences in processing that might not be detected by offline tasks.</w:t>
      </w:r>
    </w:p>
    <w:p w14:paraId="0B5070E8" w14:textId="77777777" w:rsidR="009A26E4" w:rsidRDefault="00F04619">
      <w:pPr>
        <w:pStyle w:val="BodyText"/>
      </w:pPr>
      <w:r>
        <w:t>A second major goal in this research is to investigate how young children learn to link non-linguistic sounds to animate objects. Do two-year-olds make similar inferences when mapping a novel word and a novel vocalization to an unfamiliar animal? Typically, word learning is portrayed as an intractable challenge, while associating animals with the sounds they produce might appear trivial. The acoustic structure of vocalizations is influenced by the size and shape of the vocal tract and other physical features, linking sounds to their source in a non-arbitrary way. And the fact that many animal vocalizations are accompanied by synchronous physical movements might provide children with additional non-arbitrary cues to the source of the sound. Even in the absence of additional visual cues, it is often possible to pinpoint the source of a sound with reasonable accuracy. In contrast, because the acoustic structure of a word is in most cases arbitrary with respect to potential referents, and it is produced by a speaker and not by the object itself, learning to associate speech sounds with objects is often characterized as a complex problem of induction (Markman, 1991).</w:t>
      </w:r>
    </w:p>
    <w:p w14:paraId="28083AF1" w14:textId="77777777" w:rsidR="009A26E4" w:rsidRDefault="00F04619">
      <w:pPr>
        <w:pStyle w:val="BodyText"/>
      </w:pPr>
      <w:r>
        <w:t>To solve the word-learning puzzle, children are said to use constraints on the possible meanings of words. The most widely studied of these constraints is that each object must have only one name (Markman, 1991). Evidence for this default assumption comes from disambiguation tasks in which children hear a novel label in the presence of a novel object and one or more familiar objects. In these situations, children tend to select the novel object as the referent for the novel word, presumably because the familiar objects already have names associated with them. Debate about the origins, scope, and generality of the Mutual Exclusivity (ME) constraint has focused on whether this response bias provides evidence for a lexical constraint, or whether it results instead from inferences about speakers’ communicative intent. Lexical accounts characterize ME as a “domain specific mechanism specific to word leaning” (Marchena, Eigsti, Worek, Ono, &amp; Snedeker, 2011), which “predicts disambiguation only within the domain of word learning (i.e., it is domain-specific)” (Scofield &amp; Behrend, 2007). Pragmatic accounts propose that ME extends to communicative acts more broadly, reflecting assumptions that speakers are cooperative and should use conventional names to refer to familiar objects (Bloom, 2002; Clark, 1990). A third possibility is that the bias toward one-to-one mappings reflect general tendencies to find simple regularities in complex domains, a perspective embraced by recent computational approaches to word learning (M. C. Frank, Goodman, &amp; Tenenbaum, 2009; McMurray, Horst, &amp; Samuelson, 2012; Regier, 2003).</w:t>
      </w:r>
    </w:p>
    <w:p w14:paraId="5EC9EE0A" w14:textId="77777777" w:rsidR="009A26E4" w:rsidRDefault="00F04619">
      <w:pPr>
        <w:pStyle w:val="BodyText"/>
      </w:pPr>
      <w:r>
        <w:lastRenderedPageBreak/>
        <w:t>Thus, lexical and pragmatic accounts of the scope of the ME constraint assert that one-to-one biases are either unique to word learning or that they generalize to communicative acts more broadly, while domain-general accounts predict that they would apply to any domain in which consistent one-to-one mappings are observed. To explore the possibility that one-to-one biases in sound-object mappings are not limited to interpreting communicative acts, we investigated whether children would show responses comparable to the ‘mutual exclusivity’ bias in a domain that is neither linguistic nor communicative, but in which consistent associations are observed between objects and auditory cues. Will children show evidence of one-to-one biases and orient their visual attention to a novel animal when they hear a novel animal vocalization?</w:t>
      </w:r>
    </w:p>
    <w:p w14:paraId="03BDE235" w14:textId="77777777" w:rsidR="009A26E4" w:rsidRDefault="00F04619">
      <w:pPr>
        <w:pStyle w:val="Heading11"/>
      </w:pPr>
      <w:bookmarkStart w:id="4" w:name="experiment-1"/>
      <w:bookmarkEnd w:id="4"/>
      <w:r>
        <w:t>Experiment 1</w:t>
      </w:r>
    </w:p>
    <w:p w14:paraId="269BC64D" w14:textId="77777777" w:rsidR="009A26E4" w:rsidRDefault="00F04619">
      <w:r>
        <w:t>Experiment 1 asks two questions. First, can 32-month-olds use familiar animal names (e.g., dog), onomatopoeic words (e.g. bow-wow), and animal vocalizations (e.g., dog barking) to identify familiar animals? These three sound types differ in arbitrariness along a continuum, with speech as the most arbitrary and vocalizations as the least arbitrary cue. We ask whether these sounds are equally effective as acoustic cues in guiding children’s attention to animals in a visual scene. Children will hear a sound cue while looking at images of two familiar animals, one that matches and one that does not match the cue, and we will compare children’s looking to the matching animal when hearing the target sound.</w:t>
      </w:r>
    </w:p>
    <w:p w14:paraId="4113308B" w14:textId="77777777" w:rsidR="009A26E4" w:rsidRDefault="00F04619">
      <w:pPr>
        <w:pStyle w:val="BodyText"/>
      </w:pPr>
      <w:r>
        <w:t xml:space="preserve">One of three patterns of result is most likely to emerge: The first is that children are faster to identify animal names than onomatopoeic words, and faster to identify onomatopoeic sounds than animal vocalizations. This pattern of results could be predicted by computational models that see frequency as a crucial determinant of speed of processing (e.g., McMurray et al. (2012)) either at the token level (children in urban environments are likely to hear the names of animals more often than their vocalizations) or in total amount, resulting in more practice interpreting speech (high SES children might hear thousands of words daily, but not nearly as many animal sounds). It could also be predicted by developmental accounts that see speech as having a privileged status in early development either in getting children’s attention (Vouloumanos &amp; Werker, 2004, 2007a, 2007b), or due to the fact that it refers to objects (Waxman &amp; Gelman, 2009). The second possible pattern of result is that children are faster to identify animal vocalizations than onomatopoeic sounds, and faster to identify onomatopoeic sounds than animal names. This pattern of results could be predicted by accounts that propose that non-arbitrary sounds link directly to semantic representations, while words first connect to lexical representations before reaching semantics (Chen &amp; Spence, 2011). The fact that children have experience interpreting environmental sounds (e.g., balls bouncing, things falling) before learning to interpret speech referentially could also predict an advantage for environmental sounds. A third possibility is that children are equally efficient in exploiting these three sound types to guide their attention to a familiar animal. This pattern of results </w:t>
      </w:r>
      <w:r>
        <w:lastRenderedPageBreak/>
        <w:t>would parallel that of previous studies that failed to find differences in the processing of environmental sounds and words (Alycia Cummings et al., 2009).</w:t>
      </w:r>
    </w:p>
    <w:p w14:paraId="183A23A8" w14:textId="77777777" w:rsidR="009A26E4" w:rsidRDefault="00F04619">
      <w:pPr>
        <w:pStyle w:val="BodyText"/>
      </w:pPr>
      <w:r>
        <w:t>Our second question is whether two-year-olds make similar inferences when mapping a novel name and a novel animal vocalization to an unfamiliar animal. In a paradigm similar to the one explained above, children will hear a novel animal name or novel animal vocalization (instead of a familiar one), while looking at the picture of a familiar and a novel animal (instead of two familiar objects). We compare children’s proportion of looking to the novel animal when hearing one of these two sound cues. Considering dozens of studies on children’s disambiguation biases, it is safe to assume that children will look at a novel animal when hearing a novel name. Thus, one of two patterns of results is most likely to emerge: The first is that children look at a novel animal when hearing a novel name, but are at chance or substantially less accurate when hearing a novel animal vocalization. This pattern of result would be compatible with lexical accounts that predict disambiguation only within the domain of word learning, or by pragmatic accounts that predict disambiguation only within communicative contexts. The second pattern of findings is that children look at a novel animal when hearing a novel name and when hearing a novel animal vocalization, with performance indistinguishable or comparable between these two conditions. This pattern of results would be compatible with accounts that propose that disambiguation biases emerge from domain-general learning mechanisms that look for regularities in complex input.</w:t>
      </w:r>
    </w:p>
    <w:p w14:paraId="0976B1BC" w14:textId="77777777" w:rsidR="009A26E4" w:rsidRDefault="00F04619">
      <w:pPr>
        <w:pStyle w:val="Heading21"/>
      </w:pPr>
      <w:bookmarkStart w:id="5" w:name="method"/>
      <w:bookmarkEnd w:id="5"/>
      <w:r>
        <w:t>Method</w:t>
      </w:r>
    </w:p>
    <w:p w14:paraId="298D3AA3" w14:textId="77777777" w:rsidR="009A26E4" w:rsidRDefault="00F04619">
      <w:pPr>
        <w:pStyle w:val="Heading31"/>
        <w:framePr w:wrap="around"/>
      </w:pPr>
      <w:bookmarkStart w:id="6" w:name="participants"/>
      <w:bookmarkEnd w:id="6"/>
      <w:r>
        <w:t>Participants</w:t>
      </w:r>
    </w:p>
    <w:p w14:paraId="7B0C6A58" w14:textId="1941EE1C" w:rsidR="00F04619" w:rsidRDefault="00F04619">
      <w:r>
        <w:t>Participants were 23 32-month-old children (M=31.10; range = 30,32, 12 girls. All were reported by parents to be typically developing and from families where English was the dominant language. Two participants were excluded due to fussiness. Children were from mid/high-SES families.</w:t>
      </w:r>
    </w:p>
    <w:p w14:paraId="2F95299D" w14:textId="77777777" w:rsidR="009A26E4" w:rsidRDefault="00F04619">
      <w:pPr>
        <w:pStyle w:val="Heading31"/>
        <w:framePr w:wrap="around"/>
      </w:pPr>
      <w:bookmarkStart w:id="7" w:name="visual-stimuli"/>
      <w:bookmarkEnd w:id="7"/>
      <w:r>
        <w:t>Visual stimuli</w:t>
      </w:r>
    </w:p>
    <w:p w14:paraId="1C43B240" w14:textId="798F875C" w:rsidR="00F04619" w:rsidRDefault="00F04619"/>
    <w:p w14:paraId="086A2A02" w14:textId="416689C7" w:rsidR="009A26E4" w:rsidRDefault="00F04619">
      <w:r>
        <w:t>The visual stimuli included pictures of four Familiar animals (horse, dog, cow, sheep) and two Novel animals (pangolin, tapir). According to parental report, the familiar animals were known by all children. Parents also reported that the novel animals were completely unfamiliar to the children. Each animal picture was centered on a grey background in a 640 x 480 pixel space</w:t>
      </w:r>
    </w:p>
    <w:p w14:paraId="6BDA3B28" w14:textId="77777777" w:rsidR="009A26E4" w:rsidRDefault="00F04619">
      <w:pPr>
        <w:pStyle w:val="Heading31"/>
        <w:framePr w:wrap="around"/>
      </w:pPr>
      <w:bookmarkStart w:id="8" w:name="auditory-stimuli"/>
      <w:bookmarkEnd w:id="8"/>
      <w:r>
        <w:t>Auditory stimuli</w:t>
      </w:r>
    </w:p>
    <w:p w14:paraId="2E1C62B8" w14:textId="77777777" w:rsidR="009A26E4" w:rsidRDefault="00F04619">
      <w:r>
        <w:t xml:space="preserve">The auditory stimuli consisted of sounds that were either Familiar or Novel to 32-month-olds. Figure 1 serves as a guide to the different sound types. The Familiar sounds were used in Familiar Trials, and consisted of one of three different sounds: names (horse, dog, cow and sheep), onomatopoeic words (neigh, woof-woof, moo and baa), and vocalizations (horse neighing, dog barking, cow mooing and sheep baaing). The </w:t>
      </w:r>
      <w:r>
        <w:lastRenderedPageBreak/>
        <w:t>Novel sounds were used in Disambiguation Trials, and consisted of one of two types of sounds: names (capa, nadu) and vocalizations (rhino grunting, gorilla snorting).</w:t>
      </w:r>
    </w:p>
    <w:p w14:paraId="14EC5B06" w14:textId="5CE475DA" w:rsidR="00F04619" w:rsidRDefault="00F04619">
      <w:r>
        <w:rPr>
          <w:noProof/>
        </w:rPr>
        <w:drawing>
          <wp:anchor distT="0" distB="0" distL="114300" distR="114300" simplePos="0" relativeHeight="251662336" behindDoc="0" locked="0" layoutInCell="1" allowOverlap="1" wp14:anchorId="1839C59B" wp14:editId="173AAB1B">
            <wp:simplePos x="0" y="0"/>
            <wp:positionH relativeFrom="column">
              <wp:posOffset>0</wp:posOffset>
            </wp:positionH>
            <wp:positionV relativeFrom="paragraph">
              <wp:posOffset>-152400</wp:posOffset>
            </wp:positionV>
            <wp:extent cx="5486400" cy="4343400"/>
            <wp:effectExtent l="0" t="0" r="0" b="0"/>
            <wp:wrapNone/>
            <wp:docPr id="1" name="Picture" descr="Figure 1 Trial types in Experiments 1 and 2 organized by type of cue: Familiar vs. Novel. The target animal for each trial type is on the left."/>
            <wp:cNvGraphicFramePr/>
            <a:graphic xmlns:a="http://schemas.openxmlformats.org/drawingml/2006/main">
              <a:graphicData uri="http://schemas.openxmlformats.org/drawingml/2006/picture">
                <pic:pic xmlns:pic="http://schemas.openxmlformats.org/drawingml/2006/picture">
                  <pic:nvPicPr>
                    <pic:cNvPr id="0" name="Picture" descr="anime_manuscript_files/figure-docx/stimuli-e1-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86400" cy="43434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4A6CB398" w14:textId="77777777" w:rsidR="00F04619" w:rsidRDefault="00F04619"/>
    <w:p w14:paraId="4732B3D2" w14:textId="77777777" w:rsidR="00F04619" w:rsidRDefault="00F04619"/>
    <w:p w14:paraId="7F2964D0" w14:textId="77777777" w:rsidR="00F04619" w:rsidRDefault="00F04619"/>
    <w:p w14:paraId="11587713" w14:textId="3950694D" w:rsidR="00F04619" w:rsidRDefault="00F04619"/>
    <w:p w14:paraId="09DCD1A6" w14:textId="77777777" w:rsidR="00F04619" w:rsidRDefault="00F04619"/>
    <w:p w14:paraId="77637430" w14:textId="77777777" w:rsidR="00F04619" w:rsidRDefault="00F04619"/>
    <w:p w14:paraId="3D6D600E" w14:textId="77777777" w:rsidR="00F04619" w:rsidRDefault="00F04619"/>
    <w:p w14:paraId="280AD46D" w14:textId="77777777" w:rsidR="00F04619" w:rsidRDefault="00F04619"/>
    <w:p w14:paraId="42841D2F" w14:textId="77777777" w:rsidR="00F04619" w:rsidRDefault="00F04619"/>
    <w:p w14:paraId="616067C4" w14:textId="77777777" w:rsidR="00F04619" w:rsidRDefault="00F04619"/>
    <w:p w14:paraId="0FFB9B01" w14:textId="77777777" w:rsidR="00F04619" w:rsidRDefault="00F04619" w:rsidP="00F04619">
      <w:pPr>
        <w:pStyle w:val="ImageCaption"/>
      </w:pPr>
      <w:r>
        <w:t>Figure 1 Trial types in Experiments 1 and 2 organized by type of cue: Familiar vs. Novel. The target animal for each trial type is on the left.</w:t>
      </w:r>
    </w:p>
    <w:p w14:paraId="3CB8B091" w14:textId="77777777" w:rsidR="00F04619" w:rsidRDefault="00F04619"/>
    <w:p w14:paraId="120409FC" w14:textId="374CF5C2" w:rsidR="009A26E4" w:rsidRDefault="00F04619">
      <w:pPr>
        <w:pStyle w:val="BodyText"/>
      </w:pPr>
      <w:r>
        <w:t>Trials in which the auditory cue was a familiar or novel animal name (e.g., Where’s the dog?) or a familiar or novel lexical sound (Which one goes woof-woof?) began with a brief carrier frame. The duration of the target cue was 810 ms for lexical sounds and 750 ms for animal names. The intensity of the phrases was normalized using Praat speech analysis software (Boersma, 2002).</w:t>
      </w:r>
    </w:p>
    <w:p w14:paraId="3FFFB38E" w14:textId="4705B92B" w:rsidR="009A26E4" w:rsidRDefault="00F04619">
      <w:pPr>
        <w:pStyle w:val="BodyText"/>
      </w:pPr>
      <w:r>
        <w:t xml:space="preserve">Trials with familiar or novel animal vocalizations began with a single word, used to draw children’s attention (e.g., Look! “dog barking”). Familiar animal vocalizations were selected based on prototypicality. After selecting at least three vocalizations for each familiar animal, the authors voted on the one that we thought would be most easily recognized by children. Choosing the novel animal vocalizations was more challenging. A group of research assistants selected from different websites several vocalizations that they judged as unfamiliar. From these vocalizations, we selected two (i.e., rhino grunting and gorilla snorting) that we judged were equally likely to be produced by the 6 familiar and 2 novel animals based on the their size and vocal tract characteristics. These vocalizations were also </w:t>
      </w:r>
      <w:r>
        <w:lastRenderedPageBreak/>
        <w:t>maximally distinct from each other and from the familiar animal vocalizations and expected to be unfamiliar to children. We counterbalanced the vocalizations that were paired with the two novel animals, in order to control for the possibility that children judged one of the two novel animals as more likely to produce one of the novel vocalization. All children were reported by parents to have had no exposure to the novel animal’s natural vocalizations. The duration of the target animal vocalizations was 2000 ms. More details about trial types and conditions in Figure 1 will be given in the Procedure section.</w:t>
      </w:r>
    </w:p>
    <w:p w14:paraId="4F983277" w14:textId="77777777" w:rsidR="009A26E4" w:rsidRDefault="00F04619">
      <w:pPr>
        <w:pStyle w:val="Heading31"/>
        <w:framePr w:wrap="around"/>
      </w:pPr>
      <w:bookmarkStart w:id="9" w:name="familiarization-books"/>
      <w:bookmarkEnd w:id="9"/>
      <w:r>
        <w:t>Familiarization books</w:t>
      </w:r>
    </w:p>
    <w:p w14:paraId="1CD4DDF1" w14:textId="77777777" w:rsidR="009A26E4" w:rsidRDefault="00F04619">
      <w:r>
        <w:t>There were two main reasons for us to want to make sure that children knew the familiar onomatopoeic words and animal vocalizations before we administered our experiment. First, we wanted to make sure that any differences we observed in children’s performance within Familiar-Animal Trials was due to processing speed and could not be explained by the fact that children were not familiar with one of the sound types. The looking-while-listening procedure has been shown to capture differences in processing efficiency even when words are considered “known” by offline reaching tasks or parental report (Fernald et al., 2008). Second, we wanted to make sure that children knew the pairings between familiar vocalizations and animals, a potential prerequisite for success on Disambiguation trials. Since we were working with children from mid/high-SES families growing up in an urban environment, we were particularly concerned that they would not be familiar with many animal vocalizations or onomatopoeic words. To ensure that all children had at least some experience with the familiar animals and familiar auditory cues used in our study, we gave two children’s books to parents, both titled Sounds on the Farm, a week before their visit. Parents were instructed to share each book with their child for 5 to 10 min on at least three days prior to the experiment. The first book consisted of colorful pictures of each familiar animal and text designed to prompt parents to produce each animal’s lexical sound (e.g., Wow, look at all those cows! This cow says moo, moo!). To give children exposure to the natural animal vocalizations, we used a Hear and There book, which contained buttons that children could press to hear the actual noise that each animal produces.</w:t>
      </w:r>
    </w:p>
    <w:p w14:paraId="2D5330CE" w14:textId="77777777" w:rsidR="009A26E4" w:rsidRDefault="00F04619">
      <w:pPr>
        <w:pStyle w:val="Heading31"/>
        <w:framePr w:wrap="around"/>
      </w:pPr>
      <w:bookmarkStart w:id="10" w:name="procedure"/>
      <w:bookmarkEnd w:id="10"/>
      <w:r>
        <w:t>Procedure</w:t>
      </w:r>
    </w:p>
    <w:p w14:paraId="6B8428E6" w14:textId="77777777" w:rsidR="009A26E4" w:rsidRDefault="00F04619">
      <w:r>
        <w:t>Since we were interested in detecting differences in processing between sounds that we expected to be familiar to children, we choose to access speed and accuracy in identifying the correct target picture with the looking-while-listening (LWL) procedure (see Fernald, et al, 2008). Previous studies have shown that even when objects are reported by parents as familiar to their children, or when children are at ceiling in offline reaching tasks, these real-time processing measures can capture meaningful differences in processing. These differences correlate to properties of the sound stimuli (e.g., word-frequency) and different aspects of the child’s experience (e.g., their age, socioeconomic status, amount of parental talk). Looking-time measures have also been used in Disambiguation tasks with children from different ages, capturing differences in accuracy that relate to children’s age and vocabulary size (Bion et al., 2013).</w:t>
      </w:r>
    </w:p>
    <w:p w14:paraId="4821E622" w14:textId="77777777" w:rsidR="009A26E4" w:rsidRDefault="00F04619">
      <w:pPr>
        <w:pStyle w:val="BodyText"/>
      </w:pPr>
      <w:r>
        <w:lastRenderedPageBreak/>
        <w:t>On each trial, a pair of pictures was presented on the screen for approximately 4 s, with the auditory stimuli starting after 2 s, followed by 1 s of silence. As seen in Figure 1, we have two main trials types, Familiar Trials and Disambiguation trials, paralleling our original two research questions on children’s processing of familiar and novel auditory cues.</w:t>
      </w:r>
    </w:p>
    <w:p w14:paraId="57867374" w14:textId="77777777" w:rsidR="009A26E4" w:rsidRDefault="00F04619">
      <w:pPr>
        <w:pStyle w:val="BodyText"/>
      </w:pPr>
      <w:r>
        <w:t>Within the Familiar Trials, we have three different sub-trials: name, onomatopoeic word, and vocalization. On 8 Name trials, each familiar animal served as the target twice and was paired once with another familiar animal and once with a novel animal. On 8 Onomatopoeic-word trials, each familiar animal served as the target twice. On 16 Vocalization trials, each familiar animal served as the target four times, paired twice with another familiar animal and twice with a novel animal. These three familiar sound types should allow us to answer our first research question, asking whether names, onomatopoeic words, or animal vocalizations, are equally effective as acoustic cues in guiding children’s attention to animals in a visual scene.</w:t>
      </w:r>
    </w:p>
    <w:p w14:paraId="5C07FF75" w14:textId="77777777" w:rsidR="009A26E4" w:rsidRDefault="00F04619">
      <w:pPr>
        <w:pStyle w:val="BodyText"/>
      </w:pPr>
      <w:r>
        <w:t>Within the Disambiguation Trials, we have two different sub-trials: name, and vocalizations. On 6 Name trials, each novel animal was labeled three times with a novel animal name (i.e., capa, nadu), always paired with a familiar animal. On 8 Vocalization trials, each novel animal vocalization served as the target four times and was paired with each familiar animal once. These two sound types should allow us to answer our second research question, asking whether two-year-olds make similar inferences when mapping a novel name and a novel animal vocalization to an unfamiliar animal.</w:t>
      </w:r>
    </w:p>
    <w:p w14:paraId="39E00EEF" w14:textId="77777777" w:rsidR="009A26E4" w:rsidRDefault="00F04619">
      <w:pPr>
        <w:pStyle w:val="BodyText"/>
      </w:pPr>
      <w:r>
        <w:t>These different trial types were administered in two different visits. The Familiar and Disambiguation Trials with animal names and onomatopoeic words were administered during children’s first visit. The Familiar and Disambiguation Trials with the animal vocalizations were administered during their second visit. We administered the animal vocalizations on the second visit to allow children to become familiar with the procedure and to give parents additional time to use the familiarization books with the vocalizations with their children. During each visit, five Filler trials were interspersed throughout to add variety and maintain children’s attention. Pairings of the novel animal and name, and side of presentation of target animals, were counterbalanced across participants. Caregivers wore darkened sunglasses so that they could not see the pictures and influence infants’ looking throughout the 5-min procedure.</w:t>
      </w:r>
    </w:p>
    <w:p w14:paraId="63A9C216" w14:textId="77777777" w:rsidR="009A26E4" w:rsidRDefault="00F04619">
      <w:pPr>
        <w:pStyle w:val="Heading31"/>
        <w:framePr w:wrap="around"/>
      </w:pPr>
      <w:bookmarkStart w:id="11" w:name="measures-of-processing-efficiency"/>
      <w:bookmarkEnd w:id="11"/>
      <w:r>
        <w:t>Measures of processing efficiency</w:t>
      </w:r>
    </w:p>
    <w:p w14:paraId="0287A8FA" w14:textId="77777777" w:rsidR="009A26E4" w:rsidRDefault="00F04619">
      <w:r>
        <w:t xml:space="preserve">Participants’ eye movements were video-recorded and coded with a precision of 33 ms by observers who were blind to trial type. Inter- and intra-observer reliability checks were conducted for all coders. For 25% of the subjects, two measures of inter-observer reliability were assessed. The first was the proportion of frames (33-ms units) on each trial on which two coders agreed. In this case, agreement was 98%. However, because this analysis included many frames on which the child was maintaining fixation on one picture, we also calculated a more stringent test of reliability. </w:t>
      </w:r>
      <w:r>
        <w:lastRenderedPageBreak/>
        <w:t>This second measure focused only on shifts in gaze, ignoring steady-state fixations in each trial on which agreement was inevitably high. By this more conservative measure, coders agreed within one frame on 94% of all shifts.</w:t>
      </w:r>
    </w:p>
    <w:p w14:paraId="296A3046" w14:textId="77777777" w:rsidR="009A26E4" w:rsidRDefault="00F04619">
      <w:pPr>
        <w:pStyle w:val="BodyText"/>
      </w:pPr>
      <w:r>
        <w:rPr>
          <w:b/>
        </w:rPr>
        <w:t>Accuracy:</w:t>
      </w:r>
      <w:r>
        <w:t xml:space="preserve"> On those trials in which the infant was fixating a picture at the onset of the speech stimulus, accuracy was computed by dividing the time looking to the target object by the time looking to both target and distracter, from 300 to 2500 ms from the onset of the target word. Accuracy before 300 ms was not included because shifts to the target occurring in this window had presumably been initiated before the onset of the noun. This analyses window was chosen because of the longer duration of the animal vocalizations (2 s.) and because of the introduction of novel auditory cues. A single analyses window was used for all trial types for consistency. Mean accuracy was then computed for each participant on each trial type.</w:t>
      </w:r>
    </w:p>
    <w:p w14:paraId="69CAC2C6" w14:textId="77777777" w:rsidR="009A26E4" w:rsidRDefault="00F04619">
      <w:pPr>
        <w:pStyle w:val="BodyText"/>
      </w:pPr>
      <w:r>
        <w:rPr>
          <w:b/>
        </w:rPr>
        <w:t>Reaction time:</w:t>
      </w:r>
      <w:r>
        <w:t xml:space="preserve"> We calculated reaction time (RT) on those trials on which participants were looking at the distractor animal at the beginning of the sound. RT on each trial was the latency of the first shift to the correct animal within a 300- to 1,800-ms window from sound onset, as typically done in studies using this procedure (Fernald et al., 2008).</w:t>
      </w:r>
    </w:p>
    <w:p w14:paraId="229F1281" w14:textId="77777777" w:rsidR="009A26E4" w:rsidRDefault="00F04619">
      <w:pPr>
        <w:pStyle w:val="Heading21"/>
      </w:pPr>
      <w:bookmarkStart w:id="12" w:name="results-and-discussion"/>
      <w:bookmarkEnd w:id="12"/>
      <w:r>
        <w:t>Results and discussion</w:t>
      </w:r>
    </w:p>
    <w:p w14:paraId="4B9599E8" w14:textId="77777777" w:rsidR="009A26E4" w:rsidRDefault="00F04619">
      <w:pPr>
        <w:pStyle w:val="Heading31"/>
        <w:framePr w:wrap="around"/>
      </w:pPr>
      <w:bookmarkStart w:id="13" w:name="familiar-trials-using-familiar-animal-na"/>
      <w:bookmarkEnd w:id="13"/>
      <w:r>
        <w:t>Familiar Trials: Using familiar animal names, onomatopeic sounds, and animal vocalization to identify familiar animals:</w:t>
      </w:r>
    </w:p>
    <w:p w14:paraId="453E3837" w14:textId="77777777" w:rsidR="009A26E4" w:rsidRDefault="00F04619">
      <w:r>
        <w:t>Our first question is whether a familiar animal name, onomatopoeic word, and animal vocalization are equally effective in guiding children’s attention to an animal in the visual scene. Figure 2A shows children’s looking behavior over time on the LWL procedure (Fernald, Pinto, Swingley, Weinbergy, &amp; McRoberts, 1998). In order to capture children’s speed of processing, we show children’s responses on trials in which they start looking at the wrong animal. From sound onset onward, we show the mean proportion of trials in which children were looking at the correct picture, every 33ms, with different lines representing children’s responses on Name trials (black), Onomatopoeic-word trials (light grey), and Vocalization trials (dark grey). The y-axis shows the mean proportion of trials on which children were looking at the correct animal. The x-axis represents time from sound onset in milliseconds. Around 750ms from sound onset there is already a substantial difference in the mean proportion of trials in which children are looking at the correct animal depending on whether they heard an animal name or an animal vocalization. Children are looking at the correct animal in a greater proportion of trials when they hear a familiar animal name, as compared to when they hear an animal vocalization, with performance on trials with onomatopoeic words falling between the two.</w:t>
      </w:r>
    </w:p>
    <w:p w14:paraId="7EFF7523" w14:textId="77777777" w:rsidR="009A26E4" w:rsidRDefault="00F04619">
      <w:pPr>
        <w:pStyle w:val="BodyText"/>
      </w:pPr>
      <w:r>
        <w:lastRenderedPageBreak/>
        <w:t xml:space="preserve">To quantify these differences, we fit Bayesian mixed-effects regression models using the </w:t>
      </w:r>
      <w:r>
        <w:rPr>
          <w:rStyle w:val="VerbatimChar"/>
        </w:rPr>
        <w:t>rstanarm</w:t>
      </w:r>
      <w:r>
        <w:t xml:space="preserve"> (Gabry &amp; Goodrich, 2016) package in R (3.4.1, R Core Team, 2017)</w:t>
      </w:r>
      <w:r>
        <w:footnoteReference w:id="1"/>
      </w:r>
      <w:r>
        <w:t xml:space="preserve">. The mixed-effects approach allowed us to model the nested structure in our data by including random intercepts for each participant and item and a random slope for each item. We used Bayesian methods in order to quantify support in favor of null hypotheses of interest – in this case, the absence of a difference in real-time processing across the different familiar cue types. To communicate the uncertainty in our estimates, we report the 95% Highest Density Interval (HDI) around the point estimates of the group means and the difference in means. The HDI provides a range of plausible parameter values given the data and the model. All analysis code can be found in the online repository for this project: </w:t>
      </w:r>
      <w:hyperlink r:id="rId10">
        <w:r>
          <w:t>https://github.com/kemacdonald/anime</w:t>
        </w:r>
      </w:hyperlink>
      <w:r>
        <w:t>.</w:t>
      </w:r>
    </w:p>
    <w:p w14:paraId="293DB3C8" w14:textId="77777777" w:rsidR="009A26E4" w:rsidRDefault="00F04619">
      <w:pPr>
        <w:pStyle w:val="BodyText"/>
      </w:pPr>
      <w:r>
        <w:t xml:space="preserve">We computed reaction time (RT) as the mean time it took them to shift to the correct picture on trials in which they were looking at the wrong picture at sound onset for the three cue types. To make RTs more suitable for modeling on a linear scale, we analyzed responses in log space using a logistic transformation, with the final model was specified as: </w:t>
      </w:r>
      <m:oMath>
        <m:r>
          <w:rPr>
            <w:rFonts w:ascii="Cambria Math" w:hAnsi="Cambria Math"/>
          </w:rPr>
          <m:t>log(RT)∼cue_type+(1+sub_id∣item)</m:t>
        </m:r>
      </m:oMath>
      <w:r>
        <w:t>.</w:t>
      </w:r>
    </w:p>
    <w:p w14:paraId="3F26C112" w14:textId="77777777" w:rsidR="009A26E4" w:rsidRDefault="00F04619">
      <w:pPr>
        <w:pStyle w:val="BodyText"/>
      </w:pPr>
      <w:r>
        <w:t>Figure 2 shows the data distribution for each participant’s RT, the estimates of condition means, and the full posterior distribution of condition differences across the different cue types. Children were faster to identify the target animal while hearing its name (</w:t>
      </w:r>
      <m:oMath>
        <m:sSub>
          <m:sSubPr>
            <m:ctrlPr>
              <w:rPr>
                <w:rFonts w:ascii="Cambria Math" w:hAnsi="Cambria Math"/>
              </w:rPr>
            </m:ctrlPr>
          </m:sSubPr>
          <m:e>
            <m:r>
              <w:rPr>
                <w:rFonts w:ascii="Cambria Math" w:hAnsi="Cambria Math"/>
              </w:rPr>
              <m:t>M</m:t>
            </m:r>
          </m:e>
          <m:sub>
            <m:r>
              <w:rPr>
                <w:rFonts w:ascii="Cambria Math" w:hAnsi="Cambria Math"/>
              </w:rPr>
              <m:t>name</m:t>
            </m:r>
          </m:sub>
        </m:sSub>
      </m:oMath>
      <w:r>
        <w:t xml:space="preserve"> = 876.35 ms), as compared to its onomatopeic animal sound (</w:t>
      </w:r>
      <m:oMath>
        <m:sSub>
          <m:sSubPr>
            <m:ctrlPr>
              <w:rPr>
                <w:rFonts w:ascii="Cambria Math" w:hAnsi="Cambria Math"/>
              </w:rPr>
            </m:ctrlPr>
          </m:sSubPr>
          <m:e>
            <m:r>
              <w:rPr>
                <w:rFonts w:ascii="Cambria Math" w:hAnsi="Cambria Math"/>
              </w:rPr>
              <m:t>M</m:t>
            </m:r>
          </m:e>
          <m:sub>
            <m:r>
              <w:rPr>
                <w:rFonts w:ascii="Cambria Math" w:hAnsi="Cambria Math"/>
              </w:rPr>
              <m:t>onomatopeia</m:t>
            </m:r>
          </m:sub>
        </m:sSub>
      </m:oMath>
      <w:r>
        <w:t xml:space="preserve"> = 649.70 ms), and its vocalization (</w:t>
      </w:r>
      <m:oMath>
        <m:sSub>
          <m:sSubPr>
            <m:ctrlPr>
              <w:rPr>
                <w:rFonts w:ascii="Cambria Math" w:hAnsi="Cambria Math"/>
              </w:rPr>
            </m:ctrlPr>
          </m:sSubPr>
          <m:e>
            <m:r>
              <w:rPr>
                <w:rFonts w:ascii="Cambria Math" w:hAnsi="Cambria Math"/>
              </w:rPr>
              <m:t>M</m:t>
            </m:r>
          </m:e>
          <m:sub>
            <m:r>
              <w:rPr>
                <w:rFonts w:ascii="Cambria Math" w:hAnsi="Cambria Math"/>
              </w:rPr>
              <m:t>vocalization</m:t>
            </m:r>
          </m:sub>
        </m:sSub>
      </m:oMath>
      <w:r>
        <w:t xml:space="preserve"> = 720.38 ms). The difference between RTs for the name and onomatopeic animal sounds was -70.67 ms with a HDI from -212.86 ms to 68.88 ms. While the null value of zero difference falls within the 95% HDI, 83.50% of the credible values fall below the null, providing some evidence for faster processing of animal names. The average difference in children’s RT between the name and vocalization trials was -226.65 ms with a HDI from -361.37 ms to -85.23 ms and 99.95% of the credible values falling below zero, providing strong evidence that children processed names more efficiently compared to vocalizations. Finally, the average difference in children’s RT between the onomatopeic sounds and vocalization trials was -155.98 ms with a HDI from -301.18 ms to -5.77 ms and 97.95% of the credible values falling below zero.</w:t>
      </w:r>
    </w:p>
    <w:p w14:paraId="4CC998F8" w14:textId="77777777" w:rsidR="009A26E4" w:rsidRDefault="004B3576" w:rsidP="004B3576">
      <w:pPr>
        <w:pStyle w:val="BodyText"/>
      </w:pPr>
      <w:r>
        <w:rPr>
          <w:noProof/>
        </w:rPr>
        <w:lastRenderedPageBreak/>
        <w:drawing>
          <wp:anchor distT="0" distB="0" distL="114300" distR="114300" simplePos="0" relativeHeight="251658240" behindDoc="0" locked="0" layoutInCell="1" allowOverlap="1" wp14:anchorId="4E02DD1A" wp14:editId="6D7AB9E0">
            <wp:simplePos x="0" y="0"/>
            <wp:positionH relativeFrom="column">
              <wp:posOffset>0</wp:posOffset>
            </wp:positionH>
            <wp:positionV relativeFrom="paragraph">
              <wp:posOffset>1829435</wp:posOffset>
            </wp:positionV>
            <wp:extent cx="5753100" cy="4037965"/>
            <wp:effectExtent l="0" t="0" r="12700" b="635"/>
            <wp:wrapTopAndBottom/>
            <wp:docPr id="2" name="Picture" descr="Figure 2 Reaction Time (RT) results for Experiment 1. Panel A shows the time course of children’s looking to the target animal after hearing a familiar animal name (black), onomatopoeic word (light grey), or animal vocalization (dark grey). The x-axis shows time in milliseconds from sound onset. The y-axis shows the mean proportion of trials in which children are looking to the target animal. Panel B shows the distribution of RT data and the estimate of group means for RT (orange points). Each grey point shows a single child’s performance across connected by a grey line across the different cue types. The orange points represent the most likely estimate of the group means with the error bars showing the 95% Highest Density Interval. Panel C shows the full posterior distribution of plausible RT differences across conditions. Color and linetype represent the comparison of interest and the vertical dashed line represents the null value of zero condition difference."/>
            <wp:cNvGraphicFramePr/>
            <a:graphic xmlns:a="http://schemas.openxmlformats.org/drawingml/2006/main">
              <a:graphicData uri="http://schemas.openxmlformats.org/drawingml/2006/picture">
                <pic:pic xmlns:pic="http://schemas.openxmlformats.org/drawingml/2006/picture">
                  <pic:nvPicPr>
                    <pic:cNvPr id="0" name="Picture" descr="anime_manuscript_files/figure-docx/oc-plot-e1-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6111" b="6153"/>
                    <a:stretch/>
                  </pic:blipFill>
                  <pic:spPr bwMode="auto">
                    <a:xfrm>
                      <a:off x="0" y="0"/>
                      <a:ext cx="5753100" cy="40379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4619">
        <w:t>Together, the RT modeling results provide strong evidence that children processed animal names around 227 ms faster than animal vocalizations, with almost all of the estimates of the plausible RT differences falling below the null value of zero. There was slightly weaker evidence that children processed animal names more efficiently compared to onomatopeic animal sounds but strong evidence of faster processing of onomatopeic animal sounds compared to animal vocalizations. In sum, there was evidence of a graded effect of cue type on RTs with names being faster than onomatopeic animal sounds, which were faster than animal vocalizations.</w:t>
      </w:r>
    </w:p>
    <w:p w14:paraId="6CFE3C3B" w14:textId="77777777" w:rsidR="009A26E4" w:rsidRDefault="00F04619">
      <w:pPr>
        <w:pStyle w:val="ImageCaption"/>
      </w:pPr>
      <w:r>
        <w:t>Figure 2 Reaction Time (RT) results for Experiment 1. Panel A shows the time course of children’s looking to the target animal after hearing a familiar animal name (black), onomatopoeic word (light grey), or animal vocalization (dark grey). The x-axis shows time in milliseconds from sound onset. The y-axis shows the mean proportion of trials in which children are looking to the target animal. Panel B shows the distribution of RT data and the estimate of group means for RT (orange points). Each grey point shows a single child’s performance across connected by a grey line across the different cue types. The orange points represent the most likely estimate of the group means with the error bars showing the 95% Highest Density Interval. Panel C shows the full posterior distribution of plausible RT differences across conditions. Color and linetype represent the comparison of interest and the vertical dashed line represents the null value of zero condition difference.</w:t>
      </w:r>
    </w:p>
    <w:p w14:paraId="705990FA" w14:textId="77777777" w:rsidR="009A26E4" w:rsidRDefault="00F04619">
      <w:pPr>
        <w:pStyle w:val="BodyText"/>
      </w:pPr>
      <w:r>
        <w:lastRenderedPageBreak/>
        <w:t>Children’s reaction times showed a difference in speed of processing for names, onomatopoeic words, and vocalization. Next, we estimated children’s attention to the target image over the course of the trial to ask whether the three trial types were equally effective cues to guide their attention to a familiar animal. We computed accuracy over a window from 300 to 2500 ms after the onset of the cue. The upper left panel of Figure 3A shows children’s proportion looking to the target for each trial type. Each point represents a single participant’s Accuracy, the grey line shows the full distribution of the data, and the horizontal line shows the median value. The orange points represent the most likely estimate for the mean proportion looking with the error bars showing the 95% HDI. Visual inspection of the plot suggests two things: (1) children reliably looked to the correct animal after hearing each of the three familiar cues and (2) children’s overall looking behavior was strikingly similar across conditions.</w:t>
      </w:r>
    </w:p>
    <w:p w14:paraId="371BB63D" w14:textId="77777777" w:rsidR="009A26E4" w:rsidRDefault="00F04619">
      <w:pPr>
        <w:pStyle w:val="BodyText"/>
      </w:pPr>
      <w:r>
        <w:t xml:space="preserve">Next, we quantified the strength of evidence for the absence of any condition differences and for the difference from random responding. We estimated the mean proportion looking for each trial type using a Bayesian linear mixed-effects model with the same specifications as the RT model described above. We transformed the proprotion looking scores using the empirical logit, with the final model as: </w:t>
      </w:r>
      <m:oMath>
        <m:r>
          <w:rPr>
            <w:rFonts w:ascii="Cambria Math" w:hAnsi="Cambria Math"/>
          </w:rPr>
          <m:t>logit(accuracy)∼cue_type+(1+sub_id∣item)</m:t>
        </m:r>
      </m:oMath>
      <w:r>
        <w:t>. The orange points in Figure 3A show mean Accuracy for each familiar cue type (</w:t>
      </w:r>
      <m:oMath>
        <m:sSub>
          <m:sSubPr>
            <m:ctrlPr>
              <w:rPr>
                <w:rFonts w:ascii="Cambria Math" w:hAnsi="Cambria Math"/>
              </w:rPr>
            </m:ctrlPr>
          </m:sSubPr>
          <m:e>
            <m:r>
              <w:rPr>
                <w:rFonts w:ascii="Cambria Math" w:hAnsi="Cambria Math"/>
              </w:rPr>
              <m:t>M</m:t>
            </m:r>
          </m:e>
          <m:sub>
            <m:r>
              <w:rPr>
                <w:rFonts w:ascii="Cambria Math" w:hAnsi="Cambria Math"/>
              </w:rPr>
              <m:t>name</m:t>
            </m:r>
          </m:sub>
        </m:sSub>
      </m:oMath>
      <w:r>
        <w:t xml:space="preserve"> = 0.66, </w:t>
      </w:r>
      <m:oMath>
        <m:sSub>
          <m:sSubPr>
            <m:ctrlPr>
              <w:rPr>
                <w:rFonts w:ascii="Cambria Math" w:hAnsi="Cambria Math"/>
              </w:rPr>
            </m:ctrlPr>
          </m:sSubPr>
          <m:e>
            <m:r>
              <w:rPr>
                <w:rFonts w:ascii="Cambria Math" w:hAnsi="Cambria Math"/>
              </w:rPr>
              <m:t>M</m:t>
            </m:r>
          </m:e>
          <m:sub>
            <m:r>
              <w:rPr>
                <w:rFonts w:ascii="Cambria Math" w:hAnsi="Cambria Math"/>
              </w:rPr>
              <m:t>onomatopeia</m:t>
            </m:r>
          </m:sub>
        </m:sSub>
      </m:oMath>
      <w:r>
        <w:t xml:space="preserve"> = 0.68, and (</w:t>
      </w:r>
      <m:oMath>
        <m:sSub>
          <m:sSubPr>
            <m:ctrlPr>
              <w:rPr>
                <w:rFonts w:ascii="Cambria Math" w:hAnsi="Cambria Math"/>
              </w:rPr>
            </m:ctrlPr>
          </m:sSubPr>
          <m:e>
            <m:r>
              <w:rPr>
                <w:rFonts w:ascii="Cambria Math" w:hAnsi="Cambria Math"/>
              </w:rPr>
              <m:t>M</m:t>
            </m:r>
          </m:e>
          <m:sub>
            <m:r>
              <w:rPr>
                <w:rFonts w:ascii="Cambria Math" w:hAnsi="Cambria Math"/>
              </w:rPr>
              <m:t>vocalization</m:t>
            </m:r>
          </m:sub>
        </m:sSub>
      </m:oMath>
      <w:r>
        <w:t xml:space="preserve"> = 0.67). Children’s looking to the target image was reliably different from a model of random looking behavior across all conditions, with the null value of 0.5 falling well outside of the range of plausible values (see the difference between the horizontal dashed line and error bars in Figure 3A).</w:t>
      </w:r>
    </w:p>
    <w:p w14:paraId="3D2B1FE5" w14:textId="77777777" w:rsidR="009A26E4" w:rsidRDefault="00F04619">
      <w:pPr>
        <w:pStyle w:val="BodyText"/>
      </w:pPr>
      <w:r>
        <w:t xml:space="preserve">Moreover, the three cues types were equally effective in guiding children’s attention to the target animal over the course of the trial as shown by the high overlap in the posterior distributions of Accuracy and that the null value of zero difference fell within the HDI for all group comparisons (name vs. onomatopeia: </w:t>
      </w:r>
      <m:oMath>
        <m:sSub>
          <m:sSubPr>
            <m:ctrlPr>
              <w:rPr>
                <w:rFonts w:ascii="Cambria Math" w:hAnsi="Cambria Math"/>
              </w:rPr>
            </m:ctrlPr>
          </m:sSubPr>
          <m:e>
            <m:r>
              <w:rPr>
                <w:rFonts w:ascii="Cambria Math" w:hAnsi="Cambria Math"/>
              </w:rPr>
              <m:t>β</m:t>
            </m:r>
          </m:e>
          <m:sub>
            <m:r>
              <w:rPr>
                <w:rFonts w:ascii="Cambria Math" w:hAnsi="Cambria Math"/>
              </w:rPr>
              <m:t>diff</m:t>
            </m:r>
          </m:sub>
        </m:sSub>
      </m:oMath>
      <w:r>
        <w:t xml:space="preserve"> = 0.03, 95% HDI from -0.07 to 0.11; name vs. vocalization: </w:t>
      </w:r>
      <m:oMath>
        <m:sSub>
          <m:sSubPr>
            <m:ctrlPr>
              <w:rPr>
                <w:rFonts w:ascii="Cambria Math" w:hAnsi="Cambria Math"/>
              </w:rPr>
            </m:ctrlPr>
          </m:sSubPr>
          <m:e>
            <m:r>
              <w:rPr>
                <w:rFonts w:ascii="Cambria Math" w:hAnsi="Cambria Math"/>
              </w:rPr>
              <m:t>β</m:t>
            </m:r>
          </m:e>
          <m:sub>
            <m:r>
              <w:rPr>
                <w:rFonts w:ascii="Cambria Math" w:hAnsi="Cambria Math"/>
              </w:rPr>
              <m:t>diff</m:t>
            </m:r>
          </m:sub>
        </m:sSub>
      </m:oMath>
      <w:r>
        <w:t xml:space="preserve"> = 0.01, 95% HDI from -0.05 to 0.08; onomatopeia vs. vocalization: </w:t>
      </w:r>
      <m:oMath>
        <m:sSub>
          <m:sSubPr>
            <m:ctrlPr>
              <w:rPr>
                <w:rFonts w:ascii="Cambria Math" w:hAnsi="Cambria Math"/>
              </w:rPr>
            </m:ctrlPr>
          </m:sSubPr>
          <m:e>
            <m:r>
              <w:rPr>
                <w:rFonts w:ascii="Cambria Math" w:hAnsi="Cambria Math"/>
              </w:rPr>
              <m:t>β</m:t>
            </m:r>
          </m:e>
          <m:sub>
            <m:r>
              <w:rPr>
                <w:rFonts w:ascii="Cambria Math" w:hAnsi="Cambria Math"/>
              </w:rPr>
              <m:t>diff</m:t>
            </m:r>
          </m:sub>
        </m:sSub>
      </m:oMath>
      <w:r>
        <w:t xml:space="preserve"> = -0.01, 95% HDI from -0.09 to 0.07). These results provide strong evidence that the animal vocalizations were equally effective at directing overall looking behavior to identify familiar animals as their names or onomatopeic sounds if children have enough time to process the cue.</w:t>
      </w:r>
    </w:p>
    <w:p w14:paraId="3A7376F3" w14:textId="77777777" w:rsidR="009A26E4" w:rsidRDefault="00F04619">
      <w:pPr>
        <w:pStyle w:val="Heading31"/>
        <w:framePr w:wrap="around"/>
      </w:pPr>
      <w:bookmarkStart w:id="14" w:name="disambiguation-trials-using-novel-animal"/>
      <w:bookmarkEnd w:id="14"/>
      <w:r>
        <w:t>Disambiguation Trials: Using novel animal names and animal vocalization to disambiguate novel animals</w:t>
      </w:r>
    </w:p>
    <w:p w14:paraId="7AA70B2F" w14:textId="77777777" w:rsidR="009A26E4" w:rsidRDefault="00F04619">
      <w:r>
        <w:t xml:space="preserve">Our next question is whether children would orient to a novel animal after hearing a novel animal name or vocalization, thus showing evidence of one-to-one biases for the vocalizations that animals produce. We focus on children’s accuracy, comparing their proportion of looking to the novel animal against chance performance and across cue types. </w:t>
      </w:r>
      <w:r>
        <w:lastRenderedPageBreak/>
        <w:t>The orange points in Figure 3A show Accuracy group means for each novel cue type (</w:t>
      </w:r>
      <m:oMath>
        <m:sSub>
          <m:sSubPr>
            <m:ctrlPr>
              <w:rPr>
                <w:rFonts w:ascii="Cambria Math" w:hAnsi="Cambria Math"/>
              </w:rPr>
            </m:ctrlPr>
          </m:sSubPr>
          <m:e>
            <m:r>
              <w:rPr>
                <w:rFonts w:ascii="Cambria Math" w:hAnsi="Cambria Math"/>
              </w:rPr>
              <m:t>M</m:t>
            </m:r>
          </m:e>
          <m:sub>
            <m:r>
              <w:rPr>
                <w:rFonts w:ascii="Cambria Math" w:hAnsi="Cambria Math"/>
              </w:rPr>
              <m:t>name</m:t>
            </m:r>
          </m:sub>
        </m:sSub>
      </m:oMath>
      <w:r>
        <w:t xml:space="preserve"> = 0.69, </w:t>
      </w:r>
      <m:oMath>
        <m:sSub>
          <m:sSubPr>
            <m:ctrlPr>
              <w:rPr>
                <w:rFonts w:ascii="Cambria Math" w:hAnsi="Cambria Math"/>
              </w:rPr>
            </m:ctrlPr>
          </m:sSubPr>
          <m:e>
            <m:r>
              <w:rPr>
                <w:rFonts w:ascii="Cambria Math" w:hAnsi="Cambria Math"/>
              </w:rPr>
              <m:t>M</m:t>
            </m:r>
          </m:e>
          <m:sub>
            <m:r>
              <w:rPr>
                <w:rFonts w:ascii="Cambria Math" w:hAnsi="Cambria Math"/>
              </w:rPr>
              <m:t>vocalization</m:t>
            </m:r>
          </m:sub>
        </m:sSub>
      </m:oMath>
      <w:r>
        <w:t xml:space="preserve"> = 0.70). Children’s looking to the target image was reliably different from a model of random looking behavior across both cue types, with the null value of </w:t>
      </w:r>
      <m:oMath>
        <m:r>
          <w:rPr>
            <w:rFonts w:ascii="Cambria Math" w:hAnsi="Cambria Math"/>
          </w:rPr>
          <m:t>0.5</m:t>
        </m:r>
      </m:oMath>
      <w:r>
        <w:t xml:space="preserve"> falling well outside of the range of plausible values.</w:t>
      </w:r>
    </w:p>
    <w:p w14:paraId="75651224" w14:textId="77777777" w:rsidR="009A26E4" w:rsidRDefault="004B3576">
      <w:pPr>
        <w:pStyle w:val="BodyText"/>
      </w:pPr>
      <w:r>
        <w:rPr>
          <w:noProof/>
        </w:rPr>
        <w:drawing>
          <wp:anchor distT="0" distB="0" distL="114300" distR="114300" simplePos="0" relativeHeight="251659264" behindDoc="0" locked="0" layoutInCell="1" allowOverlap="1" wp14:anchorId="2D8DC314" wp14:editId="3281B32E">
            <wp:simplePos x="0" y="0"/>
            <wp:positionH relativeFrom="column">
              <wp:posOffset>0</wp:posOffset>
            </wp:positionH>
            <wp:positionV relativeFrom="paragraph">
              <wp:posOffset>1606550</wp:posOffset>
            </wp:positionV>
            <wp:extent cx="6172200" cy="4167505"/>
            <wp:effectExtent l="0" t="0" r="0" b="0"/>
            <wp:wrapTopAndBottom/>
            <wp:docPr id="3" name="Picture" descr="Figure 3 Accuracy results for Experiment 1 for familiar (upper panels) and novel (lower panels) trials. Panel A shows the data distribution and model estimates for Accuracy of children’s looking behavior. Panel B shows the full posterior distribution over model estimates of differences in accuracy across conditions. The vertical dashed line represents the null model of zero difference in Accuracy. All other plotting conventions are the same as in Figure 2."/>
            <wp:cNvGraphicFramePr/>
            <a:graphic xmlns:a="http://schemas.openxmlformats.org/drawingml/2006/main">
              <a:graphicData uri="http://schemas.openxmlformats.org/drawingml/2006/picture">
                <pic:pic xmlns:pic="http://schemas.openxmlformats.org/drawingml/2006/picture">
                  <pic:nvPicPr>
                    <pic:cNvPr id="0" name="Picture" descr="anime_manuscript_files/figure-docx/acc-plot-e1-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6412" b="8311"/>
                    <a:stretch/>
                  </pic:blipFill>
                  <pic:spPr bwMode="auto">
                    <a:xfrm>
                      <a:off x="0" y="0"/>
                      <a:ext cx="6172200" cy="41675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4619">
        <w:t xml:space="preserve">Moreover, the novel animal name and animal vocalizations were equally effective in guiding children’s attention to the target animal over the course of the trial (name vs. onomatopeia: </w:t>
      </w:r>
      <m:oMath>
        <m:sSub>
          <m:sSubPr>
            <m:ctrlPr>
              <w:rPr>
                <w:rFonts w:ascii="Cambria Math" w:hAnsi="Cambria Math"/>
              </w:rPr>
            </m:ctrlPr>
          </m:sSubPr>
          <m:e>
            <m:r>
              <w:rPr>
                <w:rFonts w:ascii="Cambria Math" w:hAnsi="Cambria Math"/>
              </w:rPr>
              <m:t>β</m:t>
            </m:r>
          </m:e>
          <m:sub>
            <m:r>
              <w:rPr>
                <w:rFonts w:ascii="Cambria Math" w:hAnsi="Cambria Math"/>
              </w:rPr>
              <m:t>diff</m:t>
            </m:r>
          </m:sub>
        </m:sSub>
      </m:oMath>
      <w:r w:rsidR="00F04619">
        <w:t xml:space="preserve"> = 0.01, 95% HDI from -0.05 to 0.08). This result provides strong evidence that the animal vocalizations were equally effective at directing overall looking behavior to identify familiar animals as their names or onomatopeic sounds if children have enough time to process the cue.</w:t>
      </w:r>
    </w:p>
    <w:p w14:paraId="4175E9E3" w14:textId="77777777" w:rsidR="009A26E4" w:rsidRDefault="009A26E4"/>
    <w:p w14:paraId="639A7836" w14:textId="77777777" w:rsidR="009A26E4" w:rsidRDefault="00F04619">
      <w:pPr>
        <w:pStyle w:val="ImageCaption"/>
      </w:pPr>
      <w:r>
        <w:t>Figure 3 Accuracy results for Experiment 1 for familiar (upper panels) and novel (lower panels) trials. Panel A shows the data distribution and model estimates for Accuracy of children’s looking behavior. Panel B shows the full posterior distribution over model estimates of differences in accuracy across conditions. The vertical dashed line represents the null model of zero difference in Accuracy. All other plotting conventions are the same as in Figure 2.</w:t>
      </w:r>
    </w:p>
    <w:p w14:paraId="3802AC26" w14:textId="77777777" w:rsidR="009A26E4" w:rsidRDefault="00F04619">
      <w:pPr>
        <w:pStyle w:val="BodyText"/>
      </w:pPr>
      <w:r>
        <w:lastRenderedPageBreak/>
        <w:t>Therefore, children seem to have one-to-one biases for the vocalizations that animals produce already at 30 months of age, the earliest age at which the disambiguation effect has been observed in a domain other than word learning. There were no significant differences between children’s reaction time for novel animal names or vocalizations.</w:t>
      </w:r>
    </w:p>
    <w:p w14:paraId="5993034C" w14:textId="77777777" w:rsidR="009A26E4" w:rsidRDefault="00F04619">
      <w:pPr>
        <w:pStyle w:val="Heading11"/>
      </w:pPr>
      <w:bookmarkStart w:id="15" w:name="experiment-2"/>
      <w:bookmarkEnd w:id="15"/>
      <w:r>
        <w:t>Experiment 2</w:t>
      </w:r>
    </w:p>
    <w:p w14:paraId="77F25E1C" w14:textId="77777777" w:rsidR="009A26E4" w:rsidRDefault="00F04619">
      <w:r>
        <w:t>An issue that has received much attention in recent years concerns the relation between children’s referent selection and retention abilities. While earlier studies tended to conflate disambiguation strategies and children’s word learning, more recent studies suggest that these two abilities should not be conflated (Bion, Borovsky, &amp; Fernald, 2013; Horst &amp; Samuelson, 2008)</w:t>
      </w:r>
    </w:p>
    <w:p w14:paraId="281160C5" w14:textId="77777777" w:rsidR="009A26E4" w:rsidRDefault="00F04619">
      <w:pPr>
        <w:pStyle w:val="BodyText"/>
      </w:pPr>
      <w:r>
        <w:t>Horst and Samuelson (2008) examined both referent selection and retention in four experiments with 2-year-olds. When children were shown a novel object among familiar objects, they selected the novel object when hearing a novel label, as found in previous studies. But surprisingly, on retention trials 5 min later, these children showed no evidence of remembering the names of the novel objects they had previously identified. Using a looking-time task, Bion et al. (2013) replicated these findings in a study with 18-, 24-, and 30-month-old infants using looking time measures of performance.</w:t>
      </w:r>
    </w:p>
    <w:p w14:paraId="3DBA1E23" w14:textId="77777777" w:rsidR="009A26E4" w:rsidRDefault="00F04619">
      <w:pPr>
        <w:pStyle w:val="BodyText"/>
      </w:pPr>
      <w:r>
        <w:t>Experiment 2 asks whether children can retain the link created through disambiguation between a novel animal and a novel animal vocalization. In addition, we aim at replicating the findings from Experiment 1, showing that children can identify familiar animals based on the vocalizations they produce, and use novel vocalizations to disambiguate novel animals. Our prediction is that children will succeed in disambiguation trials, but will show marginal or no retention on subsequent disambiguation trials, paralleling the findings of earlier studies with linguistic stimuli.</w:t>
      </w:r>
    </w:p>
    <w:p w14:paraId="282303E0" w14:textId="77777777" w:rsidR="009A26E4" w:rsidRDefault="00F04619">
      <w:pPr>
        <w:pStyle w:val="Heading21"/>
      </w:pPr>
      <w:bookmarkStart w:id="16" w:name="method-1"/>
      <w:bookmarkEnd w:id="16"/>
      <w:r>
        <w:t>Method</w:t>
      </w:r>
    </w:p>
    <w:p w14:paraId="62587613" w14:textId="77777777" w:rsidR="009A26E4" w:rsidRDefault="00F04619">
      <w:pPr>
        <w:pStyle w:val="Heading31"/>
        <w:framePr w:wrap="around"/>
      </w:pPr>
      <w:bookmarkStart w:id="17" w:name="participants-1"/>
      <w:bookmarkEnd w:id="17"/>
      <w:r>
        <w:t>Participants</w:t>
      </w:r>
    </w:p>
    <w:p w14:paraId="76B69E9A" w14:textId="77777777" w:rsidR="009A26E4" w:rsidRDefault="00F04619">
      <w:r>
        <w:t>Participants were 23 31-month-old children (M = 31.10 months; range = 30 - 32), 12 girls. All children were typically developing and from families where English was the dominant language.</w:t>
      </w:r>
    </w:p>
    <w:p w14:paraId="56EF62C5" w14:textId="77777777" w:rsidR="009A26E4" w:rsidRDefault="00F04619">
      <w:pPr>
        <w:pStyle w:val="Heading31"/>
        <w:framePr w:wrap="around"/>
      </w:pPr>
      <w:bookmarkStart w:id="18" w:name="visual-stimuli-1"/>
      <w:bookmarkEnd w:id="18"/>
      <w:r>
        <w:t>Visual stimuli</w:t>
      </w:r>
    </w:p>
    <w:p w14:paraId="38ACFDE7" w14:textId="77777777" w:rsidR="009A26E4" w:rsidRDefault="00F04619">
      <w:r>
        <w:t>The visual stimuli were the same as in Experiment 1, except for the novel animals (aardvark and capybara), which replaced the novel animals (pangolin and tapir) used in Experiment 1 (see animals in Figure 4). We decided to change the novel animals in order to confirm that our results were not restricted to the particular stimuli set in Experiment 1. All children were reported by parents to have had no exposure to the novel animals.</w:t>
      </w:r>
    </w:p>
    <w:p w14:paraId="5F9554B1" w14:textId="13D75757" w:rsidR="004B3576" w:rsidRDefault="004B3576"/>
    <w:p w14:paraId="7EDEF8F7" w14:textId="473E4F8A" w:rsidR="004B3576" w:rsidRDefault="002A665C">
      <w:r>
        <w:rPr>
          <w:noProof/>
        </w:rPr>
        <w:lastRenderedPageBreak/>
        <w:drawing>
          <wp:anchor distT="0" distB="0" distL="114300" distR="114300" simplePos="0" relativeHeight="251660288" behindDoc="0" locked="0" layoutInCell="1" allowOverlap="1" wp14:anchorId="34C3A82E" wp14:editId="3C7E3E0B">
            <wp:simplePos x="0" y="0"/>
            <wp:positionH relativeFrom="column">
              <wp:posOffset>0</wp:posOffset>
            </wp:positionH>
            <wp:positionV relativeFrom="paragraph">
              <wp:posOffset>-228600</wp:posOffset>
            </wp:positionV>
            <wp:extent cx="5753100" cy="3389630"/>
            <wp:effectExtent l="0" t="0" r="12700" b="0"/>
            <wp:wrapNone/>
            <wp:docPr id="4" name="Picture" descr="Figure 4 Trial types in Experiments 4 organized by type of trial. Children hear familiar and novel vocalizations. The target animal for each trial type is on the left."/>
            <wp:cNvGraphicFramePr/>
            <a:graphic xmlns:a="http://schemas.openxmlformats.org/drawingml/2006/main">
              <a:graphicData uri="http://schemas.openxmlformats.org/drawingml/2006/picture">
                <pic:pic xmlns:pic="http://schemas.openxmlformats.org/drawingml/2006/picture">
                  <pic:nvPicPr>
                    <pic:cNvPr id="0" name="Picture" descr="anime_manuscript_files/figure-docx/stimuli-e2-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12224" b="14116"/>
                    <a:stretch/>
                  </pic:blipFill>
                  <pic:spPr bwMode="auto">
                    <a:xfrm>
                      <a:off x="0" y="0"/>
                      <a:ext cx="5753100" cy="33896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0226CC" w14:textId="77777777" w:rsidR="004B3576" w:rsidRDefault="004B3576"/>
    <w:p w14:paraId="2C973EBF" w14:textId="77777777" w:rsidR="004B3576" w:rsidRDefault="004B3576"/>
    <w:p w14:paraId="414EE8AC" w14:textId="77777777" w:rsidR="004B3576" w:rsidRDefault="004B3576"/>
    <w:p w14:paraId="0B40ECAC" w14:textId="77777777" w:rsidR="004B3576" w:rsidRDefault="004B3576"/>
    <w:p w14:paraId="54C44253" w14:textId="77777777" w:rsidR="004B3576" w:rsidRDefault="004B3576"/>
    <w:p w14:paraId="08313AB4" w14:textId="77777777" w:rsidR="004B3576" w:rsidRDefault="004B3576"/>
    <w:p w14:paraId="63A5C8FB" w14:textId="77777777" w:rsidR="004B3576" w:rsidRDefault="004B3576"/>
    <w:p w14:paraId="6A1C2ADC" w14:textId="77777777" w:rsidR="004B3576" w:rsidRDefault="004B3576" w:rsidP="004B3576">
      <w:pPr>
        <w:pStyle w:val="ImageCaption"/>
      </w:pPr>
    </w:p>
    <w:p w14:paraId="55A5266B" w14:textId="77777777" w:rsidR="004B3576" w:rsidRDefault="004B3576" w:rsidP="004B3576">
      <w:pPr>
        <w:pStyle w:val="ImageCaption"/>
      </w:pPr>
      <w:r>
        <w:t>Figure 4 Trial types in Experiments 4 organized by type of trial. Children hear familiar and novel vocalizations. The target animal for each trial type is on the left.</w:t>
      </w:r>
    </w:p>
    <w:p w14:paraId="3BBFB14F" w14:textId="77777777" w:rsidR="004B3576" w:rsidRDefault="004B3576">
      <w:bookmarkStart w:id="19" w:name="_GoBack"/>
      <w:bookmarkEnd w:id="19"/>
    </w:p>
    <w:p w14:paraId="440206C1" w14:textId="77777777" w:rsidR="009A26E4" w:rsidRDefault="00F04619">
      <w:pPr>
        <w:pStyle w:val="Heading31"/>
        <w:framePr w:wrap="around"/>
      </w:pPr>
      <w:bookmarkStart w:id="20" w:name="auditory-stimuli-1"/>
      <w:bookmarkEnd w:id="20"/>
      <w:r>
        <w:t>Auditory stimuli</w:t>
      </w:r>
    </w:p>
    <w:p w14:paraId="1CC9F8E6" w14:textId="77777777" w:rsidR="004B3576" w:rsidRDefault="00F04619" w:rsidP="004B3576">
      <w:r>
        <w:t>The auditory stimuli consisted of the same familiar and novel animal vocalizations as in Experiment 1.</w:t>
      </w:r>
    </w:p>
    <w:p w14:paraId="0B5E60C8" w14:textId="77777777" w:rsidR="009A26E4" w:rsidRDefault="00F04619">
      <w:pPr>
        <w:pStyle w:val="Heading31"/>
        <w:framePr w:wrap="around"/>
      </w:pPr>
      <w:bookmarkStart w:id="21" w:name="familiarization-books-1"/>
      <w:bookmarkEnd w:id="21"/>
      <w:r>
        <w:t>Familiarization books</w:t>
      </w:r>
    </w:p>
    <w:p w14:paraId="3EB3883C" w14:textId="77777777" w:rsidR="009A26E4" w:rsidRDefault="00F04619">
      <w:r>
        <w:t>As in Experiment 1, we sent home a children’s book to ensure that all participants had at least some exposure to the familiar animals and auditory cues. Since, in Experiment 2, we were interested in the natural animal vocalizations and not the names/lexical sounds, only the Hear and ThereTM Sounds on the Farm book was used. Instructions given to the parents were the same as in Experiment 1, and the book was sent home a week before the visit.</w:t>
      </w:r>
    </w:p>
    <w:p w14:paraId="087E4CC1" w14:textId="77777777" w:rsidR="009A26E4" w:rsidRDefault="00F04619">
      <w:pPr>
        <w:pStyle w:val="Heading31"/>
        <w:framePr w:wrap="around"/>
      </w:pPr>
      <w:bookmarkStart w:id="22" w:name="procedure-1"/>
      <w:bookmarkEnd w:id="22"/>
      <w:r>
        <w:t>Procedure</w:t>
      </w:r>
    </w:p>
    <w:p w14:paraId="70532B41" w14:textId="77777777" w:rsidR="009A26E4" w:rsidRDefault="00F04619">
      <w:r>
        <w:t>Experiment 2 consisted of one visit. Each child saw 30 trials, consisting of three trial types (Figure 4). The 16 Familiar trials and 8 Disambiguation trials were identical in structure to the Vocalization trials Experiment 1. In addition, on 6 Retention trials, the two novel animals were presented side by side, with each serving as the target three times. The same coding and speed/accuracy measures were used as in Experiment 1.</w:t>
      </w:r>
    </w:p>
    <w:p w14:paraId="41AF3DB8" w14:textId="77777777" w:rsidR="004B3576" w:rsidRDefault="004B3576">
      <w:pPr>
        <w:pStyle w:val="Heading21"/>
      </w:pPr>
      <w:bookmarkStart w:id="23" w:name="results-and-discussion-1"/>
      <w:bookmarkEnd w:id="23"/>
      <w:r>
        <w:rPr>
          <w:noProof/>
        </w:rPr>
        <w:lastRenderedPageBreak/>
        <w:drawing>
          <wp:anchor distT="0" distB="0" distL="114300" distR="114300" simplePos="0" relativeHeight="251661312" behindDoc="0" locked="0" layoutInCell="1" allowOverlap="1" wp14:anchorId="15C49C72" wp14:editId="32B26FDF">
            <wp:simplePos x="0" y="0"/>
            <wp:positionH relativeFrom="column">
              <wp:posOffset>-228600</wp:posOffset>
            </wp:positionH>
            <wp:positionV relativeFrom="paragraph">
              <wp:posOffset>-228600</wp:posOffset>
            </wp:positionV>
            <wp:extent cx="5981065" cy="3256280"/>
            <wp:effectExtent l="0" t="0" r="0" b="0"/>
            <wp:wrapNone/>
            <wp:docPr id="5" name="Picture" descr="Figure 5 Accuracy of responses to familiar and novel animal vocalizations in Experiment 2. Panel A shows the data distribution alongside the model estimates of mean Accuracy across the different trial types. Panel B shows the full posterior distribution over model estimates of differences in accuracy across trial types. The vertical dashed line represents the null model of zero difference. All other plotting conventions are the same as in Figures 1 and 2."/>
            <wp:cNvGraphicFramePr/>
            <a:graphic xmlns:a="http://schemas.openxmlformats.org/drawingml/2006/main">
              <a:graphicData uri="http://schemas.openxmlformats.org/drawingml/2006/picture">
                <pic:pic xmlns:pic="http://schemas.openxmlformats.org/drawingml/2006/picture">
                  <pic:nvPicPr>
                    <pic:cNvPr id="0" name="Picture" descr="anime_manuscript_files/figure-docx/acc-plot-e2-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9257" b="19918"/>
                    <a:stretch/>
                  </pic:blipFill>
                  <pic:spPr bwMode="auto">
                    <a:xfrm>
                      <a:off x="0" y="0"/>
                      <a:ext cx="5981065" cy="32562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DFA544" w14:textId="77777777" w:rsidR="004B3576" w:rsidRDefault="004B3576">
      <w:pPr>
        <w:pStyle w:val="Heading21"/>
      </w:pPr>
    </w:p>
    <w:p w14:paraId="70D41158" w14:textId="77777777" w:rsidR="004B3576" w:rsidRDefault="004B3576">
      <w:pPr>
        <w:pStyle w:val="Heading21"/>
      </w:pPr>
    </w:p>
    <w:p w14:paraId="12AA4FB0" w14:textId="77777777" w:rsidR="004B3576" w:rsidRDefault="004B3576">
      <w:pPr>
        <w:pStyle w:val="Heading21"/>
      </w:pPr>
    </w:p>
    <w:p w14:paraId="2ABFCA03" w14:textId="77777777" w:rsidR="004B3576" w:rsidRDefault="004B3576">
      <w:pPr>
        <w:pStyle w:val="Heading21"/>
      </w:pPr>
    </w:p>
    <w:p w14:paraId="1AB59BFA" w14:textId="77777777" w:rsidR="004B3576" w:rsidRDefault="004B3576">
      <w:pPr>
        <w:pStyle w:val="Heading21"/>
      </w:pPr>
    </w:p>
    <w:p w14:paraId="442D72DA" w14:textId="77777777" w:rsidR="004B3576" w:rsidRDefault="004B3576">
      <w:pPr>
        <w:pStyle w:val="Heading21"/>
      </w:pPr>
    </w:p>
    <w:p w14:paraId="1E9BF568" w14:textId="77777777" w:rsidR="004B3576" w:rsidRDefault="004B3576">
      <w:pPr>
        <w:pStyle w:val="Heading21"/>
      </w:pPr>
    </w:p>
    <w:p w14:paraId="602252F2" w14:textId="77777777" w:rsidR="004B3576" w:rsidRDefault="004B3576">
      <w:pPr>
        <w:pStyle w:val="Heading21"/>
      </w:pPr>
    </w:p>
    <w:p w14:paraId="1FD508A6" w14:textId="77777777" w:rsidR="004B3576" w:rsidRDefault="004B3576" w:rsidP="004B3576">
      <w:pPr>
        <w:pStyle w:val="ImageCaption"/>
      </w:pPr>
      <w:r>
        <w:t>Figure 5 Accuracy of responses to familiar and novel animal vocalizations in Experiment 2. Panel A shows the data distribution alongside the model estimates of mean Accuracy across the different trial types. Panel B shows the full posterior distribution over model estimates of differences in accuracy across trial types. The vertical dashed line represents the null model of zero difference. All other plotting conventions are the same as in Figures 1 and 2.</w:t>
      </w:r>
    </w:p>
    <w:p w14:paraId="4AB99003" w14:textId="77777777" w:rsidR="004B3576" w:rsidRDefault="004B3576">
      <w:pPr>
        <w:pStyle w:val="Heading21"/>
      </w:pPr>
    </w:p>
    <w:p w14:paraId="4BD69669" w14:textId="77777777" w:rsidR="009A26E4" w:rsidRDefault="00F04619">
      <w:pPr>
        <w:pStyle w:val="Heading21"/>
      </w:pPr>
      <w:r>
        <w:t>Results and discussion</w:t>
      </w:r>
    </w:p>
    <w:p w14:paraId="02551363" w14:textId="77777777" w:rsidR="009A26E4" w:rsidRDefault="00F04619">
      <w:pPr>
        <w:pStyle w:val="Heading31"/>
        <w:framePr w:wrap="around"/>
      </w:pPr>
      <w:bookmarkStart w:id="24" w:name="retention-of-the-link-between-a-novel-an"/>
      <w:bookmarkEnd w:id="24"/>
      <w:r>
        <w:t>Retention of the link between a novel animal and a novel vocalization:</w:t>
      </w:r>
    </w:p>
    <w:p w14:paraId="14D57D42" w14:textId="77777777" w:rsidR="009A26E4" w:rsidRDefault="00F04619">
      <w:r>
        <w:t>Figure 5A shows children’s proportion looking to the target animal after hearing a familiar or a novel animal vocalization over the same analysis window used in Experiment 1 (300 to 2500 ms after the onset of the vocalization). Visual inspection of the figure suggest that children successfully oriented to the target image after hearing both familiar and novel animal vocalizations. The orange points show mean proportion target looking for familiar (</w:t>
      </w:r>
      <m:oMath>
        <m:sSub>
          <m:sSubPr>
            <m:ctrlPr>
              <w:rPr>
                <w:rFonts w:ascii="Cambria Math" w:hAnsi="Cambria Math"/>
              </w:rPr>
            </m:ctrlPr>
          </m:sSubPr>
          <m:e>
            <m:r>
              <w:rPr>
                <w:rFonts w:ascii="Cambria Math" w:hAnsi="Cambria Math"/>
              </w:rPr>
              <m:t>M</m:t>
            </m:r>
          </m:e>
          <m:sub>
            <m:r>
              <w:rPr>
                <w:rFonts w:ascii="Cambria Math" w:hAnsi="Cambria Math"/>
              </w:rPr>
              <m:t>familia</m:t>
            </m:r>
            <m:r>
              <w:rPr>
                <w:rFonts w:ascii="Cambria Math" w:hAnsi="Cambria Math"/>
              </w:rPr>
              <m:t>r</m:t>
            </m:r>
          </m:sub>
        </m:sSub>
      </m:oMath>
      <w:r>
        <w:t xml:space="preserve"> = 0.66, disambiguation (</w:t>
      </w:r>
      <m:oMath>
        <m:sSub>
          <m:sSubPr>
            <m:ctrlPr>
              <w:rPr>
                <w:rFonts w:ascii="Cambria Math" w:hAnsi="Cambria Math"/>
              </w:rPr>
            </m:ctrlPr>
          </m:sSubPr>
          <m:e>
            <m:r>
              <w:rPr>
                <w:rFonts w:ascii="Cambria Math" w:hAnsi="Cambria Math"/>
              </w:rPr>
              <m:t>M</m:t>
            </m:r>
          </m:e>
          <m:sub>
            <m:r>
              <w:rPr>
                <w:rFonts w:ascii="Cambria Math" w:hAnsi="Cambria Math"/>
              </w:rPr>
              <m:t>disambiguation</m:t>
            </m:r>
          </m:sub>
        </m:sSub>
      </m:oMath>
      <w:r>
        <w:t xml:space="preserve"> = 0.64, and retention trials (</w:t>
      </w:r>
      <m:oMath>
        <m:sSub>
          <m:sSubPr>
            <m:ctrlPr>
              <w:rPr>
                <w:rFonts w:ascii="Cambria Math" w:hAnsi="Cambria Math"/>
              </w:rPr>
            </m:ctrlPr>
          </m:sSubPr>
          <m:e>
            <m:r>
              <w:rPr>
                <w:rFonts w:ascii="Cambria Math" w:hAnsi="Cambria Math"/>
              </w:rPr>
              <m:t>M</m:t>
            </m:r>
          </m:e>
          <m:sub>
            <m:r>
              <w:rPr>
                <w:rFonts w:ascii="Cambria Math" w:hAnsi="Cambria Math"/>
              </w:rPr>
              <m:t>retention</m:t>
            </m:r>
          </m:sub>
        </m:sSub>
      </m:oMath>
      <w:r>
        <w:t xml:space="preserve"> = 0.50).</w:t>
      </w:r>
    </w:p>
    <w:p w14:paraId="5D32FA9C" w14:textId="77777777" w:rsidR="009A26E4" w:rsidRDefault="00F04619">
      <w:pPr>
        <w:pStyle w:val="BodyText"/>
      </w:pPr>
      <w:r>
        <w:t xml:space="preserve">Children’s looking to the target image was reliably different from random looking behavior for both familiar and disambiguation trials, with the null value of 0.50 falling well outside of the range of plausible values. Moreover, the novel animal vocalizations and the familiar animal vocalizations were equally effective in guiding children’s attention to the target animal over the course of the trial (familiar vs. disambiguation: </w:t>
      </w:r>
      <m:oMath>
        <m:sSub>
          <m:sSubPr>
            <m:ctrlPr>
              <w:rPr>
                <w:rFonts w:ascii="Cambria Math" w:hAnsi="Cambria Math"/>
              </w:rPr>
            </m:ctrlPr>
          </m:sSubPr>
          <m:e>
            <m:r>
              <w:rPr>
                <w:rFonts w:ascii="Cambria Math" w:hAnsi="Cambria Math"/>
              </w:rPr>
              <m:t>β</m:t>
            </m:r>
          </m:e>
          <m:sub>
            <m:r>
              <w:rPr>
                <w:rFonts w:ascii="Cambria Math" w:hAnsi="Cambria Math"/>
              </w:rPr>
              <m:t>diff</m:t>
            </m:r>
          </m:sub>
        </m:sSub>
      </m:oMath>
      <w:r>
        <w:t xml:space="preserve"> = 0.02, 95% HDI from -0.08 to 0.11).</w:t>
      </w:r>
    </w:p>
    <w:p w14:paraId="07C514E8" w14:textId="77777777" w:rsidR="009A26E4" w:rsidRDefault="00F04619" w:rsidP="004B3576">
      <w:pPr>
        <w:pStyle w:val="BodyText"/>
      </w:pPr>
      <w:r>
        <w:lastRenderedPageBreak/>
        <w:t xml:space="preserve">In contrast to children’s success on familiar trials and disambiguation trials, they did not show evidence of retaining the link between the novel animal and the novel animal vocalization, with the null value of </w:t>
      </w:r>
      <m:oMath>
        <m:r>
          <w:rPr>
            <w:rFonts w:ascii="Cambria Math" w:hAnsi="Cambria Math"/>
          </w:rPr>
          <m:t>0.5</m:t>
        </m:r>
      </m:oMath>
      <w:r>
        <w:t xml:space="preserve"> proportion looking falling well within the range of plausible estimates. Moreover, there was strong evidence that children were less accurate on retention trials compared to both disambiguation trials (</w:t>
      </w:r>
      <m:oMath>
        <m:sSub>
          <m:sSubPr>
            <m:ctrlPr>
              <w:rPr>
                <w:rFonts w:ascii="Cambria Math" w:hAnsi="Cambria Math"/>
              </w:rPr>
            </m:ctrlPr>
          </m:sSubPr>
          <m:e>
            <m:r>
              <w:rPr>
                <w:rFonts w:ascii="Cambria Math" w:hAnsi="Cambria Math"/>
              </w:rPr>
              <m:t>β</m:t>
            </m:r>
          </m:e>
          <m:sub>
            <m:r>
              <w:rPr>
                <w:rFonts w:ascii="Cambria Math" w:hAnsi="Cambria Math"/>
              </w:rPr>
              <m:t>diff</m:t>
            </m:r>
          </m:sub>
        </m:sSub>
      </m:oMath>
      <w:r>
        <w:t xml:space="preserve"> = 0.14, 95% HDI from 0.03 to 0.25) and familiar trials (</w:t>
      </w:r>
      <m:oMath>
        <m:sSub>
          <m:sSubPr>
            <m:ctrlPr>
              <w:rPr>
                <w:rFonts w:ascii="Cambria Math" w:hAnsi="Cambria Math"/>
              </w:rPr>
            </m:ctrlPr>
          </m:sSubPr>
          <m:e>
            <m:r>
              <w:rPr>
                <w:rFonts w:ascii="Cambria Math" w:hAnsi="Cambria Math"/>
              </w:rPr>
              <m:t>β</m:t>
            </m:r>
          </m:e>
          <m:sub>
            <m:r>
              <w:rPr>
                <w:rFonts w:ascii="Cambria Math" w:hAnsi="Cambria Math"/>
              </w:rPr>
              <m:t>diff</m:t>
            </m:r>
          </m:sub>
        </m:sSub>
      </m:oMath>
      <w:r>
        <w:t xml:space="preserve"> = 0.16, 95% HDI from 0.05 to 0.27).</w:t>
      </w:r>
    </w:p>
    <w:p w14:paraId="2EBFC0C7" w14:textId="77777777" w:rsidR="009A26E4" w:rsidRDefault="00F04619">
      <w:pPr>
        <w:pStyle w:val="BodyText"/>
      </w:pPr>
      <w:r>
        <w:t>Three findings emerged from the accuracy analysis: First, children oriented to a familiar animal after hearing a familiar animal vocalization. Second, children oriented to a novel animal after hearing a novel animal vocalization. These two results are an internal replication of the key findings from Experiment 1 in a new sample. In addition, we found that children did not show evidence of retaining the link between a novel animal vocalization and a novel animal. These results and their implications will be discussed in more details in the following section.</w:t>
      </w:r>
    </w:p>
    <w:p w14:paraId="0D536A7D" w14:textId="77777777" w:rsidR="009A26E4" w:rsidRDefault="00F04619">
      <w:pPr>
        <w:pStyle w:val="Heading11"/>
      </w:pPr>
      <w:bookmarkStart w:id="25" w:name="general-discussion"/>
      <w:bookmarkEnd w:id="25"/>
      <w:r>
        <w:t>General Discussion</w:t>
      </w:r>
    </w:p>
    <w:p w14:paraId="5428E8DE" w14:textId="77777777" w:rsidR="009A26E4" w:rsidRDefault="00F04619">
      <w:r>
        <w:t>Three main findings emerged from this work. The first finding was that 30-month-olds responded fastest to a familiar animal name and slowest to a familiar animal vocalization, with onomatopoeic sounds falling somewhere in between. Yet, children could identify the familiar animals after hearing any of on these three sound types. The second finding was that children showed disambiguation biases for the types of vocalizations that animals produce, similar to their biases in word learning. The third finding was that these biases do not necessarily lead to learning, as children were not successful in retaining the link between novel animals and their vocalizations. This lack retention parallels the findings of recent word-learning studies (see McMurray, Horst, Toscano, and Samuelson (2009)) and emphasizes the theoretical importance of disentangling processes of disambiguating reference, an in-the-moment phenomenon, and word learning, which occurs over a longer timescale.</w:t>
      </w:r>
    </w:p>
    <w:p w14:paraId="407A73FA" w14:textId="77777777" w:rsidR="009A26E4" w:rsidRDefault="00F04619">
      <w:pPr>
        <w:pStyle w:val="BodyText"/>
      </w:pPr>
      <w:r>
        <w:t xml:space="preserve">In our study, we found a processing speed advantage for words over other meaningful sounds. Some theories of language development argue that words are a unique stimuli because they refer to objects in the world (Waxman &amp; Gelman, 2009), while other theories argue that words are special because they activate conceptual information more quickly, accurately, and in a more categorical way than nonverbal sounds. It is also possible that words and nonverbal sounds might be processed by different brain regions, with words being accessed more rapidly. A second explanation for the advantage for words might be differences in sheer frequency in the input. At least in our sample, it is safe to assume that children have heard the word cow many more times than they have heard an actual cow mooing. Frequency effects have been robustly demonstrated in the processing of words, with </w:t>
      </w:r>
      <w:r>
        <w:lastRenderedPageBreak/>
        <w:t>adults being faster to recognize words that they hear more frequently (Dahan, Magnuson, &amp; Tanenhaus, 2001). A final explanation is that words are very effective at presenting a lot of information in a short period of time. When children see a simple visual world consisting of a dog and a sheep, the first phoneme of the target word is already sufficient to determine the animal that is likely to be talked about next.</w:t>
      </w:r>
    </w:p>
    <w:p w14:paraId="34C003CE" w14:textId="77777777" w:rsidR="009A26E4" w:rsidRDefault="00F04619">
      <w:pPr>
        <w:pStyle w:val="BodyText"/>
      </w:pPr>
      <w:r>
        <w:t>Much less is known about children’s and adults’ processing of onomatopoeic sounds. Hashimoto et al. (2006) compared brain responses to nouns, animal sounds, and onomatopoetic sounds, and found that onomatopoeic sounds were processed by extensive brain regions involved in the processing of both verbal and nonverbal sounds. Alycia Cummings et al. (2009) argues that onomatopoeic sounds might provide young children with information about intermodal associations, bridging their understanding of non-arbitrary environmental sounds and arbitrary word-object associations. Fernald and Morikawa (1993) reported that 52% of Japanese mothers used onomatopoeic sounds to label target objects, while only 1 in 30 American mothers did so. While our results do not speak direclty to these theoretical issues, they do suggest that onomatopoeic sounds function like words in that they are capable of activating conceptual representations that drive children’s visual attention to seek the physical referent of the sound. However, there was some evidence that children processed onomatopeic sounds less efficiently compared to words in our task.</w:t>
      </w:r>
    </w:p>
    <w:p w14:paraId="455EC256" w14:textId="77777777" w:rsidR="009A26E4" w:rsidRDefault="00F04619">
      <w:pPr>
        <w:pStyle w:val="BodyText"/>
      </w:pPr>
      <w:r>
        <w:t>Our second finding was that children looked at a novel animal when hearing a novel animal vocalization, with accuracy comparable to their disambiguation of novel animal names. Bloom (2002) discusses different theories explaining children’s disambiguation biases: These biases could be a specifically lexical phenomenon that applies only to words (lexical account), a product of children’s theory of mind restricted to communicative situations (pragmatic account), or a special case of a general principle of learning that exaggerates regularities across domains (domain-general account). This study represents a strong test of these different accounts since they make different predictions for children’s looking behavior in response to the sounds that animals make, a non-linguistic and non-communicative stimulus.</w:t>
      </w:r>
    </w:p>
    <w:p w14:paraId="5F52488A" w14:textId="77777777" w:rsidR="009A26E4" w:rsidRDefault="00F04619">
      <w:pPr>
        <w:pStyle w:val="BodyText"/>
      </w:pPr>
      <w:r>
        <w:t xml:space="preserve">Previous studies contrasted lexical-specific and pragmatic accounts, with little attention to domain-general explanations. Diesendruk and Markson found that children expect speakers to use consistent facts to refer to objects, and they select a novel object when hearing a novel fact (Diesendruck &amp; Markson, 2001). Yet, recent studies suggest that different strategies might be used to make inferences about speakers’ communicative intent and the meaning of a novel word. Autistic children who are known to have pragmatic deficits show disambiguation biases and select a novel word when hearing a novel object (Preissler &amp; Carey, 2005). Disambiguation biases for words are correlated with vocabulary, and disambiguation biases for facts are correlated with social-pragmatic skills (Marchena et al., 2011). As these authors acknowledge, these findings suggest that disambiguation biases for words might not be </w:t>
      </w:r>
      <w:r>
        <w:lastRenderedPageBreak/>
        <w:t>motivated uniquely by pragmatic inferences, but they do not rule out domain-general accounts.</w:t>
      </w:r>
    </w:p>
    <w:p w14:paraId="72B5B42A" w14:textId="77777777" w:rsidR="009A26E4" w:rsidRDefault="00F04619">
      <w:pPr>
        <w:pStyle w:val="BodyText"/>
      </w:pPr>
      <w:r>
        <w:t>Few studies looked at disambiguation biases in non-linguistic domains. Three-year-olds expect faces to map to individual voices (Moher, Feigenson, &amp; Halberda, 2010), showing that one-to-one biases might extend to other communicative domains. In contrast, studies with adults found an advantage for words over non-linguistic stimuli in a task that could benefit from disambiguation biases (Yoshida, Rhemtulla, &amp; Vouloumanos, 2012). The findings with adults do not rule out a domain-general account, since participants had no reason to expect that the mapping between random non-linguistic sounds and objects should be mutually exclusive. As pointed out by the authors, perhaps similar strategies might be applied to non-linguistic sounds if they were meaningfully related to the object.</w:t>
      </w:r>
    </w:p>
    <w:p w14:paraId="3FCDADE3" w14:textId="77777777" w:rsidR="009A26E4" w:rsidRDefault="00F04619">
      <w:pPr>
        <w:pStyle w:val="BodyText"/>
      </w:pPr>
      <w:r>
        <w:t>This study is the first to demonstrate that young children show disambiguation biases in a non-linguistic and non-communicative domain. This is also the youngest age at which disambiguation biases were shown in a domain other than word learning. These findings seem to favor domain-general accounts that see disambiguation biases as the natural consequence of a system that attempts to find regularities in complex learning tasks that involve consistent mappings. Previous connectionist and Bayesian models of word learning showed that disambiguation biases emerge as children are exposed to consistent mappings between words and objects, without the need of built-in constraints on the meaning of words (M. C. Frank et al., 2009; McMurray et al., 2012; Regier, 2003). In principle, these same biases would emerge if these models attempted to map animal vocalizations to animals and consistent co-occurrences were present in the environment.</w:t>
      </w:r>
    </w:p>
    <w:p w14:paraId="5094B667" w14:textId="77777777" w:rsidR="009A26E4" w:rsidRDefault="00F04619">
      <w:pPr>
        <w:pStyle w:val="BodyText"/>
      </w:pPr>
      <w:r>
        <w:t>The question that remains is whether the finding from our studies and from previous studies could be explained by a single disambiguation mechanism. We showed that children can disambiguate stimuli other than words and facts, suggesting at least the existence of a domain general mechanism that leads to disambiguation. A preference for parsimony provides some week evidence in favor of a single mechanism. But as pointed out by recent computational work, it is possible that different mechanisms jointly contribute to disambiguation behavior, explaining findings across different populations and contexts (Lewis &amp; Frank, 2013). It is possible therefore that the same behavior - selecting a novel object when hearing a novel auditory stimulus - might result from different computational mechanisms or motivations depending on the task at hand, children’s age, or the particular stimuli set and assumptions about the people involved in the interaction. That is, children could use a domain general mechanism to learn about novel animal vocalizations, and they could use a lexical and pragmatic constraint to learn about novel words.</w:t>
      </w:r>
    </w:p>
    <w:p w14:paraId="74267E8F" w14:textId="77777777" w:rsidR="009A26E4" w:rsidRDefault="00F04619">
      <w:pPr>
        <w:pStyle w:val="BodyText"/>
      </w:pPr>
      <w:r>
        <w:t xml:space="preserve">Our third finding was that one-to-one biases for animal vocalizations do not necessarily lead to retention of the link between a novel animal and a novel vocalization. Importantly, this finding supports the prediction of recent cross-situational models of early word learning </w:t>
      </w:r>
      <w:r>
        <w:lastRenderedPageBreak/>
        <w:t>(McMurray et al., 2012). McMurray and colleagues propose that referent-selection requires that children give their best guess about a new word’s meaning in a specific ambiguous situation, but that learning operates over a much longer timescale. Although disambiguation can be viewed as the product of learning that has occurred up to that point, for younger children it does not necessarily result in learning. These claims are also supported by evidence from studies on early word learning using online and offline measures of retention (Bion et al., 2013).</w:t>
      </w:r>
    </w:p>
    <w:p w14:paraId="03D2186F" w14:textId="77777777" w:rsidR="009A26E4" w:rsidRDefault="00F04619">
      <w:pPr>
        <w:pStyle w:val="BodyText"/>
      </w:pPr>
      <w:r>
        <w:t>These results also add to a recent body of work that encourages us to think differently about disambiguation biases. This work has emphasized the role of experience in the emergence of disambiguation biases, showing that the tendency to select a novel object when hearing a novel word is not robustly present across populations. For example, bilingual children, children from lower socioeconomic status, children who receive less language input, and children with less structured vocabularies or smaller vocabulary sizes, take longer to show evidence of disambiguation biases (Bion et al., 2013; Yurovsky, Bion, Smith, &amp; Fernald, 2012). Other studies have problematized the relation between disambiguation biases and word learning, showing that success in referent selection does not necessarily mean that the link between the novel word and novel object will be retained (Bion et al., 2013; Horst, McMurray, &amp; Samuelson, 2006; McMurray et al., 2012). And the current study adds to recent studies taking a fresh look at an old question: the scope of disambiguation biases (Suanda &amp; Namy, 2012, 2013). Taken together, these recent studies challenge some widespread assumptions about the emergence, importance, and scope of a behavior often characterized as innate and universal.</w:t>
      </w:r>
    </w:p>
    <w:p w14:paraId="2DFFFDC4" w14:textId="77777777" w:rsidR="009A26E4" w:rsidRDefault="00F04619">
      <w:pPr>
        <w:pStyle w:val="BodyText"/>
      </w:pPr>
      <w:r>
        <w:t>Children’s learning about objects in their environment involves more than learning their names. Before object names are learned, sounds and actions might form the basis on which objects are conceptualized. For example, children might see barking as a defining feature of dogs, and may say bow-wow in response to the picture of a dog, even before they learn the animal name (Nelson, 1974). Learning the meaning of an object therefore requires learning several cross-modal associations, including learning the object’s texture, smell, as well as its sounds and names. Children do not have explicit constraints that freshly baked cookies should have only one smell. Yet, they might recognize and get excited about the familiar smell coming from the kitchen, and might assume their mothers are baking something new when smelling something unfamiliar.</w:t>
      </w:r>
    </w:p>
    <w:p w14:paraId="50B71ED2" w14:textId="77777777" w:rsidR="009A26E4" w:rsidRDefault="00F04619">
      <w:pPr>
        <w:pStyle w:val="BodyText"/>
      </w:pPr>
      <w:r>
        <w:t xml:space="preserve">Children use different types of knowledge in order to make sense of a constantly changing world. They might identify animal vocalizations based on the shape of the vocal tract of the animal, its location and size, and their previous knowledge about animal vocalizations. Importantly, these cues normally converge in helping children identify an animal in the environment. The same is true for their identification of referents for words. Children can identify the referent for a word based on semantics (J. C. Goodman, </w:t>
      </w:r>
      <w:r>
        <w:lastRenderedPageBreak/>
        <w:t>McDonough, &amp; Brown, 1998), cross-situational statistics (Smith &amp; Yu, 2008), syntax (R. W. Brown, 1957), and pragmatic and social cues (Baldwin, 1993), and – why not - disambiguation biases [markman1991whole]. As children grow older, these different sources of information provide converging evidence that a novel word should refer to a novel object. Children can rely on their knowledge about the world, speakers, and on their previous experiences with words in order to figure out what speakers are talking about – a task we continue to do throughout our lives when learning knew words and interpreting complex sentences.</w:t>
      </w:r>
    </w:p>
    <w:p w14:paraId="1C26373B" w14:textId="77777777" w:rsidR="009A26E4" w:rsidRDefault="00F04619">
      <w:pPr>
        <w:pStyle w:val="Heading11"/>
      </w:pPr>
      <w:bookmarkStart w:id="26" w:name="references"/>
      <w:bookmarkEnd w:id="26"/>
      <w:r>
        <w:t>References</w:t>
      </w:r>
    </w:p>
    <w:p w14:paraId="01219D37" w14:textId="77777777" w:rsidR="009A26E4" w:rsidRDefault="00F04619">
      <w:r>
        <w:t xml:space="preserve"> </w:t>
      </w:r>
    </w:p>
    <w:p w14:paraId="0199051A" w14:textId="77777777" w:rsidR="009A26E4" w:rsidRDefault="00F04619">
      <w:r>
        <w:t xml:space="preserve">Aust, F., &amp; Barth, M. (2017). </w:t>
      </w:r>
      <w:r>
        <w:rPr>
          <w:i/>
        </w:rPr>
        <w:t>papaja: Create APA manuscripts with R Markdown</w:t>
      </w:r>
      <w:r>
        <w:t xml:space="preserve">. Retrieved from </w:t>
      </w:r>
      <w:hyperlink r:id="rId15">
        <w:r>
          <w:t>https://github.com/crsh/papaja</w:t>
        </w:r>
      </w:hyperlink>
    </w:p>
    <w:p w14:paraId="666559D0" w14:textId="77777777" w:rsidR="009A26E4" w:rsidRDefault="00F04619">
      <w:r>
        <w:t xml:space="preserve">Baldwin, D. A. (1993). Infants’ ability to consult the speaker for clues to word reference. </w:t>
      </w:r>
      <w:r>
        <w:rPr>
          <w:i/>
        </w:rPr>
        <w:t>Journal of Child Language</w:t>
      </w:r>
      <w:r>
        <w:t xml:space="preserve">, </w:t>
      </w:r>
      <w:r>
        <w:rPr>
          <w:i/>
        </w:rPr>
        <w:t>20</w:t>
      </w:r>
      <w:r>
        <w:t>(02), 395–418.</w:t>
      </w:r>
    </w:p>
    <w:p w14:paraId="59335BB6" w14:textId="77777777" w:rsidR="009A26E4" w:rsidRDefault="00F04619">
      <w:r>
        <w:t xml:space="preserve">Bates, E., MacWhinney, B., &amp; others. (1989). Functionalism and the competition model. </w:t>
      </w:r>
      <w:r>
        <w:rPr>
          <w:i/>
        </w:rPr>
        <w:t>The Crosslinguistic Study of Sentence Processing</w:t>
      </w:r>
      <w:r>
        <w:t xml:space="preserve">, </w:t>
      </w:r>
      <w:r>
        <w:rPr>
          <w:i/>
        </w:rPr>
        <w:t>3</w:t>
      </w:r>
      <w:r>
        <w:t>, 73–112.</w:t>
      </w:r>
    </w:p>
    <w:p w14:paraId="225229DD" w14:textId="77777777" w:rsidR="009A26E4" w:rsidRDefault="00F04619">
      <w:r>
        <w:t xml:space="preserve">Bion, R. A., Borovsky, A., &amp; Fernald, A. (2013). Fast mapping, slow learning: Disambiguation of novel word–object mappings in relation to vocabulary learning at 18, 24, and 30months. </w:t>
      </w:r>
      <w:r>
        <w:rPr>
          <w:i/>
        </w:rPr>
        <w:t>Cognition</w:t>
      </w:r>
      <w:r>
        <w:t xml:space="preserve">, </w:t>
      </w:r>
      <w:r>
        <w:rPr>
          <w:i/>
        </w:rPr>
        <w:t>126</w:t>
      </w:r>
      <w:r>
        <w:t>(1), 39–53.</w:t>
      </w:r>
    </w:p>
    <w:p w14:paraId="451CC778" w14:textId="77777777" w:rsidR="009A26E4" w:rsidRDefault="00F04619">
      <w:r>
        <w:t xml:space="preserve">Bloom, P. (2002). </w:t>
      </w:r>
      <w:r>
        <w:rPr>
          <w:i/>
        </w:rPr>
        <w:t>How children learn the meaning of words</w:t>
      </w:r>
      <w:r>
        <w:t>. The MIT Press.</w:t>
      </w:r>
    </w:p>
    <w:p w14:paraId="7C1D2BAB" w14:textId="77777777" w:rsidR="009A26E4" w:rsidRDefault="00F04619">
      <w:r>
        <w:t xml:space="preserve">Brown, R. W. (1957). Linguistic determinism and the part of speech. </w:t>
      </w:r>
      <w:r>
        <w:rPr>
          <w:i/>
        </w:rPr>
        <w:t>The Journal of Abnormal and Social Psychology</w:t>
      </w:r>
      <w:r>
        <w:t xml:space="preserve">, </w:t>
      </w:r>
      <w:r>
        <w:rPr>
          <w:i/>
        </w:rPr>
        <w:t>55</w:t>
      </w:r>
      <w:r>
        <w:t>(1), 1.</w:t>
      </w:r>
    </w:p>
    <w:p w14:paraId="0621409A" w14:textId="77777777" w:rsidR="009A26E4" w:rsidRDefault="00F04619">
      <w:r>
        <w:t xml:space="preserve">Chen, Y.-C., &amp; Spence, C. (2011). Crossmodal semantic priming by naturalistic sounds and spoken words enhances visual sensitivity. </w:t>
      </w:r>
      <w:r>
        <w:rPr>
          <w:i/>
        </w:rPr>
        <w:t>Journal of Experimental Psychology: Human Perception and Performance</w:t>
      </w:r>
      <w:r>
        <w:t xml:space="preserve">, </w:t>
      </w:r>
      <w:r>
        <w:rPr>
          <w:i/>
        </w:rPr>
        <w:t>37</w:t>
      </w:r>
      <w:r>
        <w:t>(5), 1554.</w:t>
      </w:r>
    </w:p>
    <w:p w14:paraId="44B802A0" w14:textId="77777777" w:rsidR="009A26E4" w:rsidRDefault="00F04619">
      <w:r>
        <w:t xml:space="preserve">Clark, E. V. (1990). On the pragmatics of contrast. </w:t>
      </w:r>
      <w:r>
        <w:rPr>
          <w:i/>
        </w:rPr>
        <w:t>Journal of Child Language</w:t>
      </w:r>
      <w:r>
        <w:t xml:space="preserve">, </w:t>
      </w:r>
      <w:r>
        <w:rPr>
          <w:i/>
        </w:rPr>
        <w:t>17</w:t>
      </w:r>
      <w:r>
        <w:t>(2), 417–431.</w:t>
      </w:r>
    </w:p>
    <w:p w14:paraId="6249942E" w14:textId="77777777" w:rsidR="009A26E4" w:rsidRDefault="00F04619">
      <w:r>
        <w:t xml:space="preserve">Cummings, A., &amp; Ceponiene, R. (2010). Verbal and nonverbal semantic processing in children with developmental language impairment. </w:t>
      </w:r>
      <w:r>
        <w:rPr>
          <w:i/>
        </w:rPr>
        <w:t>Neuropsychologia</w:t>
      </w:r>
      <w:r>
        <w:t xml:space="preserve">, </w:t>
      </w:r>
      <w:r>
        <w:rPr>
          <w:i/>
        </w:rPr>
        <w:t>48</w:t>
      </w:r>
      <w:r>
        <w:t>(1), 77–85.</w:t>
      </w:r>
    </w:p>
    <w:p w14:paraId="3BC6A3AB" w14:textId="77777777" w:rsidR="009A26E4" w:rsidRDefault="00F04619">
      <w:r>
        <w:t xml:space="preserve">Cummings, A., Ceponiene, R., Koyama, A., Saygin, A., Townsend, J., &amp; Dick, F. (2006). Auditory semantic networks for words and natural sounds. </w:t>
      </w:r>
      <w:r>
        <w:rPr>
          <w:i/>
        </w:rPr>
        <w:t>Brain Research</w:t>
      </w:r>
      <w:r>
        <w:t xml:space="preserve">, </w:t>
      </w:r>
      <w:r>
        <w:rPr>
          <w:i/>
        </w:rPr>
        <w:t>1115</w:t>
      </w:r>
      <w:r>
        <w:t>(1), 92–107.</w:t>
      </w:r>
    </w:p>
    <w:p w14:paraId="4E81B3BB" w14:textId="77777777" w:rsidR="009A26E4" w:rsidRDefault="00F04619">
      <w:r>
        <w:lastRenderedPageBreak/>
        <w:t xml:space="preserve">Cummings, A., Saygin, A. P., Bates, E., &amp; Dick, F. (2009). Infants’ recognition of meaningful verbal and nonverbal sounds. </w:t>
      </w:r>
      <w:r>
        <w:rPr>
          <w:i/>
        </w:rPr>
        <w:t>Language Learning and Development</w:t>
      </w:r>
      <w:r>
        <w:t xml:space="preserve">, </w:t>
      </w:r>
      <w:r>
        <w:rPr>
          <w:i/>
        </w:rPr>
        <w:t>5</w:t>
      </w:r>
      <w:r>
        <w:t>(3), 172–190.</w:t>
      </w:r>
    </w:p>
    <w:p w14:paraId="60D8FA41" w14:textId="77777777" w:rsidR="009A26E4" w:rsidRDefault="00F04619">
      <w:r>
        <w:t xml:space="preserve">Dahan, D., Magnuson, J. S., &amp; Tanenhaus, M. K. (2001). Time course of frequency effects in spoken-word recognition: Evidence from eye movements. </w:t>
      </w:r>
      <w:r>
        <w:rPr>
          <w:i/>
        </w:rPr>
        <w:t>Cognitive Psychology</w:t>
      </w:r>
      <w:r>
        <w:t xml:space="preserve">, </w:t>
      </w:r>
      <w:r>
        <w:rPr>
          <w:i/>
        </w:rPr>
        <w:t>42</w:t>
      </w:r>
      <w:r>
        <w:t>(4), 317–367.</w:t>
      </w:r>
    </w:p>
    <w:p w14:paraId="7F0569F9" w14:textId="77777777" w:rsidR="009A26E4" w:rsidRDefault="00F04619">
      <w:r>
        <w:t xml:space="preserve">Diesendruck, G., &amp; Markson, L. (2001). Children’s avoidance of lexical overlap: A pragmatic account. </w:t>
      </w:r>
      <w:r>
        <w:rPr>
          <w:i/>
        </w:rPr>
        <w:t>Developmental Psychology</w:t>
      </w:r>
      <w:r>
        <w:t xml:space="preserve">, </w:t>
      </w:r>
      <w:r>
        <w:rPr>
          <w:i/>
        </w:rPr>
        <w:t>37</w:t>
      </w:r>
      <w:r>
        <w:t>(5), 630–641.</w:t>
      </w:r>
    </w:p>
    <w:p w14:paraId="0DBF77E9" w14:textId="77777777" w:rsidR="009A26E4" w:rsidRDefault="00F04619">
      <w:r>
        <w:t xml:space="preserve">Fernald, A., &amp; Morikawa, H. (1993). Common themes and cultural variations in japanese and american mothers’ speech to infants. </w:t>
      </w:r>
      <w:r>
        <w:rPr>
          <w:i/>
        </w:rPr>
        <w:t>Child Development</w:t>
      </w:r>
      <w:r>
        <w:t xml:space="preserve">, </w:t>
      </w:r>
      <w:r>
        <w:rPr>
          <w:i/>
        </w:rPr>
        <w:t>64</w:t>
      </w:r>
      <w:r>
        <w:t>(3), 637–656.</w:t>
      </w:r>
    </w:p>
    <w:p w14:paraId="0567E244" w14:textId="77777777" w:rsidR="009A26E4" w:rsidRDefault="00F04619">
      <w:r>
        <w:t xml:space="preserve">Fernald, A., Pinto, J. P., Swingley, D., Weinbergy, A., &amp; McRoberts, G. W. (1998). Rapid gains in speed of verbal processing by infants in the 2nd year. </w:t>
      </w:r>
      <w:r>
        <w:rPr>
          <w:i/>
        </w:rPr>
        <w:t>Psychological Science</w:t>
      </w:r>
      <w:r>
        <w:t xml:space="preserve">, </w:t>
      </w:r>
      <w:r>
        <w:rPr>
          <w:i/>
        </w:rPr>
        <w:t>9</w:t>
      </w:r>
      <w:r>
        <w:t>(3), 228–231.</w:t>
      </w:r>
    </w:p>
    <w:p w14:paraId="7D5FFC27" w14:textId="77777777" w:rsidR="009A26E4" w:rsidRDefault="00F04619">
      <w:r>
        <w:t xml:space="preserve">Fernald, A., Zangl, R., Portillo, A. L., &amp; Marchman, V. A. (2008). Looking while listening: Using eye movements to monitor spoken language. </w:t>
      </w:r>
      <w:r>
        <w:rPr>
          <w:i/>
        </w:rPr>
        <w:t>Developmental Psycholinguistics: On-Line Methods in Children’s Language Processing</w:t>
      </w:r>
      <w:r>
        <w:t xml:space="preserve">, </w:t>
      </w:r>
      <w:r>
        <w:rPr>
          <w:i/>
        </w:rPr>
        <w:t>44</w:t>
      </w:r>
      <w:r>
        <w:t>, 97.</w:t>
      </w:r>
    </w:p>
    <w:p w14:paraId="66595FDF" w14:textId="77777777" w:rsidR="009A26E4" w:rsidRDefault="00F04619">
      <w:r>
        <w:t xml:space="preserve">Frank, M. C., Goodman, N. D., &amp; Tenenbaum, J. B. (2009). Using speakers’ referential intentions to model early cross-situational word learning. </w:t>
      </w:r>
      <w:r>
        <w:rPr>
          <w:i/>
        </w:rPr>
        <w:t>Psychological Science</w:t>
      </w:r>
      <w:r>
        <w:t xml:space="preserve">, </w:t>
      </w:r>
      <w:r>
        <w:rPr>
          <w:i/>
        </w:rPr>
        <w:t>20</w:t>
      </w:r>
      <w:r>
        <w:t>(5), 578–585.</w:t>
      </w:r>
    </w:p>
    <w:p w14:paraId="0DBFEA05" w14:textId="77777777" w:rsidR="009A26E4" w:rsidRDefault="00F04619">
      <w:r>
        <w:t xml:space="preserve">Fulkerson, A. L., &amp; Waxman, S. R. (2007). Words (but not tones) facilitate object categorization: Evidence from 6-and 12-month-olds. </w:t>
      </w:r>
      <w:r>
        <w:rPr>
          <w:i/>
        </w:rPr>
        <w:t>Cognition</w:t>
      </w:r>
      <w:r>
        <w:t xml:space="preserve">, </w:t>
      </w:r>
      <w:r>
        <w:rPr>
          <w:i/>
        </w:rPr>
        <w:t>105</w:t>
      </w:r>
      <w:r>
        <w:t>(1), 218–228.</w:t>
      </w:r>
    </w:p>
    <w:p w14:paraId="16818CE6" w14:textId="77777777" w:rsidR="009A26E4" w:rsidRDefault="00F04619">
      <w:r>
        <w:t>Gabry, J., &amp; Goodrich, B. (2016). Rstanarm: Bayesian applied regression modeling via stan. r package version 2.10. 0.</w:t>
      </w:r>
    </w:p>
    <w:p w14:paraId="0307072F" w14:textId="77777777" w:rsidR="009A26E4" w:rsidRDefault="00F04619">
      <w:r>
        <w:t xml:space="preserve">Goodman, J. C., McDonough, L., &amp; Brown, N. B. (1998). The role of semantic context and memory in the acquisition of novel nouns. </w:t>
      </w:r>
      <w:r>
        <w:rPr>
          <w:i/>
        </w:rPr>
        <w:t>Child Development</w:t>
      </w:r>
      <w:r>
        <w:t xml:space="preserve">, </w:t>
      </w:r>
      <w:r>
        <w:rPr>
          <w:i/>
        </w:rPr>
        <w:t>69</w:t>
      </w:r>
      <w:r>
        <w:t>(5), 1330–1344.</w:t>
      </w:r>
    </w:p>
    <w:p w14:paraId="3FAB4F52" w14:textId="77777777" w:rsidR="009A26E4" w:rsidRDefault="00F04619">
      <w:r>
        <w:t xml:space="preserve">Hashimoto, T., Usui, N., Taira, M., Nose, I., Haji, T., &amp; Kojima, S. (2006). The neural mechanism associated with the processing of onomatopoeic sounds. </w:t>
      </w:r>
      <w:r>
        <w:rPr>
          <w:i/>
        </w:rPr>
        <w:t>Neuroimage</w:t>
      </w:r>
      <w:r>
        <w:t xml:space="preserve">, </w:t>
      </w:r>
      <w:r>
        <w:rPr>
          <w:i/>
        </w:rPr>
        <w:t>31</w:t>
      </w:r>
      <w:r>
        <w:t>(4), 1762–1770.</w:t>
      </w:r>
    </w:p>
    <w:p w14:paraId="2A0ECDF1" w14:textId="77777777" w:rsidR="009A26E4" w:rsidRDefault="00F04619">
      <w:r>
        <w:t xml:space="preserve">Horst, J. S., &amp; Samuelson, L. K. (2008). Fast mapping but poor retention by 24-month-old infants. </w:t>
      </w:r>
      <w:r>
        <w:rPr>
          <w:i/>
        </w:rPr>
        <w:t>Infancy</w:t>
      </w:r>
      <w:r>
        <w:t xml:space="preserve">, </w:t>
      </w:r>
      <w:r>
        <w:rPr>
          <w:i/>
        </w:rPr>
        <w:t>13</w:t>
      </w:r>
      <w:r>
        <w:t>(2), 128–157.</w:t>
      </w:r>
    </w:p>
    <w:p w14:paraId="14FF562B" w14:textId="77777777" w:rsidR="009A26E4" w:rsidRDefault="00F04619">
      <w:r>
        <w:lastRenderedPageBreak/>
        <w:t xml:space="preserve">Horst, J. S., McMurray, B., &amp; Samuelson, L. K. (2006). Online processing is essential for learning: Understanding fast mapping and word learning in a dynamic connectionist architecture. In </w:t>
      </w:r>
      <w:r>
        <w:rPr>
          <w:i/>
        </w:rPr>
        <w:t>Proceedings of the cognitive science society</w:t>
      </w:r>
      <w:r>
        <w:t xml:space="preserve"> (Vol. 28).</w:t>
      </w:r>
    </w:p>
    <w:p w14:paraId="22996B44" w14:textId="77777777" w:rsidR="009A26E4" w:rsidRDefault="00F04619">
      <w:r>
        <w:t xml:space="preserve">Lewis, M., &amp; Frank, M. (2013). An integrated model of concept learning and word-concept mapping. In </w:t>
      </w:r>
      <w:r>
        <w:rPr>
          <w:i/>
        </w:rPr>
        <w:t>Proceedings of the annual meeting of the cognitive science society</w:t>
      </w:r>
      <w:r>
        <w:t xml:space="preserve"> (Vol. 35).</w:t>
      </w:r>
    </w:p>
    <w:p w14:paraId="72B4D9A8" w14:textId="77777777" w:rsidR="009A26E4" w:rsidRDefault="00F04619">
      <w:r>
        <w:t xml:space="preserve">Lupyan, G., &amp; Thompson-Schill, S. L. (2012). The evocative power of words: Activation of concepts by verbal and nonverbal means. </w:t>
      </w:r>
      <w:r>
        <w:rPr>
          <w:i/>
        </w:rPr>
        <w:t>Journal of Experimental Psychology: General</w:t>
      </w:r>
      <w:r>
        <w:t xml:space="preserve">, </w:t>
      </w:r>
      <w:r>
        <w:rPr>
          <w:i/>
        </w:rPr>
        <w:t>141</w:t>
      </w:r>
      <w:r>
        <w:t>(1), 170.</w:t>
      </w:r>
    </w:p>
    <w:p w14:paraId="1F0EE696" w14:textId="77777777" w:rsidR="009A26E4" w:rsidRDefault="00F04619">
      <w:r>
        <w:t xml:space="preserve">Marchena, A. de, Eigsti, I.-M., Worek, A., Ono, K. E., &amp; Snedeker, J. (2011). Mutual exclusivity in autism spectrum disorders: Testing the pragmatic hypothesis. </w:t>
      </w:r>
      <w:r>
        <w:rPr>
          <w:i/>
        </w:rPr>
        <w:t>Cognition</w:t>
      </w:r>
      <w:r>
        <w:t xml:space="preserve">, </w:t>
      </w:r>
      <w:r>
        <w:rPr>
          <w:i/>
        </w:rPr>
        <w:t>119</w:t>
      </w:r>
      <w:r>
        <w:t>(1), 96–113.</w:t>
      </w:r>
    </w:p>
    <w:p w14:paraId="19B0D958" w14:textId="77777777" w:rsidR="009A26E4" w:rsidRDefault="00F04619">
      <w:r>
        <w:t xml:space="preserve">Markman, E. M. (1991). The whole-object, taxonomic, and mutual exclusivity assumptions as initial constraints on word meanings. </w:t>
      </w:r>
      <w:r>
        <w:rPr>
          <w:i/>
        </w:rPr>
        <w:t>Perspectives on Language and Thought: Interrelations in Development</w:t>
      </w:r>
      <w:r>
        <w:t>, 72–106.</w:t>
      </w:r>
    </w:p>
    <w:p w14:paraId="308EB812" w14:textId="77777777" w:rsidR="009A26E4" w:rsidRDefault="00F04619">
      <w:r>
        <w:t xml:space="preserve">McCleery, J. P., Ceponiene, R., Burner, K. M., Townsend, J., Kinnear, M., &amp; Schreibman, L. (2010). Neural correlates of verbal and nonverbal semantic integration in children with autism spectrum disorders. </w:t>
      </w:r>
      <w:r>
        <w:rPr>
          <w:i/>
        </w:rPr>
        <w:t>Journal of Child Psychology and Psychiatry</w:t>
      </w:r>
      <w:r>
        <w:t xml:space="preserve">, </w:t>
      </w:r>
      <w:r>
        <w:rPr>
          <w:i/>
        </w:rPr>
        <w:t>51</w:t>
      </w:r>
      <w:r>
        <w:t>(3), 277–286.</w:t>
      </w:r>
    </w:p>
    <w:p w14:paraId="6E385FBB" w14:textId="77777777" w:rsidR="009A26E4" w:rsidRDefault="00F04619">
      <w:r>
        <w:t xml:space="preserve">McMurray, B., Horst, J. S., &amp; Samuelson, L. K. (2012). Word learning emerges from the interaction of online referent selection and slow associative learning. </w:t>
      </w:r>
      <w:r>
        <w:rPr>
          <w:i/>
        </w:rPr>
        <w:t>Psychological Review</w:t>
      </w:r>
      <w:r>
        <w:t xml:space="preserve">, </w:t>
      </w:r>
      <w:r>
        <w:rPr>
          <w:i/>
        </w:rPr>
        <w:t>119</w:t>
      </w:r>
      <w:r>
        <w:t>(4), 831.</w:t>
      </w:r>
    </w:p>
    <w:p w14:paraId="03BD76EF" w14:textId="77777777" w:rsidR="009A26E4" w:rsidRDefault="00F04619">
      <w:r>
        <w:t xml:space="preserve">McMurray, B., Horst, J. S., Toscano, J. C., &amp; Samuelson, L. K. (2009). Integrating connectionist learning and dynamical systems processing: Case studies in speech and lexical development. </w:t>
      </w:r>
      <w:r>
        <w:rPr>
          <w:i/>
        </w:rPr>
        <w:t>Toward a Unified Theory of Development: Connectionism and Dynamic Systems Theory Re-Considered</w:t>
      </w:r>
      <w:r>
        <w:t>, 218–249.</w:t>
      </w:r>
    </w:p>
    <w:p w14:paraId="168854D1" w14:textId="77777777" w:rsidR="009A26E4" w:rsidRDefault="00F04619">
      <w:r>
        <w:t xml:space="preserve">Moher, M., Feigenson, L., &amp; Halberda, J. (2010). A one-to-one bias and fast mapping support preschoolers’ learning about faces and voices. </w:t>
      </w:r>
      <w:r>
        <w:rPr>
          <w:i/>
        </w:rPr>
        <w:t>Cognitive Science</w:t>
      </w:r>
      <w:r>
        <w:t xml:space="preserve">, </w:t>
      </w:r>
      <w:r>
        <w:rPr>
          <w:i/>
        </w:rPr>
        <w:t>34</w:t>
      </w:r>
      <w:r>
        <w:t>(5), 719–751.</w:t>
      </w:r>
    </w:p>
    <w:p w14:paraId="072A8CED" w14:textId="77777777" w:rsidR="009A26E4" w:rsidRDefault="00F04619">
      <w:r>
        <w:t xml:space="preserve">Murray, M. M., Camen, C., Andino, S. L. G., Bovet, P., &amp; Clarke, S. (2006). Rapid brain discrimination of sounds of objects. </w:t>
      </w:r>
      <w:r>
        <w:rPr>
          <w:i/>
        </w:rPr>
        <w:t>Journal of Neuroscience</w:t>
      </w:r>
      <w:r>
        <w:t xml:space="preserve">, </w:t>
      </w:r>
      <w:r>
        <w:rPr>
          <w:i/>
        </w:rPr>
        <w:t>26</w:t>
      </w:r>
      <w:r>
        <w:t>(4), 1293–1302.</w:t>
      </w:r>
    </w:p>
    <w:p w14:paraId="066D2004" w14:textId="77777777" w:rsidR="009A26E4" w:rsidRDefault="00F04619">
      <w:r>
        <w:t xml:space="preserve">Müller, K. (2017). </w:t>
      </w:r>
      <w:r>
        <w:rPr>
          <w:i/>
        </w:rPr>
        <w:t>Here: A simpler way to find your files</w:t>
      </w:r>
      <w:r>
        <w:t xml:space="preserve">. Retrieved from </w:t>
      </w:r>
      <w:hyperlink r:id="rId16">
        <w:r>
          <w:t>https://CRAN.R-project.org/package=here</w:t>
        </w:r>
      </w:hyperlink>
    </w:p>
    <w:p w14:paraId="2371EA9C" w14:textId="77777777" w:rsidR="009A26E4" w:rsidRDefault="00F04619">
      <w:r>
        <w:lastRenderedPageBreak/>
        <w:t xml:space="preserve">Namy, L. L., &amp; Waxman, S. R. (1998). Words and gestures: Infants’ interpretations of different forms of symbolic reference. </w:t>
      </w:r>
      <w:r>
        <w:rPr>
          <w:i/>
        </w:rPr>
        <w:t>Child Development</w:t>
      </w:r>
      <w:r>
        <w:t xml:space="preserve">, </w:t>
      </w:r>
      <w:r>
        <w:rPr>
          <w:i/>
        </w:rPr>
        <w:t>69</w:t>
      </w:r>
      <w:r>
        <w:t>(2), 295–308.</w:t>
      </w:r>
    </w:p>
    <w:p w14:paraId="64421C24" w14:textId="77777777" w:rsidR="009A26E4" w:rsidRDefault="00F04619">
      <w:r>
        <w:t xml:space="preserve">Nelson, K. (1974). Concept, word, and sentence: Interrelations in acquisition and development. </w:t>
      </w:r>
      <w:r>
        <w:rPr>
          <w:i/>
        </w:rPr>
        <w:t>Psychological Review</w:t>
      </w:r>
      <w:r>
        <w:t xml:space="preserve">, </w:t>
      </w:r>
      <w:r>
        <w:rPr>
          <w:i/>
        </w:rPr>
        <w:t>81</w:t>
      </w:r>
      <w:r>
        <w:t>(4), 267.</w:t>
      </w:r>
    </w:p>
    <w:p w14:paraId="573E7721" w14:textId="77777777" w:rsidR="009A26E4" w:rsidRDefault="00F04619">
      <w:r>
        <w:t xml:space="preserve">Pena, M., Maki, A., Kovac, D., Dehaene-Lambertz, G., Koizumi, H., Bouquet, F., &amp; Mehler, J. (2003). Sounds and silence: An optical topography study of language recognition at birth. </w:t>
      </w:r>
      <w:r>
        <w:rPr>
          <w:i/>
        </w:rPr>
        <w:t>Proceedings of the National Academy of Sciences</w:t>
      </w:r>
      <w:r>
        <w:t xml:space="preserve">, </w:t>
      </w:r>
      <w:r>
        <w:rPr>
          <w:i/>
        </w:rPr>
        <w:t>100</w:t>
      </w:r>
      <w:r>
        <w:t>(20), 11702–11705.</w:t>
      </w:r>
    </w:p>
    <w:p w14:paraId="126D15F7" w14:textId="77777777" w:rsidR="009A26E4" w:rsidRDefault="00F04619">
      <w:r>
        <w:t xml:space="preserve">Preissler, M. A., &amp; Carey, S. (2005). The role of inferences about referential intent in word learning: Evidence from autism. </w:t>
      </w:r>
      <w:r>
        <w:rPr>
          <w:i/>
        </w:rPr>
        <w:t>Cognition</w:t>
      </w:r>
      <w:r>
        <w:t xml:space="preserve">, </w:t>
      </w:r>
      <w:r>
        <w:rPr>
          <w:i/>
        </w:rPr>
        <w:t>97</w:t>
      </w:r>
      <w:r>
        <w:t>(1), B13–B23.</w:t>
      </w:r>
    </w:p>
    <w:p w14:paraId="7DF06A8F" w14:textId="77777777" w:rsidR="009A26E4" w:rsidRDefault="00F04619">
      <w:r>
        <w:t xml:space="preserve">R Core Team. (2017). </w:t>
      </w:r>
      <w:r>
        <w:rPr>
          <w:i/>
        </w:rPr>
        <w:t>R: A language and environment for statistical computing</w:t>
      </w:r>
      <w:r>
        <w:t xml:space="preserve">. Vienna, Austria: R Foundation for Statistical Computing. Retrieved from </w:t>
      </w:r>
      <w:hyperlink r:id="rId17">
        <w:r>
          <w:t>https://www.R-project.org/</w:t>
        </w:r>
      </w:hyperlink>
    </w:p>
    <w:p w14:paraId="0B34FB3F" w14:textId="77777777" w:rsidR="009A26E4" w:rsidRDefault="00F04619">
      <w:r>
        <w:t xml:space="preserve">Regier, T. (2003). Emergent constraints on word-learning: A computational perspective. </w:t>
      </w:r>
      <w:r>
        <w:rPr>
          <w:i/>
        </w:rPr>
        <w:t>Trends in Cognitive Sciences</w:t>
      </w:r>
      <w:r>
        <w:t xml:space="preserve">, </w:t>
      </w:r>
      <w:r>
        <w:rPr>
          <w:i/>
        </w:rPr>
        <w:t>7</w:t>
      </w:r>
      <w:r>
        <w:t>(6), 263–268.</w:t>
      </w:r>
    </w:p>
    <w:p w14:paraId="0A9746C7" w14:textId="77777777" w:rsidR="009A26E4" w:rsidRDefault="00F04619">
      <w:r>
        <w:t xml:space="preserve">Scofield, J., &amp; Behrend, D. A. (2007). Two-year-olds differentially disambiguate novel words and facts. </w:t>
      </w:r>
      <w:r>
        <w:rPr>
          <w:i/>
        </w:rPr>
        <w:t>Journal of Child Language</w:t>
      </w:r>
      <w:r>
        <w:t xml:space="preserve">, </w:t>
      </w:r>
      <w:r>
        <w:rPr>
          <w:i/>
        </w:rPr>
        <w:t>34</w:t>
      </w:r>
      <w:r>
        <w:t>(4), 875–889.</w:t>
      </w:r>
    </w:p>
    <w:p w14:paraId="6882FE2E" w14:textId="77777777" w:rsidR="009A26E4" w:rsidRDefault="00F04619">
      <w:r>
        <w:t xml:space="preserve">Smith, L. B., &amp; Yu, C. (2008). Infants rapidly learn word-referent mappings via cross-situational statistics. </w:t>
      </w:r>
      <w:r>
        <w:rPr>
          <w:i/>
        </w:rPr>
        <w:t>Cognition</w:t>
      </w:r>
      <w:r>
        <w:t xml:space="preserve">, </w:t>
      </w:r>
      <w:r>
        <w:rPr>
          <w:i/>
        </w:rPr>
        <w:t>106</w:t>
      </w:r>
      <w:r>
        <w:t>(3), 1558–1568.</w:t>
      </w:r>
    </w:p>
    <w:p w14:paraId="045E2C44" w14:textId="77777777" w:rsidR="009A26E4" w:rsidRDefault="00F04619">
      <w:r>
        <w:t xml:space="preserve">Suanda, S. H., &amp; Namy, L. L. (2012). Detailed behavioral analysis as a window into cross-situational word learning. </w:t>
      </w:r>
      <w:r>
        <w:rPr>
          <w:i/>
        </w:rPr>
        <w:t>Cognitive Science</w:t>
      </w:r>
      <w:r>
        <w:t xml:space="preserve">, </w:t>
      </w:r>
      <w:r>
        <w:rPr>
          <w:i/>
        </w:rPr>
        <w:t>36</w:t>
      </w:r>
      <w:r>
        <w:t>(3), 545–559.</w:t>
      </w:r>
    </w:p>
    <w:p w14:paraId="2BD4E25A" w14:textId="77777777" w:rsidR="009A26E4" w:rsidRDefault="00F04619">
      <w:r>
        <w:t xml:space="preserve">Suanda, S. H., &amp; Namy, L. L. (2013). Young word learners’ interpretations of words and symbolic gestures within the context of ambiguous reference. </w:t>
      </w:r>
      <w:r>
        <w:rPr>
          <w:i/>
        </w:rPr>
        <w:t>Child Development</w:t>
      </w:r>
      <w:r>
        <w:t xml:space="preserve">, </w:t>
      </w:r>
      <w:r>
        <w:rPr>
          <w:i/>
        </w:rPr>
        <w:t>84</w:t>
      </w:r>
      <w:r>
        <w:t>(1), 143–153.</w:t>
      </w:r>
    </w:p>
    <w:p w14:paraId="20FC72A2" w14:textId="77777777" w:rsidR="009A26E4" w:rsidRDefault="00F04619">
      <w:r>
        <w:t xml:space="preserve">Vouloumanos, A., &amp; Werker, J. F. (2004). Tuned to the signal: The privileged status of speech for young infants. </w:t>
      </w:r>
      <w:r>
        <w:rPr>
          <w:i/>
        </w:rPr>
        <w:t>Developmental Science</w:t>
      </w:r>
      <w:r>
        <w:t xml:space="preserve">, </w:t>
      </w:r>
      <w:r>
        <w:rPr>
          <w:i/>
        </w:rPr>
        <w:t>7</w:t>
      </w:r>
      <w:r>
        <w:t>(3), 270–276.</w:t>
      </w:r>
    </w:p>
    <w:p w14:paraId="0FC685D3" w14:textId="77777777" w:rsidR="009A26E4" w:rsidRDefault="00F04619">
      <w:r>
        <w:t xml:space="preserve">Vouloumanos, A., &amp; Werker, J. F. (2007a). Listening to language at birth: Evidence for a bias for speech in neonates. </w:t>
      </w:r>
      <w:r>
        <w:rPr>
          <w:i/>
        </w:rPr>
        <w:t>Developmental Science</w:t>
      </w:r>
      <w:r>
        <w:t xml:space="preserve">, </w:t>
      </w:r>
      <w:r>
        <w:rPr>
          <w:i/>
        </w:rPr>
        <w:t>10</w:t>
      </w:r>
      <w:r>
        <w:t>(2), 159–164.</w:t>
      </w:r>
    </w:p>
    <w:p w14:paraId="4E08A261" w14:textId="77777777" w:rsidR="009A26E4" w:rsidRDefault="00F04619">
      <w:r>
        <w:t xml:space="preserve">Vouloumanos, A., &amp; Werker, J. F. (2007b). Why voice melody alone cannot explain neonates’ preference for speech. </w:t>
      </w:r>
      <w:r>
        <w:rPr>
          <w:i/>
        </w:rPr>
        <w:t>Developmental Science</w:t>
      </w:r>
      <w:r>
        <w:t xml:space="preserve">, </w:t>
      </w:r>
      <w:r>
        <w:rPr>
          <w:i/>
        </w:rPr>
        <w:t>10</w:t>
      </w:r>
      <w:r>
        <w:t>(2), 169.</w:t>
      </w:r>
    </w:p>
    <w:p w14:paraId="3C4A3BF4" w14:textId="77777777" w:rsidR="009A26E4" w:rsidRDefault="00F04619">
      <w:r>
        <w:t xml:space="preserve">Vouloumanos, A., Druhen, M. J., Hauser, M. D., &amp; Huizink, A. T. (2009). Five-month-old infants’ identification of the sources of vocalizations. </w:t>
      </w:r>
      <w:r>
        <w:rPr>
          <w:i/>
        </w:rPr>
        <w:t>Proceedings of the National Academy of Sciences</w:t>
      </w:r>
      <w:r>
        <w:t xml:space="preserve">, </w:t>
      </w:r>
      <w:r>
        <w:rPr>
          <w:i/>
        </w:rPr>
        <w:t>106</w:t>
      </w:r>
      <w:r>
        <w:t>(44), 18867–18872.</w:t>
      </w:r>
    </w:p>
    <w:p w14:paraId="06EADBE2" w14:textId="77777777" w:rsidR="009A26E4" w:rsidRDefault="00F04619">
      <w:r>
        <w:lastRenderedPageBreak/>
        <w:t xml:space="preserve">Waxman, S. R., &amp; Gelman, S. A. (2009). Early word-learning entails reference, not merely associations. </w:t>
      </w:r>
      <w:r>
        <w:rPr>
          <w:i/>
        </w:rPr>
        <w:t>Trends in Cognitive Sciences</w:t>
      </w:r>
      <w:r>
        <w:t xml:space="preserve">, </w:t>
      </w:r>
      <w:r>
        <w:rPr>
          <w:i/>
        </w:rPr>
        <w:t>13</w:t>
      </w:r>
      <w:r>
        <w:t>(6), 258–263.</w:t>
      </w:r>
    </w:p>
    <w:p w14:paraId="7B021137" w14:textId="77777777" w:rsidR="009A26E4" w:rsidRDefault="00F04619">
      <w:r>
        <w:t xml:space="preserve">Wickham, H. (2017). </w:t>
      </w:r>
      <w:r>
        <w:rPr>
          <w:i/>
        </w:rPr>
        <w:t>Tidyverse: Easily install and load the ’tidyverse’</w:t>
      </w:r>
      <w:r>
        <w:t xml:space="preserve">. Retrieved from </w:t>
      </w:r>
      <w:hyperlink r:id="rId18">
        <w:r>
          <w:t>https://CRAN.R-project.org/package=tidyverse</w:t>
        </w:r>
      </w:hyperlink>
    </w:p>
    <w:p w14:paraId="195B59F4" w14:textId="77777777" w:rsidR="009A26E4" w:rsidRDefault="00F04619">
      <w:r>
        <w:t xml:space="preserve">Woodward, A., &amp; Hoyne, K. (1999). Infants’ learning about words and sounds in relation to objects. </w:t>
      </w:r>
      <w:r>
        <w:rPr>
          <w:i/>
        </w:rPr>
        <w:t>Child Development</w:t>
      </w:r>
      <w:r>
        <w:t xml:space="preserve">, </w:t>
      </w:r>
      <w:r>
        <w:rPr>
          <w:i/>
        </w:rPr>
        <w:t>70</w:t>
      </w:r>
      <w:r>
        <w:t>(1), 65–77.</w:t>
      </w:r>
    </w:p>
    <w:p w14:paraId="60969990" w14:textId="77777777" w:rsidR="009A26E4" w:rsidRDefault="00F04619">
      <w:r>
        <w:t xml:space="preserve">Xie, Y. (2015). </w:t>
      </w:r>
      <w:r>
        <w:rPr>
          <w:i/>
        </w:rPr>
        <w:t>Dynamic documents with R and knitr</w:t>
      </w:r>
      <w:r>
        <w:t xml:space="preserve"> (2nd ed.). Boca Raton, Florida: Chapman; Hall/CRC. Retrieved from </w:t>
      </w:r>
      <w:hyperlink r:id="rId19">
        <w:r>
          <w:t>https://yihui.name/knitr/</w:t>
        </w:r>
      </w:hyperlink>
    </w:p>
    <w:p w14:paraId="0C8E24CC" w14:textId="77777777" w:rsidR="009A26E4" w:rsidRDefault="00F04619">
      <w:r>
        <w:t xml:space="preserve">Xu, F. (2002). The role of language in acquiring object kind concepts in infancy. </w:t>
      </w:r>
      <w:r>
        <w:rPr>
          <w:i/>
        </w:rPr>
        <w:t>Cognition</w:t>
      </w:r>
      <w:r>
        <w:t xml:space="preserve">, </w:t>
      </w:r>
      <w:r>
        <w:rPr>
          <w:i/>
        </w:rPr>
        <w:t>85</w:t>
      </w:r>
      <w:r>
        <w:t>(3), 223–250.</w:t>
      </w:r>
    </w:p>
    <w:p w14:paraId="442666C6" w14:textId="77777777" w:rsidR="009A26E4" w:rsidRDefault="00F04619">
      <w:r>
        <w:t xml:space="preserve">Yoshida, K., Rhemtulla, M., &amp; Vouloumanos, A. (2012). Exclusion constraints facilitate statistical word learning. </w:t>
      </w:r>
      <w:r>
        <w:rPr>
          <w:i/>
        </w:rPr>
        <w:t>Cognitive Science</w:t>
      </w:r>
      <w:r>
        <w:t xml:space="preserve">, </w:t>
      </w:r>
      <w:r>
        <w:rPr>
          <w:i/>
        </w:rPr>
        <w:t>36</w:t>
      </w:r>
      <w:r>
        <w:t>(5), 933–947.</w:t>
      </w:r>
    </w:p>
    <w:p w14:paraId="10418A68" w14:textId="77777777" w:rsidR="009A26E4" w:rsidRDefault="00F04619">
      <w:r>
        <w:t xml:space="preserve">Yurovsky, D., Bion, R. A., Smith, L. B., &amp; Fernald, A. (2012). Mutual exclusivity and vocabulary structure. </w:t>
      </w:r>
      <w:r>
        <w:rPr>
          <w:i/>
        </w:rPr>
        <w:t>N. Miyake, D. Peebles, &amp; RP Cooper (Eds.)</w:t>
      </w:r>
      <w:r>
        <w:t>, 1197–1202.</w:t>
      </w:r>
    </w:p>
    <w:sectPr w:rsidR="009A26E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1091A6" w14:textId="77777777" w:rsidR="009A5646" w:rsidRDefault="00F04619">
      <w:pPr>
        <w:spacing w:before="0" w:after="0" w:line="240" w:lineRule="auto"/>
      </w:pPr>
      <w:r>
        <w:separator/>
      </w:r>
    </w:p>
  </w:endnote>
  <w:endnote w:type="continuationSeparator" w:id="0">
    <w:p w14:paraId="5A100C82" w14:textId="77777777" w:rsidR="009A5646" w:rsidRDefault="00F0461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7A892B" w14:textId="77777777" w:rsidR="009A26E4" w:rsidRDefault="00F04619">
      <w:r>
        <w:separator/>
      </w:r>
    </w:p>
  </w:footnote>
  <w:footnote w:type="continuationSeparator" w:id="0">
    <w:p w14:paraId="69EEA678" w14:textId="77777777" w:rsidR="009A26E4" w:rsidRDefault="00F04619">
      <w:r>
        <w:continuationSeparator/>
      </w:r>
    </w:p>
  </w:footnote>
  <w:footnote w:id="1">
    <w:p w14:paraId="479BCC5C" w14:textId="77777777" w:rsidR="009A26E4" w:rsidRDefault="00F04619">
      <w:pPr>
        <w:pStyle w:val="FootnoteText1"/>
      </w:pPr>
      <w:r>
        <w:footnoteRef/>
      </w:r>
      <w:r>
        <w:t xml:space="preserve"> We, furthermore, used the R-packages </w:t>
      </w:r>
      <w:r>
        <w:rPr>
          <w:i/>
        </w:rPr>
        <w:t>here</w:t>
      </w:r>
      <w:r>
        <w:t xml:space="preserve"> (0.1, Müller, 2017), </w:t>
      </w:r>
      <w:r>
        <w:rPr>
          <w:i/>
        </w:rPr>
        <w:t>knitr</w:t>
      </w:r>
      <w:r>
        <w:t xml:space="preserve"> (1.17, Xie, 2015), </w:t>
      </w:r>
      <w:r>
        <w:rPr>
          <w:i/>
        </w:rPr>
        <w:t>papaja</w:t>
      </w:r>
      <w:r>
        <w:t xml:space="preserve"> (0.1.0.9492, Aust &amp; Barth, 2017), and </w:t>
      </w:r>
      <w:r>
        <w:rPr>
          <w:i/>
        </w:rPr>
        <w:t>tidyverse</w:t>
      </w:r>
      <w:r>
        <w:t xml:space="preserve"> (1.2.1, Wickham, 2017).</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9646DA2"/>
    <w:multiLevelType w:val="multilevel"/>
    <w:tmpl w:val="B088CE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A665C"/>
    <w:rsid w:val="004B3576"/>
    <w:rsid w:val="004E29B3"/>
    <w:rsid w:val="00590D07"/>
    <w:rsid w:val="00784D58"/>
    <w:rsid w:val="007B1CFC"/>
    <w:rsid w:val="008D6863"/>
    <w:rsid w:val="009174DF"/>
    <w:rsid w:val="009A26E4"/>
    <w:rsid w:val="009A5646"/>
    <w:rsid w:val="00B86B75"/>
    <w:rsid w:val="00BC48D5"/>
    <w:rsid w:val="00C36279"/>
    <w:rsid w:val="00E315A3"/>
    <w:rsid w:val="00F0461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A81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E73C8D"/>
    <w:pPr>
      <w:spacing w:before="180" w:after="240" w:line="360" w:lineRule="auto"/>
      <w:ind w:firstLine="567"/>
    </w:pPr>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E73C8D"/>
    <w:pPr>
      <w:spacing w:before="36" w:after="36" w:line="240" w:lineRule="auto"/>
      <w:ind w:firstLine="0"/>
    </w:pPr>
  </w:style>
  <w:style w:type="paragraph" w:styleId="Title">
    <w:name w:val="Title"/>
    <w:basedOn w:val="Normal"/>
    <w:next w:val="Normal"/>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Normal"/>
    <w:qFormat/>
    <w:rsid w:val="00E73C8D"/>
    <w:pPr>
      <w:keepNext/>
      <w:keepLines/>
      <w:jc w:val="center"/>
    </w:pPr>
    <w:rPr>
      <w:rFonts w:ascii="Times" w:hAnsi="Times"/>
    </w:rPr>
  </w:style>
  <w:style w:type="paragraph" w:styleId="Date">
    <w:name w:val="Date"/>
    <w:next w:val="Normal"/>
    <w:qFormat/>
    <w:pPr>
      <w:keepNext/>
      <w:keepLines/>
      <w:jc w:val="center"/>
    </w:pPr>
  </w:style>
  <w:style w:type="paragraph" w:customStyle="1" w:styleId="Heading11">
    <w:name w:val="Heading 11"/>
    <w:basedOn w:val="Normal"/>
    <w:next w:val="Normal"/>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1">
    <w:name w:val="Heading 21"/>
    <w:basedOn w:val="Normal"/>
    <w:next w:val="Normal"/>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1">
    <w:name w:val="Heading 31"/>
    <w:basedOn w:val="Normal"/>
    <w:next w:val="Normal"/>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1">
    <w:name w:val="Heading 41"/>
    <w:basedOn w:val="Heading31"/>
    <w:next w:val="Normal"/>
    <w:uiPriority w:val="9"/>
    <w:unhideWhenUsed/>
    <w:qFormat/>
    <w:rsid w:val="00E73C8D"/>
    <w:pPr>
      <w:framePr w:wrap="around"/>
    </w:pPr>
    <w:rPr>
      <w:bCs w:val="0"/>
      <w:i/>
      <w:szCs w:val="24"/>
    </w:rPr>
  </w:style>
  <w:style w:type="paragraph" w:customStyle="1" w:styleId="Heading51">
    <w:name w:val="Heading 51"/>
    <w:basedOn w:val="Heading31"/>
    <w:next w:val="Normal"/>
    <w:uiPriority w:val="9"/>
    <w:unhideWhenUsed/>
    <w:qFormat/>
    <w:rsid w:val="00692418"/>
    <w:pPr>
      <w:framePr w:wrap="around"/>
      <w:spacing w:before="200"/>
    </w:pPr>
    <w:rPr>
      <w:b w:val="0"/>
      <w:i/>
      <w:iCs/>
      <w:szCs w:val="24"/>
    </w:rPr>
  </w:style>
  <w:style w:type="paragraph" w:customStyle="1" w:styleId="BlockQuote">
    <w:name w:val="Block Quote"/>
    <w:basedOn w:val="Normal"/>
    <w:next w:val="Normal"/>
    <w:uiPriority w:val="9"/>
    <w:unhideWhenUsed/>
    <w:qFormat/>
    <w:rsid w:val="00E73C8D"/>
    <w:pPr>
      <w:spacing w:before="100" w:after="100"/>
      <w:ind w:left="720"/>
    </w:pPr>
    <w:rPr>
      <w:rFonts w:eastAsiaTheme="majorEastAsia" w:cstheme="majorBidi"/>
      <w:bCs/>
      <w:szCs w:val="20"/>
    </w:r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73C8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73C8D"/>
    <w:rPr>
      <w:rFonts w:ascii="Lucida Grande" w:hAnsi="Lucida Grande" w:cs="Lucida Grande"/>
      <w:sz w:val="18"/>
      <w:szCs w:val="1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E73C8D"/>
    <w:pPr>
      <w:spacing w:before="180" w:after="240" w:line="360" w:lineRule="auto"/>
      <w:ind w:firstLine="567"/>
    </w:pPr>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E73C8D"/>
    <w:pPr>
      <w:spacing w:before="36" w:after="36" w:line="240" w:lineRule="auto"/>
      <w:ind w:firstLine="0"/>
    </w:pPr>
  </w:style>
  <w:style w:type="paragraph" w:styleId="Title">
    <w:name w:val="Title"/>
    <w:basedOn w:val="Normal"/>
    <w:next w:val="Normal"/>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Normal"/>
    <w:qFormat/>
    <w:rsid w:val="00E73C8D"/>
    <w:pPr>
      <w:keepNext/>
      <w:keepLines/>
      <w:jc w:val="center"/>
    </w:pPr>
    <w:rPr>
      <w:rFonts w:ascii="Times" w:hAnsi="Times"/>
    </w:rPr>
  </w:style>
  <w:style w:type="paragraph" w:styleId="Date">
    <w:name w:val="Date"/>
    <w:next w:val="Normal"/>
    <w:qFormat/>
    <w:pPr>
      <w:keepNext/>
      <w:keepLines/>
      <w:jc w:val="center"/>
    </w:pPr>
  </w:style>
  <w:style w:type="paragraph" w:customStyle="1" w:styleId="Heading11">
    <w:name w:val="Heading 11"/>
    <w:basedOn w:val="Normal"/>
    <w:next w:val="Normal"/>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1">
    <w:name w:val="Heading 21"/>
    <w:basedOn w:val="Normal"/>
    <w:next w:val="Normal"/>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1">
    <w:name w:val="Heading 31"/>
    <w:basedOn w:val="Normal"/>
    <w:next w:val="Normal"/>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1">
    <w:name w:val="Heading 41"/>
    <w:basedOn w:val="Heading31"/>
    <w:next w:val="Normal"/>
    <w:uiPriority w:val="9"/>
    <w:unhideWhenUsed/>
    <w:qFormat/>
    <w:rsid w:val="00E73C8D"/>
    <w:pPr>
      <w:framePr w:wrap="around"/>
    </w:pPr>
    <w:rPr>
      <w:bCs w:val="0"/>
      <w:i/>
      <w:szCs w:val="24"/>
    </w:rPr>
  </w:style>
  <w:style w:type="paragraph" w:customStyle="1" w:styleId="Heading51">
    <w:name w:val="Heading 51"/>
    <w:basedOn w:val="Heading31"/>
    <w:next w:val="Normal"/>
    <w:uiPriority w:val="9"/>
    <w:unhideWhenUsed/>
    <w:qFormat/>
    <w:rsid w:val="00692418"/>
    <w:pPr>
      <w:framePr w:wrap="around"/>
      <w:spacing w:before="200"/>
    </w:pPr>
    <w:rPr>
      <w:b w:val="0"/>
      <w:i/>
      <w:iCs/>
      <w:szCs w:val="24"/>
    </w:rPr>
  </w:style>
  <w:style w:type="paragraph" w:customStyle="1" w:styleId="BlockQuote">
    <w:name w:val="Block Quote"/>
    <w:basedOn w:val="Normal"/>
    <w:next w:val="Normal"/>
    <w:uiPriority w:val="9"/>
    <w:unhideWhenUsed/>
    <w:qFormat/>
    <w:rsid w:val="00E73C8D"/>
    <w:pPr>
      <w:spacing w:before="100" w:after="100"/>
      <w:ind w:left="720"/>
    </w:pPr>
    <w:rPr>
      <w:rFonts w:eastAsiaTheme="majorEastAsia" w:cstheme="majorBidi"/>
      <w:bCs/>
      <w:szCs w:val="20"/>
    </w:r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73C8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73C8D"/>
    <w:rPr>
      <w:rFonts w:ascii="Lucida Grande" w:hAnsi="Lucida Grande" w:cs="Lucida Grande"/>
      <w:sz w:val="18"/>
      <w:szCs w:val="1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github.com/kemacdonald/anime"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s://github.com/crsh/papaja" TargetMode="External"/><Relationship Id="rId16" Type="http://schemas.openxmlformats.org/officeDocument/2006/relationships/hyperlink" Target="https://CRAN.R-project.org/package=here" TargetMode="External"/><Relationship Id="rId17" Type="http://schemas.openxmlformats.org/officeDocument/2006/relationships/hyperlink" Target="https://www.R-project.org/" TargetMode="External"/><Relationship Id="rId18" Type="http://schemas.openxmlformats.org/officeDocument/2006/relationships/hyperlink" Target="https://CRAN.R-project.org/package=tidyverse" TargetMode="External"/><Relationship Id="rId19" Type="http://schemas.openxmlformats.org/officeDocument/2006/relationships/hyperlink" Target="https://yihui.name/knitr/"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kylem4@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27</Pages>
  <Words>9782</Words>
  <Characters>55758</Characters>
  <Application>Microsoft Macintosh Word</Application>
  <DocSecurity>0</DocSecurity>
  <Lines>464</Lines>
  <Paragraphs>130</Paragraphs>
  <ScaleCrop>false</ScaleCrop>
  <Company/>
  <LinksUpToDate>false</LinksUpToDate>
  <CharactersWithSpaces>65410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Moos as cues: One-to-one biases in a non-linguistic and non-communicative domain</dc:title>
  <dc:creator>Kyle MacDonald</dc:creator>
  <cp:lastModifiedBy>Kyle MacDonald</cp:lastModifiedBy>
  <cp:revision>7</cp:revision>
  <dcterms:created xsi:type="dcterms:W3CDTF">2017-12-19T18:13:00Z</dcterms:created>
  <dcterms:modified xsi:type="dcterms:W3CDTF">2017-12-19T18:30:00Z</dcterms:modified>
</cp:coreProperties>
</file>