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8"/>
        </w:rPr>
        <w:t>WF01 G1 Kapı Sınırı ve Karar Paketi</w:t>
      </w:r>
    </w:p>
    <w:p>
      <w:pPr>
        <w:spacing w:after="80"/>
      </w:pPr>
      <w:r>
        <w:rPr>
          <w:rFonts w:ascii="Arial" w:hAnsi="Arial"/>
          <w:b/>
          <w:color w:val="000000"/>
          <w:sz w:val="20"/>
        </w:rPr>
        <w:t>ESP32 S3 WROOM 1 N8 tabanlı 24 V arayüz kartı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v1.1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17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karar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Öneri: G1 iki ayrı kapı olarak kaydedilsin. G1 JOB01 REP01 yalnız JOB-01 kaynak ve gereksinim alımını; G1 PORTFOLIO ise üç paket ve beş işin tamamını kapsasın. Sayısal tasarım girdileri ve teknik mimari kararlar G2'ye, bunlardan türetilen test kanıtları G3'e devredilsin. Bu kayıt öneridir; insan Gate Owner onayı olmadan yürürlüğe girmez.</w:t>
      </w:r>
    </w:p>
    <w:p>
      <w:pPr>
        <w:spacing w:before="40" w:after="60"/>
      </w:pPr>
      <w:r>
        <w:rPr>
          <w:rFonts w:ascii="Arial" w:hAnsi="Arial"/>
          <w:b/>
          <w:color w:val="000000"/>
          <w:sz w:val="24"/>
        </w:rPr>
        <w:t>Önerilen G1 sınırı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1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Karar</w:t>
            </w:r>
          </w:p>
        </w:tc>
        <w:tc>
          <w:tcPr>
            <w:tcW w:type="dxa" w:w="414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kayıt</w:t>
            </w:r>
          </w:p>
        </w:tc>
        <w:tc>
          <w:tcPr>
            <w:tcW w:type="dxa" w:w="273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Sahip ve kapanış kanıtı</w:t>
            </w:r>
          </w:p>
        </w:tc>
        <w:tc>
          <w:tcPr>
            <w:tcW w:type="dxa" w:w="10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G1-01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Kapı yapısı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 JOB01 REP01 ayrı; G1 PORTFOLIO ayrı tutulur. JOB-01 ilerlemesi portföydeki eksik iş veya PKG-C nedeniyle otomatik durmaz.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Project Gate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sürümlü kapsam ve PASS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PROPOSED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G1-02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Kaynak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JOB-01 için PKG-A ve PKG-B kullanılan kayıtlar zorunlu; PKG-C G1 JOB01 için N/A ve koşullu portföy kanıtı. Portföy kapısında PKG-C ayrı kapanır.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Evidence Owner + QA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yerel byte, SHA-256, lisans, provenans, tekrar ve çelişki kaydı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G1-03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Gereksinim alımı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Her satır kaynak, kanıt sınıfı, kapsam ve durum taşır. Sayısal UNKNOWN değerler sahip ve G2 devir kaydıyla korunabilir; exact-part veya tasarım PASS'i sayılmaz.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Product Owner + Evidence Owner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sınıflandırma diff'i ve onaylı UNKNOWN listesi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PROPOSED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G1-04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CF-09 anlamı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 yalnız 5 aynalı akış mı 10 bağımsız akış mı sorusunu kapatır. Baud, framing, concurrency, GPIO ve serializer seçimi G2 girdisidir.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System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onaylı mantıksal kanal matrisi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G1-05</w:t>
            </w:r>
          </w:p>
        </w:tc>
        <w:tc>
          <w:tcPr>
            <w:tcW w:type="dxa" w:w="161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5"/>
              </w:rPr>
              <w:t>TFT ürün kapsamı</w:t>
            </w:r>
          </w:p>
        </w:tc>
        <w:tc>
          <w:tcPr>
            <w:tcW w:type="dxa" w:w="414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G1'de yalnız ilk revizyonda yok, gelecek DNP veya mevcut seçilir. Öneri: gelecek DNP kapsamı korunur; panel, arayüz, pin, touch, PSRAM ve backlight G2'ye devredilir.</w:t>
            </w:r>
          </w:p>
        </w:tc>
        <w:tc>
          <w:tcPr>
            <w:tcW w:type="dxa" w:w="273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Customer Product + HW FW  TBD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imzalı kapsam cümlesi</w:t>
            </w:r>
          </w:p>
        </w:tc>
        <w:tc>
          <w:tcPr>
            <w:tcW w:type="dxa" w:w="10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PROPOSED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>G1 JOB01 REP01 PASS adayı için gerekenler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007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Koşul</w:t>
            </w:r>
          </w:p>
        </w:tc>
        <w:tc>
          <w:tcPr>
            <w:tcW w:type="dxa" w:w="936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Kapanış kaydı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X1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Kapsam, Gate Owner ve onaylayan tarihli kayıtta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X2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PKG-A/B kullanılan kaynakların hash, lisans ve provenansı PASS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X3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Gereksinimler kaynak ve CLAUDE-06 sınıfıyla izlenebilir; UNKNOWN'lar G2'ye devredilmiş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X4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akış anlamı ve TFT ilk revizyon kapsamı yazılı</w:t>
            </w:r>
          </w:p>
        </w:tc>
      </w:tr>
      <w:tr>
        <w:trPr>
          <w:cantSplit/>
        </w:trPr>
        <w:tc>
          <w:tcPr>
            <w:tcW w:type="dxa" w:w="1007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X5</w:t>
            </w:r>
          </w:p>
        </w:tc>
        <w:tc>
          <w:tcPr>
            <w:tcW w:type="dxa" w:w="936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Tekrar ve çelişki denetimi; bağımsız doğrulayan kaydı tamam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000000"/>
          <w:sz w:val="21"/>
        </w:rPr>
        <w:t>Kapı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655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671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096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Kayıt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Sınır kararı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[ ] Kabul   [ ] Değiştir   [ ] Reddet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Yürürlük tarihi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Gate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Project Owner 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Bağımsız doğrulayan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Human QA  TBD</w:t>
            </w:r>
          </w:p>
        </w:tc>
      </w:tr>
      <w:tr>
        <w:trPr>
          <w:cantSplit/>
        </w:trPr>
        <w:tc>
          <w:tcPr>
            <w:tcW w:type="dxa" w:w="1655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Evidence Owner</w:t>
            </w:r>
          </w:p>
        </w:tc>
        <w:tc>
          <w:tcPr>
            <w:tcW w:type="dxa" w:w="3671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Human Evidence Owner  TBD</w:t>
            </w:r>
          </w:p>
        </w:tc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Hazırlayan</w:t>
            </w:r>
          </w:p>
        </w:tc>
        <w:tc>
          <w:tcPr>
            <w:tcW w:type="dxa" w:w="3096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Codex  onay yetkisi yok</w:t>
            </w:r>
          </w:p>
        </w:tc>
      </w:tr>
    </w:tbl>
    <w:p>
      <w:r>
        <w:br w:type="page"/>
      </w:r>
    </w:p>
    <w:p>
      <w:pPr>
        <w:pStyle w:val="Title"/>
        <w:spacing w:before="0" w:after="20"/>
      </w:pPr>
      <w:r>
        <w:rPr>
          <w:rFonts w:ascii="Arial" w:hAnsi="Arial"/>
          <w:b/>
          <w:color w:val="000000"/>
          <w:sz w:val="36"/>
        </w:rPr>
        <w:t>G2 G3 Devir Matrisi</w:t>
      </w:r>
    </w:p>
    <w:p>
      <w:pPr>
        <w:spacing w:after="80"/>
      </w:pPr>
      <w:r>
        <w:rPr>
          <w:rFonts w:ascii="Arial" w:hAnsi="Arial"/>
          <w:b/>
          <w:color w:val="000000"/>
          <w:sz w:val="19"/>
        </w:rPr>
        <w:t>G1 kapsamından çıkarılan teknik kararlar ve doğrulama kanıtları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800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v1.1</w:t>
            </w:r>
          </w:p>
        </w:tc>
        <w:tc>
          <w:tcPr>
            <w:tcW w:type="dxa" w:w="2232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17 Ekim 2026</w:t>
            </w:r>
          </w:p>
        </w:tc>
        <w:tc>
          <w:tcPr>
            <w:tcW w:type="dxa" w:w="4536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Teknik devir sayfası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 BLOCKED</w:t>
            </w:r>
          </w:p>
        </w:tc>
      </w:tr>
    </w:tbl>
    <w:p>
      <w:pPr>
        <w:spacing w:before="80" w:after="100" w:line="247" w:lineRule="auto"/>
      </w:pPr>
      <w:r>
        <w:rPr>
          <w:rFonts w:ascii="Arial" w:hAnsi="Arial"/>
          <w:b w:val="0"/>
          <w:color w:val="000000"/>
          <w:sz w:val="18"/>
        </w:rPr>
        <w:t>Bu sayfadaki UNKNOWN ve BLOCKED alanlar G1'de izlenir, ancak sayısal değer veya teknik PASS üretilmez. G2 mimariyi ve sayısal tasarım girdilerini dondurur. G3 bu kararlardan türetilen ERC, simülasyon, pre-layout ve bench kanıtlarını üretir. DRC ve üretim çıktıları G4'e aittir.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123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Kapı</w:t>
            </w:r>
          </w:p>
        </w:tc>
        <w:tc>
          <w:tcPr>
            <w:tcW w:type="dxa" w:w="4464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Girdi ve karar</w:t>
            </w:r>
          </w:p>
        </w:tc>
        <w:tc>
          <w:tcPr>
            <w:tcW w:type="dxa" w:w="28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Doğrulama veya sonraki kapı</w:t>
            </w:r>
          </w:p>
        </w:tc>
        <w:tc>
          <w:tcPr>
            <w:tcW w:type="dxa" w:w="110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Durum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H-01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Q-C01-Q-C03 ve Q-C06: VIN min/max, transient/OEM profili, jump-start, ters polarite, ortam ve soğutma; koruma mimarisi, rail budget, derating ve exact-part.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transient, açılış, termal ve işlev sınıfı testi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H-02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Q-C04-Q-C05: USB akım/inrush ve LCD mantık/backlight; VBUS anahtarı, ray bütçesi, seviye dönüşümü ve GPIO.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current-limit, inrush, backfeed ve LCD işlev testi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H-03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Q-C07 ayrıntıları ve Q-C08: baud, framing, concurrency, latency, frozen GPIO, kablo ve yük; UART/RMT/bridge veya yardımcı MCU mimarisi.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stres, boot glitch, OE, kayıp/duplicate/eski byte ve kablo-yük testi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BLOCKED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H-04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D-JTAG ve D-USB-EFUSE: Host sırasında canlı JTAG ihtiyacı, GPIO39-42, boot/ROM OTG-DFU ve provizyon stratejisi.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Host start-stop, UART0 kurtarma, USB-JTAG geri dönüş ve debug testi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H-05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Q-C11 teknik ayrıntıları: panel, SPI/i80/RGB/akıllı ekran, pin seti, touch, yenileme, güç, backlight ve PSRAM.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elektriksel, bellek, zamanlama ve işlev testi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  <w:tr>
        <w:trPr>
          <w:cantSplit/>
        </w:trPr>
        <w:tc>
          <w:tcPr>
            <w:tcW w:type="dxa" w:w="792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H-06</w:t>
            </w:r>
          </w:p>
        </w:tc>
        <w:tc>
          <w:tcPr>
            <w:tcW w:type="dxa" w:w="1123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G2 G3 G4</w:t>
            </w:r>
          </w:p>
        </w:tc>
        <w:tc>
          <w:tcPr>
            <w:tcW w:type="dxa" w:w="4464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Q-C09-Q-C10: ESD/EFT standardı ve seviye, port koruması, üretici, montaj sınıfı ve stackup.</w:t>
            </w:r>
          </w:p>
        </w:tc>
        <w:tc>
          <w:tcPr>
            <w:tcW w:type="dxa" w:w="28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G3: pre-layout/ESD planı; G4: DRC, DFM ve üretim çıktıları</w:t>
            </w:r>
          </w:p>
        </w:tc>
        <w:tc>
          <w:tcPr>
            <w:tcW w:type="dxa" w:w="110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UNKNOWN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000000"/>
          <w:sz w:val="22"/>
        </w:rPr>
        <w:t>G2 onayına kadar önerilen teknik taban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2088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82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Önerilen geçici taban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 ve kurtarma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 PHY SEL yakılmaz; GPIO19/20 USB ve GPIO43/44 UART0 için ayrı kalır.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JTAG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GPIO39-42 koşulludur; canlı Host-JTAG gereksinimi onaylanmadan kalıcı atama yapılmaz.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Seri çıkışlar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kapanmadan pin, exact-part veya üretim serializer tabanı dondurulmaz; RMT/soft-UART yalnız prototiptir.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TFT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Gelecek DNP kapsamı korunur; exact panel yoksa arayüz ve pin sayısı atanmaz.</w:t>
            </w:r>
          </w:p>
        </w:tc>
      </w:tr>
      <w:tr>
        <w:trPr>
          <w:cantSplit/>
        </w:trPr>
        <w:tc>
          <w:tcPr>
            <w:tcW w:type="dxa" w:w="2088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Kanıt disiplini</w:t>
            </w:r>
          </w:p>
        </w:tc>
        <w:tc>
          <w:tcPr>
            <w:tcW w:type="dxa" w:w="8280"/>
            <w:tcMar>
              <w:top w:w="62" w:type="dxa"/>
              <w:start w:w="70" w:type="dxa"/>
              <w:bottom w:w="62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Kaynakta olmayan pin, akım, eşik, parça veya test sonucu UNKNOWN ya da NOT_RUN kalır.</w:t>
            </w:r>
          </w:p>
        </w:tc>
      </w:tr>
    </w:tbl>
    <w:p>
      <w:pPr>
        <w:spacing w:before="120" w:after="40"/>
      </w:pPr>
      <w:r>
        <w:rPr>
          <w:rFonts w:ascii="Arial" w:hAnsi="Arial"/>
          <w:b/>
          <w:color w:val="000000"/>
          <w:sz w:val="21"/>
        </w:rPr>
        <w:t>Sonraki kayıt işlemi</w:t>
      </w:r>
    </w:p>
    <w:p>
      <w:pPr>
        <w:spacing w:before="0" w:after="60" w:line="247" w:lineRule="auto"/>
      </w:pPr>
      <w:r>
        <w:rPr>
          <w:rFonts w:ascii="Arial" w:hAnsi="Arial"/>
          <w:b w:val="0"/>
          <w:color w:val="000000"/>
          <w:sz w:val="17"/>
        </w:rPr>
        <w:t>Gate Owner bu sınırı kabul ederse requirements-traceability, interface-contract, gpio-budget ve open-decisions yeni sürümlerinde G1 BLOCKER ile G2/G3 BLOCKER etkileri ayrıştırılır. Kabul gelmeden mevcut kayıtlar değiştirilmez.</w:t>
      </w:r>
    </w:p>
    <w:p>
      <w:pPr>
        <w:spacing w:before="40" w:after="0"/>
      </w:pPr>
      <w:r>
        <w:rPr>
          <w:rFonts w:ascii="Arial" w:hAnsi="Arial"/>
          <w:b/>
          <w:color w:val="000000"/>
          <w:sz w:val="15"/>
        </w:rPr>
        <w:t xml:space="preserve">Dayanak kayıtlar  </w:t>
      </w:r>
      <w:r>
        <w:rPr>
          <w:rFonts w:ascii="Arial" w:hAnsi="Arial"/>
          <w:b w:val="0"/>
          <w:color w:val="000000"/>
          <w:sz w:val="15"/>
        </w:rPr>
        <w:t>kapilar-G0-G6.md; 003-Phase0-Phase1-Is-Akisi-Taslagi.md; CLAUDE-06, CLAUDE-07, CLAUDE-08, CLAUDE-10; docs/open-decisions.md; requirements-traceability.csv; WF01-D1-open-decisions.md.</w:t>
      </w:r>
    </w:p>
    <w:sectPr w:rsidR="00FC693F" w:rsidRPr="0006063C" w:rsidSect="00034616">
      <w:pgSz w:w="12240" w:h="15840"/>
      <w:pgMar w:top="691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WF01 G1 Kapı Sınırı ve Karar Paketi</dc:title>
  <dc:subject>G1 kapsam kararı ve G2 G3 devir matrisi</dc:subject>
  <dc:creator>Proje ekibi</dc:creator>
  <cp:keywords>WF01, G1, G2, G3, ESP32-S3, gate boundary</cp:keywords>
  <dc:description>v1.0 korunarak yeni sürüm oluşturuldu. Drive eşitlemesi yapılmadı.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