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left"/>
      </w:pPr>
      <w:r>
        <w:rPr>
          <w:rFonts w:ascii="Arial" w:hAnsi="Arial"/>
          <w:b/>
          <w:color w:val="000000"/>
          <w:sz w:val="34"/>
        </w:rPr>
        <w:t>WF01 G1 Karar Paketi</w:t>
      </w:r>
    </w:p>
    <w:p>
      <w:pPr>
        <w:spacing w:after="80"/>
      </w:pPr>
      <w:r>
        <w:rPr>
          <w:rFonts w:ascii="Arial" w:hAnsi="Arial"/>
          <w:b/>
          <w:color w:val="000000"/>
          <w:sz w:val="19"/>
        </w:rPr>
        <w:t>ESP32 S3 WROOM 1 N8 tabanlı 24 V arayüz kartı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19"/>
        <w:gridCol w:w="3619"/>
        <w:gridCol w:w="3619"/>
      </w:tblGrid>
      <w:tr>
        <w:tc>
          <w:tcPr>
            <w:tcW w:type="dxa" w:w="2160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Sürüm v1.0</w:t>
            </w:r>
          </w:p>
        </w:tc>
        <w:tc>
          <w:tcPr>
            <w:tcW w:type="dxa" w:w="2448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EAF2F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17 Ekim 2026</w:t>
            </w:r>
          </w:p>
        </w:tc>
        <w:tc>
          <w:tcPr>
            <w:tcW w:type="dxa" w:w="6307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Mevcut durum  G1 BLOCKED</w:t>
            </w:r>
          </w:p>
        </w:tc>
      </w:tr>
    </w:tbl>
    <w:p>
      <w:pPr>
        <w:spacing w:before="80" w:after="80"/>
      </w:pPr>
      <w:r>
        <w:rPr>
          <w:rFonts w:ascii="Arial" w:hAnsi="Arial"/>
          <w:b w:val="0"/>
          <w:color w:val="000000"/>
          <w:sz w:val="17"/>
        </w:rPr>
        <w:t>Amaç: G1 kapsamını ve karar sahiplerini sabitlemek, mimari blokajları yazılı seçime dönüştürmek ve her seçimi kapanış kanıtına bağlamak. Kutular boş bırakılmıştır; bu form tek başına PASS vermez.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tblHeader w:val="true"/>
        </w:trPr>
        <w:tc>
          <w:tcPr>
            <w:tcW w:type="dxa" w:w="792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699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Karar</w:t>
            </w:r>
          </w:p>
        </w:tc>
        <w:tc>
          <w:tcPr>
            <w:tcW w:type="dxa" w:w="4824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Seçenekler ve önerilen başlangıç</w:t>
            </w:r>
          </w:p>
        </w:tc>
        <w:tc>
          <w:tcPr>
            <w:tcW w:type="dxa" w:w="2880"/>
            <w:shd w:fill="1F4E78"/>
            <w:tcMar>
              <w:top w:w="65" w:type="dxa"/>
              <w:start w:w="70" w:type="dxa"/>
              <w:bottom w:w="6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6"/>
              </w:rPr>
              <w:t>Sahip ve kapanış kanıtı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G1-01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Kapsam ve yetki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JOB-01 ayrı G1   [ ] Beş iş tek G1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[ ] PKG-C kapsamda   [ ] Kapsam dışı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Öneri: kapsamı, Gate Owner'ı ve onaylayıcıyı ilk karar olarak yazılı sabitle.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Proje Sahibi + Gate Owner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imzalı kapsam, PASS listesi ve yürürlük tarihi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G1-02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Kaynak bütünlüğü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PKG-A/B hash PASS   [ ] PKG-C manifest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[ ] PKG-C kapsam dışı   [ ] Lisans/provenans tamam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CLAUDE ana kaydı ve 11/11a manifest kapsamı da karara bağlanır.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Evidence Owner + bağımsız doğrulayan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yerel byte, SHA-256, lisans, provenans ve çelişki kaydı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G1-03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CF-09 seri topoloji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5 aynalı akış   [ ] 10 bağımsız akış   [ ] Diğer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Kaydet: baud, framing, eşzamanlı TX ve gecikme.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Öneri: cevap gelmeden pin veya serializer dondurma.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Müşteri + Sistem/Firmware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onaylı kanal matrisi ve frozen GPIO girdisi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G1-04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Host sırasında JTAG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GPIO39-42 pad JTAG   [ ] Genel GPIO'ya iade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Canlı breakpoint zorunlu mu: [ ] Evet  [ ] Hayır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Öneri: yalnız zorunluysa ayır.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Firmware/Debug + Hardware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debug politikası, güncel pin bütçesi ve Host altında test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G1-05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USB PHY eFuse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USB_PHY_SEL yakılmaz   [ ] Yakılır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Boot/ROM OTG veya DFU zorunlu mu: [ ] Evet  [ ] Hayır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Öneri: zorunluluk yoksa yakma; UART0 kurtarma yolunu koru.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Firmware + Üretim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boot/kurtarma politikası, provizyon onayı ve sürüm testi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G1-06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Gelecek TFT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İlk revizyonda yok   [ ] SPI-first DNP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[ ] i80   [ ] RGB   [ ] Akıllı ekran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Kaydet: panel, touch, yenileme, güç/backlight ve PSRAM.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Müşteri/Ürün + HW/FW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panel veri sayfası, pinout ve güncel GPIO/rail bütçesi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G1-07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24 V giriş profili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[ ] Merkezi bastırmalı   [ ] Bastırmasız   [ ] OEM profili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[ ] Darbede çalış   [ ] Kontrollü kapan/toparlan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Kaydet: VIN min/max, darbe, jump-start ve ters polarite süreleri.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Müşteri/OEM + Güç/Test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onaylı dalga biçimi, eşikler, işlev sınıfı ve REQ-001</w:t>
            </w:r>
          </w:p>
        </w:tc>
      </w:tr>
      <w:tr>
        <w:trPr>
          <w:cantSplit/>
        </w:trPr>
        <w:tc>
          <w:tcPr>
            <w:tcW w:type="dxa" w:w="792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G1-08</w:t>
            </w:r>
          </w:p>
        </w:tc>
        <w:tc>
          <w:tcPr>
            <w:tcW w:type="dxa" w:w="16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Sayısal kabul girdileri</w:t>
            </w:r>
          </w:p>
        </w:tc>
        <w:tc>
          <w:tcPr>
            <w:tcW w:type="dxa" w:w="482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Q-C04-10: USB akım/inrush; LCD; ortam/termal; RS-232 baud-kablo-yük; ESD/EFT; DFM/stackup.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[ ] G1 zorunlu   [ ] G2/G3 girdisi   [ ] Kapsam dışı</w:t>
            </w:r>
          </w:p>
        </w:tc>
        <w:tc>
          <w:tcPr>
            <w:tcW w:type="dxa" w:w="2880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4F6F7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5"/>
              </w:rPr>
              <w:t>Müşteri + ilgili teknik sahipler</w:t>
            </w:r>
          </w:p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 w:val="0"/>
                <w:color w:val="000000"/>
                <w:sz w:val="15"/>
              </w:rPr>
              <w:t>Kanıt: tek test-kapı-sahip-eşik matrisinde sayısal kayıt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000000"/>
          <w:sz w:val="20"/>
        </w:rPr>
        <w:t>Oturum sonucu ve onay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2714"/>
        <w:gridCol w:w="2714"/>
        <w:gridCol w:w="2714"/>
      </w:tblGrid>
      <w:tr>
        <w:trPr>
          <w:cantSplit/>
        </w:trP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Toplantı tarihi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____________________</w:t>
            </w:r>
          </w:p>
        </w:tc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Karar durumu</w:t>
            </w:r>
          </w:p>
        </w:tc>
        <w:tc>
          <w:tcPr>
            <w:tcW w:type="dxa" w:w="34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[ ] BLOCKED   [ ] PASS adayı</w:t>
            </w:r>
          </w:p>
        </w:tc>
      </w:tr>
      <w:tr>
        <w:trPr>
          <w:cantSplit/>
        </w:trPr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Gate Owner</w:t>
            </w:r>
          </w:p>
        </w:tc>
        <w:tc>
          <w:tcPr>
            <w:tcW w:type="dxa" w:w="3384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____________________</w:t>
            </w:r>
          </w:p>
        </w:tc>
        <w:tc>
          <w:tcPr>
            <w:tcW w:type="dxa" w:w="1655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/>
                <w:color w:val="000000"/>
                <w:sz w:val="16"/>
              </w:rPr>
              <w:t>Bağımsız doğrulayan</w:t>
            </w:r>
          </w:p>
        </w:tc>
        <w:tc>
          <w:tcPr>
            <w:tcW w:type="dxa" w:w="3499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16"/>
              </w:rPr>
              <w:t>____________________</w:t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000000"/>
          <w:sz w:val="16"/>
        </w:rPr>
        <w:t xml:space="preserve">G1 PASS sınırı  </w:t>
      </w:r>
      <w:r>
        <w:rPr>
          <w:rFonts w:ascii="Arial" w:hAnsi="Arial"/>
          <w:b w:val="0"/>
          <w:color w:val="000000"/>
          <w:sz w:val="16"/>
        </w:rPr>
        <w:t>Seçilen kapsamın zorunlu satırları kanıtla PASS olmadıkça; CF-09, kapsam ve kaynak bütünlüğü kapanmadıkça durum BLOCKED kalır. WF01 veya D1 kural sonucu, kart ya da kapı PASS'i değildir.</w:t>
      </w:r>
    </w:p>
    <w:p>
      <w:pPr>
        <w:spacing w:before="20" w:after="0"/>
      </w:pPr>
      <w:r>
        <w:rPr>
          <w:rFonts w:ascii="Arial" w:hAnsi="Arial"/>
          <w:b/>
          <w:color w:val="000000"/>
          <w:sz w:val="14"/>
        </w:rPr>
        <w:t xml:space="preserve">Dayanak kayıtlar  </w:t>
      </w:r>
      <w:r>
        <w:rPr>
          <w:rFonts w:ascii="Arial" w:hAnsi="Arial"/>
          <w:b w:val="0"/>
          <w:color w:val="000000"/>
          <w:sz w:val="14"/>
        </w:rPr>
        <w:t>docs/open-decisions.md; docs/interface-contract.md; requirements/requirements-traceability.csv; engineering/gpio-budget.csv; WF01 araştırma raporu v1.2; CLAUDE-10; WF01-D1 open decisions.</w:t>
      </w:r>
    </w:p>
    <w:sectPr w:rsidR="00FC693F" w:rsidRPr="0006063C" w:rsidSect="00034616">
      <w:pgSz w:w="12240" w:h="15840"/>
      <w:pgMar w:top="547" w:right="691" w:bottom="51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color w:val="000000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WF01 G1 Karar Paketi</dc:title>
  <dc:subject>G1 karar oturumu ve kapanış kanıtı formu</dc:subject>
  <dc:creator>Proje ekibi</dc:creator>
  <cp:keywords>WF01, G1, ESP32-S3, karar paketi</cp:keywords>
  <dc:description>Yerel çalışma alanında oluşturuldu; Drive eşitlemesi yapılmadı.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