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ptos"/>
          <w:b/>
          <w:color w:val="000000"/>
          <w:sz w:val="50"/>
        </w:rPr>
        <w:t>REP 02 Çalışmalarının Güncel Özeti</w:t>
      </w:r>
    </w:p>
    <w:p>
      <w:pPr>
        <w:spacing w:before="0" w:after="280" w:line="259" w:lineRule="auto"/>
        <w:jc w:val="center"/>
      </w:pPr>
      <w:r>
        <w:rPr>
          <w:rFonts w:ascii="Aptos" w:hAnsi="Aptos" w:eastAsia="Aptos"/>
          <w:b w:val="0"/>
          <w:color w:val="666666"/>
          <w:sz w:val="22"/>
        </w:rPr>
        <w:t>23 Ekim 2026 itibarıyla D1 D2 ve D3 durumu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color w:val="000000"/>
          <w:sz w:val="20"/>
        </w:rPr>
        <w:t>Repo-02'nin D1, D2 ve D3 sentetik yazılım kapsamı tamamlandı. Paket; veri sözleşmelerini, statik güç rayı bütçesini, açılış sıralamasını, hata enjeksiyonunu, regülatör incelemesini, ortak raporlamayı ve REP-01/03 için çevrimdışı dosya API'sini içeriyor. 23 Ekim 2026 tarihinde yeniden çalıştırılan tam unittest paketi 323 testin tamamını geçti.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color w:val="000000"/>
          <w:sz w:val="20"/>
        </w:rPr>
        <w:t>Bu sonuç gerçek proje veya donanım onayı değildir. Canlı REP-01/03 entegrasyonu çalıştırılmadı; GAP-02 ve GAP-03 açık, G1 kaynak kapısı bloklu, G2-G6 donanım kapıları ise açılmamış durumda.</w:t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Güncel Durum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3024"/>
        <w:gridCol w:w="7056"/>
      </w:tblGrid>
      <w:tr>
        <w:trPr>
          <w:tblHeader w:val="true"/>
        </w:trPr>
        <w:tc>
          <w:tcPr>
            <w:tcW w:type="dxa" w:w="30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705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Güncel kayıt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Paket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power-rail-validation 0.4.0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Tamamlanan kapsam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WF-02-01 ile WF-02-06 arasındaki sentetik ve çevrimdışı dilimler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Son teknik kapı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D3 sentetik test ve kanıt kapsamı kapalı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Son test koşusu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323/323 PASS - 23 Ekim 2026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Git başlangıç commit'i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79ae5ba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Çalışma ağacı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UNCOMMITTED_DELIVERABLES</w:t>
            </w:r>
          </w:p>
        </w:tc>
      </w:tr>
    </w:tbl>
    <w:p>
      <w:pPr>
        <w:spacing w:before="0" w:after="20" w:line="259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Çalışma Kronolojisi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1209"/>
        <w:gridCol w:w="2419"/>
        <w:gridCol w:w="6452"/>
      </w:tblGrid>
      <w:tr>
        <w:trPr>
          <w:tblHeader w:val="true"/>
        </w:trPr>
        <w:tc>
          <w:tcPr>
            <w:tcW w:type="dxa" w:w="120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Oturum</w:t>
            </w:r>
          </w:p>
        </w:tc>
        <w:tc>
          <w:tcPr>
            <w:tcW w:type="dxa" w:w="241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İş paketi</w:t>
            </w:r>
          </w:p>
        </w:tc>
        <w:tc>
          <w:tcPr>
            <w:tcW w:type="dxa" w:w="64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Tamamlanan sonuç</w:t>
            </w:r>
          </w:p>
        </w:tc>
      </w:tr>
      <w:tr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WF-02-01 D1</w:t>
            </w:r>
          </w:p>
        </w:tc>
        <w:tc>
          <w:tcPr>
            <w:tcW w:type="dxa" w:w="64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Altı varlık için JSON Schema, CSV alan sözlüğü, deterministik hash ve fail-closed doğrulayıcı. İlk doğrulama 49/49 PASS.</w:t>
            </w:r>
          </w:p>
        </w:tc>
      </w:tr>
      <w:tr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WF-02-02 D2</w:t>
            </w:r>
          </w:p>
        </w:tc>
        <w:tc>
          <w:tcPr>
            <w:tcW w:type="dxa" w:w="64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Decimal tabanlı rail-budget motoru; Imin, Ityp, Imax, güç, derating, kullanım ve marj hesapları.</w:t>
            </w:r>
          </w:p>
        </w:tc>
      </w:tr>
      <w:tr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WF-02-03 D2</w:t>
            </w:r>
          </w:p>
        </w:tc>
        <w:tc>
          <w:tcPr>
            <w:tcW w:type="dxa" w:w="64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Deterministik sequencing FSM'i ve zaman pencereleri. D1-D2 birleşik kapanış 143/143 PASS.</w:t>
            </w:r>
          </w:p>
        </w:tc>
      </w:tr>
      <w:tr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WF-02-04 D3</w:t>
            </w:r>
          </w:p>
        </w:tc>
        <w:tc>
          <w:tcPr>
            <w:tcW w:type="dxa" w:w="64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Fault-injection runner'ı ve ilk ortak raporlama. Tam paket 228/228, fault 62/62, reporting 23/23 PASS.</w:t>
            </w:r>
          </w:p>
        </w:tc>
      </w:tr>
      <w:tr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WF-02-05 ve 06</w:t>
            </w:r>
          </w:p>
        </w:tc>
        <w:tc>
          <w:tcPr>
            <w:tcW w:type="dxa" w:w="64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Regulator review, çevrimdışı REP-01/03 dosya API'si, kapanış evidence paketi ve D3 sentetik kapsam kapanışı.</w:t>
            </w:r>
          </w:p>
        </w:tc>
      </w:tr>
    </w:tbl>
    <w:p>
      <w:pPr>
        <w:spacing w:before="0" w:after="20" w:line="259" w:lineRule="auto"/>
      </w:pP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Geliştirilen Yetenekler</w:t>
      </w:r>
    </w:p>
    <w:p>
      <w:pPr>
        <w:pStyle w:val="ListBullet"/>
        <w:spacing w:before="0" w:after="50" w:line="259" w:lineRule="auto"/>
      </w:pPr>
      <w:r>
        <w:rPr>
          <w:rFonts w:ascii="Aptos" w:hAnsi="Aptos" w:eastAsia="Aptos"/>
          <w:b w:val="0"/>
          <w:color w:val="000000"/>
          <w:sz w:val="20"/>
        </w:rPr>
        <w:t>Veri sözleşmeleri: rail, load, regulator, source, event ve finding kayıtları; strict JSON, birim ve provenance denetimi.</w:t>
      </w:r>
    </w:p>
    <w:p>
      <w:pPr>
        <w:pStyle w:val="ListBullet"/>
        <w:spacing w:before="0" w:after="50" w:line="259" w:lineRule="auto"/>
      </w:pPr>
      <w:r>
        <w:rPr>
          <w:rFonts w:ascii="Aptos" w:hAnsi="Aptos" w:eastAsia="Aptos"/>
          <w:b w:val="0"/>
          <w:color w:val="000000"/>
          <w:sz w:val="20"/>
        </w:rPr>
        <w:t>Rail budget: Decimal tabanlı akım ve güç hesapları, derated kapasite, kullanım, marj ve opsiyonel verim hesabı.</w:t>
      </w:r>
    </w:p>
    <w:p>
      <w:pPr>
        <w:pStyle w:val="ListBullet"/>
        <w:spacing w:before="0" w:after="50" w:line="259" w:lineRule="auto"/>
      </w:pPr>
      <w:r>
        <w:rPr>
          <w:rFonts w:ascii="Aptos" w:hAnsi="Aptos" w:eastAsia="Aptos"/>
          <w:b w:val="0"/>
          <w:color w:val="000000"/>
          <w:sz w:val="20"/>
        </w:rPr>
        <w:t>Sequencing: VIN_VALID, EN, PGOOD ve RESET zinciri için deterministik FSM, olay izi ve power-off senaryosu.</w:t>
      </w:r>
    </w:p>
    <w:p>
      <w:pPr>
        <w:pStyle w:val="ListBullet"/>
        <w:spacing w:before="0" w:after="50" w:line="259" w:lineRule="auto"/>
      </w:pPr>
      <w:r>
        <w:rPr>
          <w:rFonts w:ascii="Aptos" w:hAnsi="Aptos" w:eastAsia="Aptos"/>
          <w:b w:val="0"/>
          <w:color w:val="000000"/>
          <w:sz w:val="20"/>
        </w:rPr>
        <w:t>Fault injection: brownout, stuck-low, delay, rail-loss ve restart etkisi ile recovery sonucunun ayrı değerlendirilmesi.</w:t>
      </w:r>
    </w:p>
    <w:p>
      <w:pPr>
        <w:pStyle w:val="ListBullet"/>
        <w:spacing w:before="0" w:after="50" w:line="259" w:lineRule="auto"/>
      </w:pPr>
      <w:r>
        <w:rPr>
          <w:rFonts w:ascii="Aptos" w:hAnsi="Aptos" w:eastAsia="Aptos"/>
          <w:b w:val="0"/>
          <w:color w:val="000000"/>
          <w:sz w:val="20"/>
        </w:rPr>
        <w:t>Regulator review: VIN, IOUT, sıcaklık, derating, exact-part datasheet/model ve transient/loop-stability kanıt bağları.</w:t>
      </w:r>
    </w:p>
    <w:p>
      <w:pPr>
        <w:pStyle w:val="ListBullet"/>
        <w:spacing w:before="0" w:after="50" w:line="259" w:lineRule="auto"/>
      </w:pPr>
      <w:r>
        <w:rPr>
          <w:rFonts w:ascii="Aptos" w:hAnsi="Aptos" w:eastAsia="Aptos"/>
          <w:b w:val="0"/>
          <w:color w:val="000000"/>
          <w:sz w:val="20"/>
        </w:rPr>
        <w:t>Evidence ve integration: ortak JSON/Markdown raporu, byte-exact manifest ve REP-01/03 çevrimdışı descriptor doğrulaması.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Doğrulama ve Kanıtlar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520"/>
        <w:gridCol w:w="2016"/>
        <w:gridCol w:w="5544"/>
      </w:tblGrid>
      <w:tr>
        <w:trPr>
          <w:tblHeader w:val="true"/>
        </w:trPr>
        <w:tc>
          <w:tcPr>
            <w:tcW w:type="dxa" w:w="252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Sonuç</w:t>
            </w:r>
          </w:p>
        </w:tc>
        <w:tc>
          <w:tcPr>
            <w:tcW w:type="dxa" w:w="554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Tam unittest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323/323 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23 Ekim 2026 tarihinde mevcut çalışma ağacında yeniden çalıştırıldı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Regulator review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61/61 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Kural, provenance ve adversarial regresyonları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Integration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34/34 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Descriptor, artifact ve hata davranışı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Fault injection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62/62 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Hata etkisi, recovery ve causality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Reporting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23/23 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JSON, Markdown ve manifest eşliği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Statik kontroller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27 Python 3.9 AST, 51 strict JSON, 2 malformed red, git diff ve pyc hijyeni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Bağımsız denetimler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CLEAN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Regulator 21, file API 2 ve finalizer 3 bulgu kapatıldı; açık bulgu 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Evidence corpus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81 dosya byte-bound; 95 manifest girdisi yeniden doğrulandı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Kapanış DOCX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6 Letter sayfa; görsel, erişilebilirlik, başlık ve tablo geometri kontrolleri temiz</w:t>
            </w:r>
          </w:p>
        </w:tc>
      </w:tr>
    </w:tbl>
    <w:p>
      <w:pPr>
        <w:spacing w:before="0" w:after="20" w:line="259" w:lineRule="auto"/>
      </w:pPr>
    </w:p>
    <w:p>
      <w:pPr>
        <w:spacing w:before="0" w:after="100" w:line="259" w:lineRule="auto"/>
      </w:pPr>
      <w:r>
        <w:rPr>
          <w:rFonts w:ascii="Aptos" w:hAnsi="Aptos" w:eastAsia="Aptos"/>
          <w:b w:val="0"/>
          <w:color w:val="000000"/>
          <w:sz w:val="20"/>
        </w:rPr>
        <w:t>Kapanış manifestinin mantıksal SHA-256 değeri dff67ec8137da93d2b9d72a709e7e2761e7d859c6475a406314415992aacadf6 olarak kayıtlıdır. Manifest girdileri gerçek dosya baytlarına karşı yeniden oynatıldığında sapma bulunmadı.</w:t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Başlıca Teslimler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docs/REP02-D1/REP02-D1-product-contract.md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docs/REP02-D1/REP02-D1-decisions.md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docs/REP02-D2/REP02-D2-rail-budget-contract-and-completion.md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docs/REP02-D2/REP02-D2-sequencing-contract-and-completion.md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docs/REP02-D3/REP02-D3-fault-injection-and-initial-reporting.docx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docs/REP02-D3/REP02-D3-regulator-integration-and-closeout.docx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evidence/REP02-D3/test-results-closeout.json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evidence/REP02-D3/manifest-closeout.json</w:t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Açık Kapsamlar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3427"/>
        <w:gridCol w:w="1814"/>
        <w:gridCol w:w="4839"/>
      </w:tblGrid>
      <w:tr>
        <w:trPr>
          <w:tblHeader w:val="true"/>
        </w:trPr>
        <w:tc>
          <w:tcPr>
            <w:tcW w:type="dxa" w:w="3427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Konu</w:t>
            </w:r>
          </w:p>
        </w:tc>
        <w:tc>
          <w:tcPr>
            <w:tcW w:type="dxa" w:w="181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Durum</w:t>
            </w:r>
          </w:p>
        </w:tc>
        <w:tc>
          <w:tcPr>
            <w:tcW w:type="dxa" w:w="483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Kapanış için gereken</w:t>
            </w:r>
          </w:p>
        </w:tc>
      </w:tr>
      <w:tr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GAP-02 exact-part kaynak ve model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4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Yetkili üretici datasheet'i, exact-part model ve lisans/provenance</w:t>
            </w:r>
          </w:p>
        </w:tc>
      </w:tr>
      <w:tr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GAP-03 üretici zaman gereksinimleri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4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Üretici zaman kaynağı ve gerçek REP-01/03 eşlemesi</w:t>
            </w:r>
          </w:p>
        </w:tc>
      </w:tr>
      <w:tr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G1 kaynak bütünlüğü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4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Gerçek proje kaynak seti, semantik eşleme ve hash kayıtları</w:t>
            </w:r>
          </w:p>
        </w:tc>
      </w:tr>
      <w:tr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G2-G6 donanım kapıları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NOT_OPENED</w:t>
            </w:r>
          </w:p>
        </w:tc>
        <w:tc>
          <w:tcPr>
            <w:tcW w:type="dxa" w:w="4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Şema, PCB, SPICE, laboratuvar, uygunluk ve saha kanıtı</w:t>
            </w:r>
          </w:p>
        </w:tc>
      </w:tr>
      <w:tr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Canlı REP-01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NOT_RUN</w:t>
            </w:r>
          </w:p>
        </w:tc>
        <w:tc>
          <w:tcPr>
            <w:tcW w:type="dxa" w:w="4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Yetkili repo ve artifact erişimi</w:t>
            </w:r>
          </w:p>
        </w:tc>
      </w:tr>
      <w:tr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Canlı REP-03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NOT_RUN</w:t>
            </w:r>
          </w:p>
        </w:tc>
        <w:tc>
          <w:tcPr>
            <w:tcW w:type="dxa" w:w="4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5F7"/>
          </w:tcPr>
          <w:p>
            <w:pPr>
              <w:spacing w:before="0" w:after="0" w:line="245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Yetkili repo ve artifact erişimi</w:t>
            </w:r>
          </w:p>
        </w:tc>
      </w:tr>
    </w:tbl>
    <w:p>
      <w:pPr>
        <w:spacing w:before="0" w:after="20" w:line="259" w:lineRule="auto"/>
      </w:pPr>
    </w:p>
    <w:p>
      <w:pPr>
        <w:spacing w:before="0" w:after="100" w:line="259" w:lineRule="auto"/>
      </w:pPr>
      <w:r>
        <w:rPr>
          <w:rFonts w:ascii="Aptos" w:hAnsi="Aptos" w:eastAsia="Aptos"/>
          <w:b w:val="0"/>
          <w:color w:val="000000"/>
          <w:sz w:val="20"/>
        </w:rPr>
        <w:t>Mevcut PASS sonuçları yalnız sürümlü yazılım sözleşmelerini, sentetik fixture'ları ve yerel dosya bütünlüğünü doğrular. Gerçek transient dalga şekli, loop-stability marjı, termal davranış, şema veya PCB doğruluğu, EMC, ISO, AEC ve saha uygunluğu değerlendirilmedi.</w:t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Sonraki Çalışma Dilimi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color w:val="000000"/>
          <w:sz w:val="20"/>
        </w:rPr>
        <w:t>Kullanıcıya dönük CLI ve exit-code sözleşmesini eklemek.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color w:val="000000"/>
          <w:sz w:val="20"/>
        </w:rPr>
        <w:t>Wheel ve sdist package-data içeriğini, clean-install akışını ve minimum Python 3.9 desteğini doğrulamak.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color w:val="000000"/>
          <w:sz w:val="20"/>
        </w:rPr>
        <w:t>CI içinde unittest, AST, strict JSON, evidence replay ve git diff kontrol kapılarını kurmak.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color w:val="000000"/>
          <w:sz w:val="20"/>
        </w:rPr>
        <w:t>Release notunu ve sürümleme politikasını tamamlamak.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color w:val="000000"/>
          <w:sz w:val="20"/>
        </w:rPr>
        <w:t>Yalnız yetkili gerçek REP-01/03 kaynakları sağlandığında canlı adaptörleri ayrı kanıt sınırıyla uygulamak.</w:t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İşlem Kaydı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color w:val="000000"/>
          <w:sz w:val="20"/>
        </w:rPr>
        <w:t>Çalışma ağacı halen UNCOMMITTED_DELIVERABLES durumundadır. Commit, push, paket kurulumu, harici repository değişikliği, canlı REP-01/03 çalıştırması ve fiziksel test yapılmadı.</w:t>
      </w:r>
    </w:p>
    <w:p>
      <w:pPr>
        <w:pStyle w:val="Heading1"/>
        <w:keepNext/>
      </w:pPr>
      <w:r>
        <w:rPr>
          <w:rFonts w:ascii="Aptos" w:hAnsi="Aptos" w:eastAsia="Aptos"/>
          <w:b/>
          <w:color w:val="000000"/>
          <w:sz w:val="32"/>
        </w:rPr>
        <w:t>Kaynaklar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README.md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docs/README.md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src/README.md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tests/README.md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docs/REP02-D3/REP02-D3-regulator-integration-and-closeout.md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evidence/REP02-D1/test-results.json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evidence/REP02-D2/test-results.json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evidence/REP02-D3/test-results.json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evidence/REP02-D3/test-results-closeout.json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evidence/REP02-D3/manifest-closeout.json</w:t>
      </w:r>
    </w:p>
    <w:p>
      <w:pPr>
        <w:pStyle w:val="ListBullet"/>
        <w:spacing w:before="0" w:after="50" w:line="259" w:lineRule="auto"/>
      </w:pPr>
      <w:r>
        <w:rPr>
          <w:rFonts w:ascii="Consolas" w:hAnsi="Consolas" w:eastAsia="Consolas"/>
          <w:b w:val="0"/>
          <w:color w:val="1F4E78"/>
          <w:sz w:val="17"/>
        </w:rPr>
        <w:t>pyproject.toml</w:t>
      </w:r>
    </w:p>
    <w:sectPr w:rsidR="00FC693F" w:rsidRPr="0006063C" w:rsidSect="00034616">
      <w:footerReference w:type="default" r:id="rId9"/>
      <w:pgSz w:w="12240" w:h="15840"/>
      <w:pgMar w:top="979" w:right="1094" w:bottom="922" w:left="109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color w:val="666666"/>
        <w:sz w:val="16"/>
      </w:rPr>
      <w:t xml:space="preserve">REP 02 çalışma özeti    </w:t>
    </w:r>
    <w:r>
      <w:rPr>
        <w:rFonts w:ascii="Aptos" w:hAnsi="Aptos" w:eastAsia="Aptos"/>
        <w:b w:val="0"/>
        <w:color w:val="666666"/>
        <w:sz w:val="16"/>
      </w:rPr>
      <w:t xml:space="preserve">Sayfa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02 Çalışmalarının Güncel Özeti</dc:title>
  <dc:subject>D1 D2 ve D3 sentetik yazılım kapsamı ile açık çalışma alanları</dc:subject>
  <dc:creator>OpenAI Codex</dc:creator>
  <cp:keywords>REP 02 D1 D2 D3 güç rayı doğrulama kanıt</cp:keywords>
  <dc:description>23 Ekim 2026 itibarıyla doğrulanmış çalışma özeti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