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936"/>
      </w:tblGrid>
      <w:tr>
        <w:tc>
          <w:tcPr>
            <w:tcW w:type="dxa" w:w="10166"/>
            <w:shd w:fill="EAF2F8"/>
            <w:tcBorders>
              <w:top w:val="single" w:sz="4" w:space="0" w:color="EAF2F8"/>
              <w:left w:val="single" w:sz="4" w:space="0" w:color="EAF2F8"/>
              <w:bottom w:val="single" w:sz="4" w:space="0" w:color="EAF2F8"/>
              <w:right w:val="single" w:sz="4" w:space="0" w:color="EAF2F8"/>
              <w:insideH w:val="single" w:sz="4" w:space="0" w:color="EAF2F8"/>
              <w:insideV w:val="single" w:sz="4" w:space="0" w:color="EAF2F8"/>
            </w:tcBorders>
            <w:tcMar>
              <w:top w:w="60" w:type="dxa"/>
              <w:start w:w="115" w:type="dxa"/>
              <w:bottom w:w="60" w:type="dxa"/>
              <w:end w:w="115" w:type="dxa"/>
            </w:tcMar>
          </w:tcPr>
          <w:p>
            <w:pPr>
              <w:spacing w:after="0"/>
            </w:pPr>
            <w:r>
              <w:rPr>
                <w:rFonts w:ascii="Aptos" w:hAnsi="Aptos" w:eastAsia="Aptos"/>
                <w:b/>
                <w:i w:val="0"/>
                <w:color w:val="17365D"/>
                <w:sz w:val="17"/>
              </w:rPr>
              <w:t>BAĞIMSIZ KAYNAK, DEPO VE TESLIMAT DENETIMI</w:t>
            </w:r>
          </w:p>
        </w:tc>
      </w:tr>
    </w:tbl>
    <w:p>
      <w:pPr>
        <w:spacing w:after="0"/>
      </w:pPr>
    </w:p>
    <w:p>
      <w:pPr>
        <w:pStyle w:val="Title"/>
        <w:spacing w:before="520"/>
      </w:pPr>
      <w:r>
        <w:rPr>
          <w:rFonts w:ascii="Aptos" w:hAnsi="Aptos" w:eastAsia="Aptos"/>
          <w:b/>
          <w:i w:val="0"/>
          <w:color w:val="000000"/>
          <w:sz w:val="50"/>
        </w:rPr>
        <w:t>REP 02 v2 Revizyon Etki ve Uyum Analizi</w:t>
      </w:r>
    </w:p>
    <w:p>
      <w:pPr>
        <w:pStyle w:val="Subtitle"/>
      </w:pPr>
      <w:r>
        <w:rPr>
          <w:rFonts w:ascii="Aptos" w:hAnsi="Aptos" w:eastAsia="Aptos"/>
          <w:b w:val="0"/>
          <w:i w:val="0"/>
          <w:color w:val="404040"/>
          <w:sz w:val="24"/>
        </w:rPr>
        <w:t>Model Raporları / 15.10.2026 klasöründeki iki revize raporun v1, mevcut kod tabanı ve yayımlanmış referans adaylarıyla karşılaştırılması</w:t>
      </w:r>
    </w:p>
    <w:tbl>
      <w:tblPr>
        <w:tblStyle w:val="TableGrid"/>
        <w:tblW w:type="auto" w:w="0"/>
        <w:tblLayout w:type="fixed"/>
        <w:tblLook w:firstColumn="1" w:firstRow="1" w:lastColumn="0" w:lastRow="0" w:noHBand="0" w:noVBand="1" w:val="04A0"/>
      </w:tblPr>
      <w:tblGrid>
        <w:gridCol w:w="5083"/>
        <w:gridCol w:w="5083"/>
      </w:tblGrid>
      <w:tr>
        <w:trPr>
          <w:cantSplit/>
        </w:trPr>
        <w:tc>
          <w:tcPr>
            <w:tcW w:type="dxa" w:w="2232"/>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17365D"/>
          </w:tcPr>
          <w:p>
            <w:pPr>
              <w:spacing w:after="0"/>
            </w:pPr>
            <w:r>
              <w:rPr>
                <w:rFonts w:ascii="Aptos" w:hAnsi="Aptos" w:eastAsia="Aptos"/>
                <w:b/>
                <w:i w:val="0"/>
                <w:color w:val="FFFFFF"/>
                <w:sz w:val="18"/>
              </w:rPr>
              <w:t>İnceleme tarihi</w:t>
            </w:r>
          </w:p>
        </w:tc>
        <w:tc>
          <w:tcPr>
            <w:tcW w:type="dxa" w:w="7704"/>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FFFFFF"/>
          </w:tcPr>
          <w:p>
            <w:pPr>
              <w:spacing w:after="0"/>
            </w:pPr>
            <w:r>
              <w:rPr>
                <w:rFonts w:ascii="Aptos" w:hAnsi="Aptos" w:eastAsia="Aptos"/>
                <w:b w:val="0"/>
                <w:i w:val="0"/>
                <w:color w:val="000000"/>
                <w:sz w:val="18"/>
              </w:rPr>
              <w:t>26.10.2026</w:t>
            </w:r>
          </w:p>
        </w:tc>
      </w:tr>
      <w:tr>
        <w:trPr>
          <w:cantSplit/>
        </w:trPr>
        <w:tc>
          <w:tcPr>
            <w:tcW w:type="dxa" w:w="2232"/>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17365D"/>
          </w:tcPr>
          <w:p>
            <w:pPr>
              <w:spacing w:after="0"/>
            </w:pPr>
            <w:r>
              <w:rPr>
                <w:rFonts w:ascii="Aptos" w:hAnsi="Aptos" w:eastAsia="Aptos"/>
                <w:b/>
                <w:i w:val="0"/>
                <w:color w:val="FFFFFF"/>
                <w:sz w:val="18"/>
              </w:rPr>
              <w:t>İncelenen sürüm</w:t>
            </w:r>
          </w:p>
        </w:tc>
        <w:tc>
          <w:tcPr>
            <w:tcW w:type="dxa" w:w="7704"/>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FFFFFF"/>
          </w:tcPr>
          <w:p>
            <w:pPr>
              <w:spacing w:after="0"/>
            </w:pPr>
            <w:r>
              <w:rPr>
                <w:rFonts w:ascii="Aptos" w:hAnsi="Aptos" w:eastAsia="Aptos"/>
                <w:b w:val="0"/>
                <w:i w:val="0"/>
                <w:color w:val="000000"/>
                <w:sz w:val="18"/>
              </w:rPr>
              <w:t>REP-02 görev planı v2 ve iş akışı raporu v2</w:t>
            </w:r>
          </w:p>
        </w:tc>
      </w:tr>
      <w:tr>
        <w:trPr>
          <w:cantSplit/>
        </w:trPr>
        <w:tc>
          <w:tcPr>
            <w:tcW w:type="dxa" w:w="2232"/>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17365D"/>
          </w:tcPr>
          <w:p>
            <w:pPr>
              <w:spacing w:after="0"/>
            </w:pPr>
            <w:r>
              <w:rPr>
                <w:rFonts w:ascii="Aptos" w:hAnsi="Aptos" w:eastAsia="Aptos"/>
                <w:b/>
                <w:i w:val="0"/>
                <w:color w:val="FFFFFF"/>
                <w:sz w:val="18"/>
              </w:rPr>
              <w:t>Depo HEAD</w:t>
            </w:r>
          </w:p>
        </w:tc>
        <w:tc>
          <w:tcPr>
            <w:tcW w:type="dxa" w:w="7704"/>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FFFFFF"/>
          </w:tcPr>
          <w:p>
            <w:pPr>
              <w:spacing w:after="0"/>
            </w:pPr>
            <w:r>
              <w:rPr>
                <w:rFonts w:ascii="Aptos" w:hAnsi="Aptos" w:eastAsia="Aptos"/>
                <w:b w:val="0"/>
                <w:i w:val="0"/>
                <w:color w:val="000000"/>
                <w:sz w:val="18"/>
              </w:rPr>
              <w:t>66f20739feae5689cbc4620fb38ee7817796c2e9</w:t>
            </w:r>
          </w:p>
        </w:tc>
      </w:tr>
      <w:tr>
        <w:trPr>
          <w:cantSplit/>
        </w:trPr>
        <w:tc>
          <w:tcPr>
            <w:tcW w:type="dxa" w:w="2232"/>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17365D"/>
          </w:tcPr>
          <w:p>
            <w:pPr>
              <w:spacing w:after="0"/>
            </w:pPr>
            <w:r>
              <w:rPr>
                <w:rFonts w:ascii="Aptos" w:hAnsi="Aptos" w:eastAsia="Aptos"/>
                <w:b/>
                <w:i w:val="0"/>
                <w:color w:val="FFFFFF"/>
                <w:sz w:val="18"/>
              </w:rPr>
              <w:t>Doğrulama sonucu</w:t>
            </w:r>
          </w:p>
        </w:tc>
        <w:tc>
          <w:tcPr>
            <w:tcW w:type="dxa" w:w="7704"/>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FFFFFF"/>
          </w:tcPr>
          <w:p>
            <w:pPr>
              <w:spacing w:after="0"/>
            </w:pPr>
            <w:r>
              <w:rPr>
                <w:rFonts w:ascii="Aptos" w:hAnsi="Aptos" w:eastAsia="Aptos"/>
                <w:b w:val="0"/>
                <w:i w:val="0"/>
                <w:color w:val="000000"/>
                <w:sz w:val="18"/>
              </w:rPr>
              <w:t>404/404 yerel test PASS · GitHub Actions Python 3.9 ve 3.12 PASS</w:t>
            </w:r>
          </w:p>
        </w:tc>
      </w:tr>
      <w:tr>
        <w:trPr>
          <w:cantSplit/>
        </w:trPr>
        <w:tc>
          <w:tcPr>
            <w:tcW w:type="dxa" w:w="2232"/>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17365D"/>
          </w:tcPr>
          <w:p>
            <w:pPr>
              <w:spacing w:after="0"/>
            </w:pPr>
            <w:r>
              <w:rPr>
                <w:rFonts w:ascii="Aptos" w:hAnsi="Aptos" w:eastAsia="Aptos"/>
                <w:b/>
                <w:i w:val="0"/>
                <w:color w:val="FFFFFF"/>
                <w:sz w:val="18"/>
              </w:rPr>
              <w:t>Rapor durumu</w:t>
            </w:r>
          </w:p>
        </w:tc>
        <w:tc>
          <w:tcPr>
            <w:tcW w:type="dxa" w:w="7704"/>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95" w:type="dxa"/>
              <w:start w:w="105" w:type="dxa"/>
              <w:bottom w:w="95" w:type="dxa"/>
              <w:end w:w="105" w:type="dxa"/>
            </w:tcMar>
            <w:shd w:fill="FFFFFF"/>
          </w:tcPr>
          <w:p>
            <w:pPr>
              <w:spacing w:after="0"/>
            </w:pPr>
            <w:r>
              <w:rPr>
                <w:rFonts w:ascii="Aptos" w:hAnsi="Aptos" w:eastAsia="Aptos"/>
                <w:b w:val="0"/>
                <w:i w:val="0"/>
                <w:color w:val="000000"/>
                <w:sz w:val="18"/>
              </w:rPr>
              <w:t>Karar destek raporu · Kod değişikliği uygulanmadı</w:t>
            </w:r>
          </w:p>
        </w:tc>
      </w:tr>
    </w:tbl>
    <w:p>
      <w:pPr>
        <w:spacing w:after="60"/>
      </w:pPr>
    </w:p>
    <w:tbl>
      <w:tblPr>
        <w:tblW w:type="auto" w:w="0"/>
        <w:tblLayout w:type="fixed"/>
        <w:tblLook w:firstColumn="1" w:firstRow="1" w:lastColumn="0" w:lastRow="0" w:noHBand="0" w:noVBand="1" w:val="04A0"/>
      </w:tblPr>
      <w:tblGrid>
        <w:gridCol w:w="9936"/>
      </w:tblGrid>
      <w:tr>
        <w:tc>
          <w:tcPr>
            <w:tcW w:type="dxa" w:w="10166"/>
            <w:shd w:fill="FFF2CC"/>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7F6000"/>
                <w:sz w:val="22"/>
              </w:rPr>
              <w:t>Ana karar</w:t>
            </w:r>
          </w:p>
          <w:p>
            <w:pPr>
              <w:spacing w:after="0"/>
            </w:pPr>
            <w:r>
              <w:rPr>
                <w:rFonts w:ascii="Aptos" w:hAnsi="Aptos" w:eastAsia="Aptos"/>
                <w:b w:val="0"/>
                <w:i w:val="0"/>
                <w:color w:val="000000"/>
                <w:sz w:val="20"/>
              </w:rPr>
              <w:t>v2 yönü doğrudur; ancak doğrudan D6 uygulamasına geçmek yeniden çalışma üretir. Önce referans adayının BUCK dikey dilimine uygunluğu kapatılmalı, ardından sözleşme v2 ve referans intake birlikte tasarlanmalıdır. Önerilen iki aday mevcut kabul ölçütlerini tek başına karşılamıyor.</w:t>
            </w:r>
          </w:p>
        </w:tc>
      </w:tr>
    </w:tbl>
    <w:p>
      <w:pPr>
        <w:spacing w:after="0"/>
      </w:pPr>
    </w:p>
    <w:p>
      <w:pPr>
        <w:spacing w:before="200"/>
      </w:pPr>
      <w:r>
        <w:rPr>
          <w:rFonts w:ascii="Aptos" w:hAnsi="Aptos" w:eastAsia="Aptos"/>
          <w:b/>
          <w:i w:val="0"/>
          <w:color w:val="17365D"/>
          <w:sz w:val="22"/>
        </w:rPr>
        <w:t>Kısa sonuç</w:t>
      </w:r>
    </w:p>
    <w:p>
      <w:pPr>
        <w:pStyle w:val="ListBullet"/>
        <w:spacing w:after="50"/>
      </w:pPr>
      <w:r>
        <w:rPr>
          <w:rFonts w:ascii="Aptos" w:hAnsi="Aptos" w:eastAsia="Aptos"/>
          <w:b w:val="0"/>
          <w:i w:val="0"/>
          <w:color w:val="000000"/>
        </w:rPr>
        <w:t>Uzak CI artık NOT_RUN değildir; mevcut HEAD için iki Python sürümünde PASS’tir.</w:t>
      </w:r>
    </w:p>
    <w:p>
      <w:pPr>
        <w:pStyle w:val="ListBullet"/>
        <w:spacing w:after="50"/>
      </w:pPr>
      <w:r>
        <w:rPr>
          <w:rFonts w:ascii="Aptos" w:hAnsi="Aptos" w:eastAsia="Aptos"/>
          <w:b w:val="0"/>
          <w:i w:val="0"/>
          <w:color w:val="000000"/>
        </w:rPr>
        <w:t>Mevcut D5 intake yalnız REP-01 ve BUCK bağlamına sabittir; referans tasarımı doğrudan kabul edemez.</w:t>
      </w:r>
    </w:p>
    <w:p>
      <w:pPr>
        <w:pStyle w:val="ListBullet"/>
        <w:spacing w:after="50"/>
      </w:pPr>
      <w:r>
        <w:rPr>
          <w:rFonts w:ascii="Aptos" w:hAnsi="Aptos" w:eastAsia="Aptos"/>
          <w:b w:val="0"/>
          <w:i w:val="0"/>
          <w:color w:val="000000"/>
        </w:rPr>
        <w:t>REFERENCE_DESIGN ve PORTFOLIO_DECISION salt enum değeri olarak eklenmemeli; teknik güven semantiği ayrıştırılmalıdır.</w:t>
      </w:r>
    </w:p>
    <w:p>
      <w:pPr>
        <w:pStyle w:val="ListBullet"/>
        <w:spacing w:after="50"/>
      </w:pPr>
      <w:r>
        <w:rPr>
          <w:rFonts w:ascii="Aptos" w:hAnsi="Aptos" w:eastAsia="Aptos"/>
          <w:b w:val="0"/>
          <w:i w:val="0"/>
          <w:color w:val="000000"/>
        </w:rPr>
        <w:t>En kısa güvenli yol dört teknik oturum ve ayrı kullanıcı kontrollü yayın kapısıdır.</w:t>
      </w:r>
    </w:p>
    <w:p>
      <w:r>
        <w:br w:type="page"/>
      </w:r>
    </w:p>
    <w:p>
      <w:pPr>
        <w:pStyle w:val="Heading1"/>
      </w:pPr>
      <w:r>
        <w:t>1  İnceleme kapsamı ve yöntem</w:t>
      </w:r>
    </w:p>
    <w:p>
      <w:r>
        <w:t>İnceleme, Drive’daki revize raporları yalnız metin olarak okumakla sınırlı tutulmadı. v1 dosyalarıyla fark analizi, mevcut kod tabanıyla uygulanabilirlik denetimi, yerel ve uzak doğrulama kanıtı, aday referansların topoloji ve lisans uygunluğu birlikte kontrol edildi.</w:t>
      </w:r>
    </w:p>
    <w:p>
      <w:pPr>
        <w:pStyle w:val="Heading2"/>
      </w:pPr>
      <w:r>
        <w:t>İncelenen Drive kaynakları</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381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Dosya</w:t>
            </w:r>
          </w:p>
        </w:tc>
        <w:tc>
          <w:tcPr>
            <w:tcW w:type="dxa" w:w="309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Drive kimliği</w:t>
            </w:r>
          </w:p>
        </w:tc>
        <w:tc>
          <w:tcPr>
            <w:tcW w:type="dxa" w:w="1944"/>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Değiştirilme zamanı</w:t>
            </w:r>
          </w:p>
        </w:tc>
        <w:tc>
          <w:tcPr>
            <w:tcW w:type="dxa" w:w="1224"/>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Kontrol</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REP-02_Codex_Gorev_Plani_Pozisyon_Bazli_v2.docx</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1BBMwEU9fd1_MFZc_ON5AUbbLBWyP99no</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26.10.2026 14:56:42Z</w:t>
            </w:r>
          </w:p>
        </w:tc>
        <w:tc>
          <w:tcPr>
            <w:tcW w:type="dxa" w:w="2541"/>
            <w:shd w:fill="FFF2CC"/>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Tam metin okundu</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REP-02_Is_Akisi_Raporu_v2.docx</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1-VLt9jurFDLKP5SBNEwIL9MMWI2kWRj-</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26.10.2026 14:55:38Z</w:t>
            </w:r>
          </w:p>
        </w:tc>
        <w:tc>
          <w:tcPr>
            <w:tcW w:type="dxa" w:w="2541"/>
            <w:shd w:fill="FFF2CC"/>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Tam metin okundu</w:t>
            </w:r>
          </w:p>
        </w:tc>
      </w:tr>
    </w:tbl>
    <w:p>
      <w:pPr>
        <w:spacing w:after="20"/>
      </w:pPr>
    </w:p>
    <w:p>
      <w:pPr>
        <w:pStyle w:val="ReportCaption"/>
      </w:pPr>
      <w:r>
        <w:rPr>
          <w:rFonts w:ascii="Aptos" w:hAnsi="Aptos" w:eastAsia="Aptos"/>
          <w:b w:val="0"/>
          <w:i/>
          <w:color w:val="767171"/>
          <w:sz w:val="17"/>
        </w:rPr>
        <w:t>Not: Drive’da aynı adlı iki “Model Raporları” klasörü bulundu. Doğru hedef 15.10.2026 alt klasörünü içeren klasördür; diğerinde yalnız eski REP-01 v1 dosyası vardır.</w:t>
      </w:r>
    </w:p>
    <w:p>
      <w:pPr>
        <w:pStyle w:val="Heading2"/>
      </w:pPr>
      <w:r>
        <w:t>Karşılaştırma ve doğrulama adımları</w:t>
      </w:r>
    </w:p>
    <w:p>
      <w:pPr>
        <w:spacing w:after="50"/>
        <w:ind w:left="346" w:hanging="259"/>
      </w:pPr>
      <w:r>
        <w:rPr>
          <w:rFonts w:ascii="Aptos" w:hAnsi="Aptos" w:eastAsia="Aptos"/>
          <w:b/>
          <w:i w:val="0"/>
          <w:color w:val="17365D"/>
        </w:rPr>
        <w:t xml:space="preserve">1. </w:t>
      </w:r>
      <w:r>
        <w:rPr>
          <w:rFonts w:ascii="Aptos" w:hAnsi="Aptos" w:eastAsia="Aptos"/>
          <w:b w:val="0"/>
          <w:i w:val="0"/>
          <w:color w:val="000000"/>
        </w:rPr>
        <w:t>Yerel v1 görev planı DOCX ve iş akışı PDF’si metin olarak çıkarıldı; PDF’nin üç sayfası görsel olarak denetlendi.</w:t>
      </w:r>
    </w:p>
    <w:p>
      <w:pPr>
        <w:spacing w:after="50"/>
        <w:ind w:left="346" w:hanging="259"/>
      </w:pPr>
      <w:r>
        <w:rPr>
          <w:rFonts w:ascii="Aptos" w:hAnsi="Aptos" w:eastAsia="Aptos"/>
          <w:b/>
          <w:i w:val="0"/>
          <w:color w:val="17365D"/>
        </w:rPr>
        <w:t xml:space="preserve">2. </w:t>
      </w:r>
      <w:r>
        <w:rPr>
          <w:rFonts w:ascii="Aptos" w:hAnsi="Aptos" w:eastAsia="Aptos"/>
          <w:b w:val="0"/>
          <w:i w:val="0"/>
          <w:color w:val="000000"/>
        </w:rPr>
        <w:t>v1 ve v2 kapsamı, teslimat sırası, provenans, GAP ve release beklentileri karşılaştırıldı.</w:t>
      </w:r>
    </w:p>
    <w:p>
      <w:pPr>
        <w:spacing w:after="50"/>
        <w:ind w:left="346" w:hanging="259"/>
      </w:pPr>
      <w:r>
        <w:rPr>
          <w:rFonts w:ascii="Aptos" w:hAnsi="Aptos" w:eastAsia="Aptos"/>
          <w:b/>
          <w:i w:val="0"/>
          <w:color w:val="17365D"/>
        </w:rPr>
        <w:t xml:space="preserve">3. </w:t>
      </w:r>
      <w:r>
        <w:rPr>
          <w:rFonts w:ascii="Aptos" w:hAnsi="Aptos" w:eastAsia="Aptos"/>
          <w:b w:val="0"/>
          <w:i w:val="0"/>
          <w:color w:val="000000"/>
        </w:rPr>
        <w:t>Depodaki şemalar, doğrulayıcılar, intake, motorlar, sürüm, lisans, kanıt ve CI yapılandırması incelendi.</w:t>
      </w:r>
    </w:p>
    <w:p>
      <w:pPr>
        <w:spacing w:after="50"/>
        <w:ind w:left="346" w:hanging="259"/>
      </w:pPr>
      <w:r>
        <w:rPr>
          <w:rFonts w:ascii="Aptos" w:hAnsi="Aptos" w:eastAsia="Aptos"/>
          <w:b/>
          <w:i w:val="0"/>
          <w:color w:val="17365D"/>
        </w:rPr>
        <w:t xml:space="preserve">4. </w:t>
      </w:r>
      <w:r>
        <w:rPr>
          <w:rFonts w:ascii="Aptos" w:hAnsi="Aptos" w:eastAsia="Aptos"/>
          <w:b w:val="0"/>
          <w:i w:val="0"/>
          <w:color w:val="000000"/>
        </w:rPr>
        <w:t>Testler yazılabilir bir TEMP/TMP alanıyla yeniden çalıştırıldı; 404 testin tamamı geçti.</w:t>
      </w:r>
    </w:p>
    <w:p>
      <w:pPr>
        <w:spacing w:after="50"/>
        <w:ind w:left="346" w:hanging="259"/>
      </w:pPr>
      <w:r>
        <w:rPr>
          <w:rFonts w:ascii="Aptos" w:hAnsi="Aptos" w:eastAsia="Aptos"/>
          <w:b/>
          <w:i w:val="0"/>
          <w:color w:val="17365D"/>
        </w:rPr>
        <w:t xml:space="preserve">5. </w:t>
      </w:r>
      <w:r>
        <w:rPr>
          <w:rFonts w:ascii="Aptos" w:hAnsi="Aptos" w:eastAsia="Aptos"/>
          <w:b w:val="0"/>
          <w:i w:val="0"/>
          <w:color w:val="000000"/>
        </w:rPr>
        <w:t>Aynı commit için GitHub Actions koşusu ve uzak dal/tag durumu doğrulandı.</w:t>
      </w:r>
    </w:p>
    <w:p>
      <w:pPr>
        <w:spacing w:after="50"/>
        <w:ind w:left="346" w:hanging="259"/>
      </w:pPr>
      <w:r>
        <w:rPr>
          <w:rFonts w:ascii="Aptos" w:hAnsi="Aptos" w:eastAsia="Aptos"/>
          <w:b/>
          <w:i w:val="0"/>
          <w:color w:val="17365D"/>
        </w:rPr>
        <w:t xml:space="preserve">6. </w:t>
      </w:r>
      <w:r>
        <w:rPr>
          <w:rFonts w:ascii="Aptos" w:hAnsi="Aptos" w:eastAsia="Aptos"/>
          <w:b w:val="0"/>
          <w:i w:val="0"/>
          <w:color w:val="000000"/>
        </w:rPr>
        <w:t>TIDA-01167 ve blinken/vandal adayları resmî/özgün kaynaklardan topoloji, exact parça, veri kapsamı ve lisans yönleriyle kontrol edildi.</w:t>
      </w:r>
    </w:p>
    <w:p>
      <w:pPr>
        <w:pStyle w:val="Heading2"/>
      </w:pPr>
      <w:r>
        <w:t>v1 kaynak bütünlüğü</w:t>
      </w:r>
    </w:p>
    <w:tbl>
      <w:tblPr>
        <w:tblStyle w:val="TableGrid"/>
        <w:tblW w:type="auto" w:w="0"/>
        <w:tblLayout w:type="fixed"/>
        <w:tblLook w:firstColumn="1" w:firstRow="1" w:lastColumn="0" w:lastRow="0" w:noHBand="0" w:noVBand="1" w:val="04A0"/>
      </w:tblPr>
      <w:tblGrid>
        <w:gridCol w:w="5083"/>
        <w:gridCol w:w="5083"/>
      </w:tblGrid>
      <w:tr>
        <w:trPr>
          <w:tblHeader w:val="true"/>
          <w:cantSplit/>
        </w:trPr>
        <w:tc>
          <w:tcPr>
            <w:tcW w:type="dxa" w:w="496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Kaynak</w:t>
            </w:r>
          </w:p>
        </w:tc>
        <w:tc>
          <w:tcPr>
            <w:tcW w:type="dxa" w:w="511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SHA-256</w:t>
            </w:r>
          </w:p>
        </w:tc>
      </w:tr>
      <w:tr>
        <w:trPr>
          <w:cantSplit/>
        </w:trPr>
        <w:tc>
          <w:tcPr>
            <w:tcW w:type="dxa" w:w="5083"/>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REP-02_Codex_Gorev_Plani_Pozisyon_Bazli_v1.docx</w:t>
            </w:r>
          </w:p>
        </w:tc>
        <w:tc>
          <w:tcPr>
            <w:tcW w:type="dxa" w:w="5083"/>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4bda03ab4cc4659dac82702a82151e37d334b1ab521ff4d2929287f189996ddc</w:t>
            </w:r>
          </w:p>
        </w:tc>
      </w:tr>
      <w:tr>
        <w:trPr>
          <w:cantSplit/>
        </w:trPr>
        <w:tc>
          <w:tcPr>
            <w:tcW w:type="dxa" w:w="5083"/>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REP-02_Is_Akisi_Raporu_v1.pdf</w:t>
            </w:r>
          </w:p>
        </w:tc>
        <w:tc>
          <w:tcPr>
            <w:tcW w:type="dxa" w:w="5083"/>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8de25abf459731668399f72dadd720937fe6706b2ec5dc30c7b3cffe9ef71b27</w:t>
            </w:r>
          </w:p>
        </w:tc>
      </w:tr>
    </w:tbl>
    <w:p>
      <w:pPr>
        <w:spacing w:after="20"/>
      </w:pPr>
    </w:p>
    <w:p>
      <w:r>
        <w:br w:type="page"/>
      </w:r>
    </w:p>
    <w:p>
      <w:pPr>
        <w:pStyle w:val="Heading1"/>
      </w:pPr>
      <w:r>
        <w:t>2  Yönetici bulguları</w:t>
      </w:r>
    </w:p>
    <w:tbl>
      <w:tblPr>
        <w:tblW w:type="auto" w:w="0"/>
        <w:tblLayout w:type="fixed"/>
        <w:tblLook w:firstColumn="1" w:firstRow="1" w:lastColumn="0" w:lastRow="0" w:noHBand="0" w:noVBand="1" w:val="04A0"/>
      </w:tblPr>
      <w:tblGrid>
        <w:gridCol w:w="9936"/>
      </w:tblGrid>
      <w:tr>
        <w:tc>
          <w:tcPr>
            <w:tcW w:type="dxa" w:w="10166"/>
            <w:shd w:fill="E2F0D9"/>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375623"/>
                <w:sz w:val="22"/>
              </w:rPr>
              <w:t>Sonuç</w:t>
            </w:r>
          </w:p>
          <w:p>
            <w:pPr>
              <w:spacing w:after="0"/>
            </w:pPr>
            <w:r>
              <w:rPr>
                <w:rFonts w:ascii="Aptos" w:hAnsi="Aptos" w:eastAsia="Aptos"/>
                <w:b w:val="0"/>
                <w:i w:val="0"/>
                <w:color w:val="000000"/>
                <w:sz w:val="20"/>
              </w:rPr>
              <w:t>Revizyonlar projenin yönünü sentetik MVP’den yayımlanmış bir referans veri kümesiyle tekrarlanabilir doğrulamaya çevirmesi bakımından değerlidir. Ancak raporlardaki mevcut aday seçimi, intake varsayımları ve kaynak sınıflandırması birlikte ele alınmadığı için doğrudan uygulama aşamasına geçilmemelidir.</w:t>
            </w:r>
          </w:p>
        </w:tc>
      </w:tr>
    </w:tbl>
    <w:p>
      <w:pPr>
        <w:spacing w:after="0"/>
      </w:pP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Kontrol alanı</w:t>
            </w:r>
          </w:p>
        </w:tc>
        <w:tc>
          <w:tcPr>
            <w:tcW w:type="dxa" w:w="352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Doğrulanan durum</w:t>
            </w:r>
          </w:p>
        </w:tc>
        <w:tc>
          <w:tcPr>
            <w:tcW w:type="dxa" w:w="3384"/>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Etki</w:t>
            </w:r>
          </w:p>
        </w:tc>
        <w:tc>
          <w:tcPr>
            <w:tcW w:type="dxa" w:w="136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Durum</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D1–D4 ve D5</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D1–D4 teslimatları ve D5 intake mevcut</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Yeni iş mevcut taban üzerine eklenebilir</w:t>
            </w:r>
          </w:p>
        </w:tc>
        <w:tc>
          <w:tcPr>
            <w:tcW w:type="dxa" w:w="2541"/>
            <w:shd w:fill="E2F0D9"/>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PASS</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Test tabanı</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404/404 yerel PASS</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Regresyon tabanı güvenilir</w:t>
            </w:r>
          </w:p>
        </w:tc>
        <w:tc>
          <w:tcPr>
            <w:tcW w:type="dxa" w:w="2541"/>
            <w:shd w:fill="E2F0D9"/>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PASS</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Uzak CI</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GitHub Actions Python 3.9/3.12 PASS</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v2 rapordaki NOT_RUN bilgisi güncel değil</w:t>
            </w:r>
          </w:p>
        </w:tc>
        <w:tc>
          <w:tcPr>
            <w:tcW w:type="dxa" w:w="2541"/>
            <w:shd w:fill="E2F0D9"/>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PASS</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Sözleşme v2</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Şema 1.0.0 ve eski provenans kodda sabit</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Dual-version tasarım gerekir</w:t>
            </w:r>
          </w:p>
        </w:tc>
        <w:tc>
          <w:tcPr>
            <w:tcW w:type="dxa" w:w="2541"/>
            <w:shd w:fill="FCE4D6"/>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EKSİK</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Referans intake</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REP-01, PROJECT/TEST ve BUCK alanlarına sabit</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Harici referans doğrudan alınamaz</w:t>
            </w:r>
          </w:p>
        </w:tc>
        <w:tc>
          <w:tcPr>
            <w:tcW w:type="dxa" w:w="2541"/>
            <w:shd w:fill="FCE4D6"/>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UYUMSUZ</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Aday referans</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İki aday da exact BUCK dikey dilimini karşılamıyor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Aday kapısı olmadan yeniden iş riski</w:t>
            </w:r>
          </w:p>
        </w:tc>
        <w:tc>
          <w:tcPr>
            <w:tcW w:type="dxa" w:w="2541"/>
            <w:shd w:fill="FCE4D6"/>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BLOK</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Yönetişim</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AGENTS.md yok</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D4 freeze ve sürüm kuralları yazılı değil</w:t>
            </w:r>
          </w:p>
        </w:tc>
        <w:tc>
          <w:tcPr>
            <w:tcW w:type="dxa" w:w="2541"/>
            <w:shd w:fill="FCE4D6"/>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EKSİK</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Lisans ve release</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Proprietary/all rights reserved; tag/release yok</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Teknik D6 ilerleyebilir, yayın bloke</w:t>
            </w:r>
          </w:p>
        </w:tc>
        <w:tc>
          <w:tcPr>
            <w:tcW w:type="dxa" w:w="2541"/>
            <w:shd w:fill="FFF2CC"/>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i w:val="0"/>
                <w:color w:val="000000"/>
                <w:sz w:val="16"/>
              </w:rPr>
              <w:t>KARAR GEREKİYOR</w:t>
            </w:r>
          </w:p>
        </w:tc>
      </w:tr>
    </w:tbl>
    <w:p>
      <w:pPr>
        <w:spacing w:after="20"/>
      </w:pPr>
    </w:p>
    <w:p>
      <w:pPr>
        <w:pStyle w:val="Heading2"/>
      </w:pPr>
      <w:r>
        <w:t>Öncelik sırası</w:t>
      </w:r>
    </w:p>
    <w:p>
      <w:pPr>
        <w:spacing w:after="50"/>
        <w:ind w:left="346" w:hanging="259"/>
      </w:pPr>
      <w:r>
        <w:rPr>
          <w:rFonts w:ascii="Aptos" w:hAnsi="Aptos" w:eastAsia="Aptos"/>
          <w:b/>
          <w:i w:val="0"/>
          <w:color w:val="17365D"/>
        </w:rPr>
        <w:t xml:space="preserve">1. </w:t>
      </w:r>
      <w:r>
        <w:rPr>
          <w:rFonts w:ascii="Aptos" w:hAnsi="Aptos" w:eastAsia="Aptos"/>
          <w:b w:val="0"/>
          <w:i w:val="0"/>
          <w:color w:val="000000"/>
        </w:rPr>
        <w:t>Kod yazmadan önce yeni bir exact BUCK referansı seç veya D6 kapsamını açıkça buck dışına çıkarma kararı al.</w:t>
      </w:r>
    </w:p>
    <w:p>
      <w:pPr>
        <w:spacing w:after="50"/>
        <w:ind w:left="346" w:hanging="259"/>
      </w:pPr>
      <w:r>
        <w:rPr>
          <w:rFonts w:ascii="Aptos" w:hAnsi="Aptos" w:eastAsia="Aptos"/>
          <w:b/>
          <w:i w:val="0"/>
          <w:color w:val="17365D"/>
        </w:rPr>
        <w:t xml:space="preserve">2. </w:t>
      </w:r>
      <w:r>
        <w:rPr>
          <w:rFonts w:ascii="Aptos" w:hAnsi="Aptos" w:eastAsia="Aptos"/>
          <w:b w:val="0"/>
          <w:i w:val="0"/>
          <w:color w:val="000000"/>
        </w:rPr>
        <w:t>Sözleşme v2 ile referans intake tasarımını birlikte dondur; provenance ve evidence context kavramlarını ayır.</w:t>
      </w:r>
    </w:p>
    <w:p>
      <w:pPr>
        <w:spacing w:after="50"/>
        <w:ind w:left="346" w:hanging="259"/>
      </w:pPr>
      <w:r>
        <w:rPr>
          <w:rFonts w:ascii="Aptos" w:hAnsi="Aptos" w:eastAsia="Aptos"/>
          <w:b/>
          <w:i w:val="0"/>
          <w:color w:val="17365D"/>
        </w:rPr>
        <w:t xml:space="preserve">3. </w:t>
      </w:r>
      <w:r>
        <w:rPr>
          <w:rFonts w:ascii="Aptos" w:hAnsi="Aptos" w:eastAsia="Aptos"/>
          <w:b w:val="0"/>
          <w:i w:val="0"/>
          <w:color w:val="000000"/>
        </w:rPr>
        <w:t>Mevcut motorları değiştirmeden minimum statik dikey dilimi çalıştır; desteklenmeyen transient/stability adımlarını NOT_RUN tut.</w:t>
      </w:r>
    </w:p>
    <w:p>
      <w:pPr>
        <w:spacing w:after="50"/>
        <w:ind w:left="346" w:hanging="259"/>
      </w:pPr>
      <w:r>
        <w:rPr>
          <w:rFonts w:ascii="Aptos" w:hAnsi="Aptos" w:eastAsia="Aptos"/>
          <w:b/>
          <w:i w:val="0"/>
          <w:color w:val="17365D"/>
        </w:rPr>
        <w:t xml:space="preserve">4. </w:t>
      </w:r>
      <w:r>
        <w:rPr>
          <w:rFonts w:ascii="Aptos" w:hAnsi="Aptos" w:eastAsia="Aptos"/>
          <w:b w:val="0"/>
          <w:i w:val="0"/>
          <w:color w:val="000000"/>
        </w:rPr>
        <w:t>REP02-D6 kanıtını yeni alanda üret; D4/D5 kanıtlarını tarihsel checkpoint olarak koru.</w:t>
      </w:r>
    </w:p>
    <w:p>
      <w:pPr>
        <w:spacing w:after="50"/>
        <w:ind w:left="346" w:hanging="259"/>
      </w:pPr>
      <w:r>
        <w:rPr>
          <w:rFonts w:ascii="Aptos" w:hAnsi="Aptos" w:eastAsia="Aptos"/>
          <w:b/>
          <w:i w:val="0"/>
          <w:color w:val="17365D"/>
        </w:rPr>
        <w:t xml:space="preserve">5. </w:t>
      </w:r>
      <w:r>
        <w:rPr>
          <w:rFonts w:ascii="Aptos" w:hAnsi="Aptos" w:eastAsia="Aptos"/>
          <w:b w:val="0"/>
          <w:i w:val="0"/>
          <w:color w:val="000000"/>
        </w:rPr>
        <w:t>Yeni commit için CI çalıştır; lisans, tag ve release’i kullanıcı kontrollü son kapı olarak uygula.</w:t>
      </w:r>
    </w:p>
    <w:p>
      <w:r>
        <w:br w:type="page"/>
      </w:r>
    </w:p>
    <w:p>
      <w:pPr>
        <w:pStyle w:val="Heading1"/>
      </w:pPr>
      <w:r>
        <w:t>3  v1’den v2’ye değişiklik ve etki matrisi</w:t>
      </w:r>
    </w:p>
    <w:p>
      <w:r>
        <w:t>Aşağıdaki matris, revizyonların yalnız metinsel farkını değil, mevcut uygulamada hangi tasarım veya kontrol değişikliğini zorunlu kıldığını gösterir.</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Alan</w:t>
            </w:r>
          </w:p>
        </w:tc>
        <w:tc>
          <w:tcPr>
            <w:tcW w:type="dxa" w:w="309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v2 değişikliği</w:t>
            </w:r>
          </w:p>
        </w:tc>
        <w:tc>
          <w:tcPr>
            <w:tcW w:type="dxa" w:w="288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Mevcut gerçeklik</w:t>
            </w:r>
          </w:p>
        </w:tc>
        <w:tc>
          <w:tcPr>
            <w:tcW w:type="dxa" w:w="2664"/>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Gerekli karşılık</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Ürün hedefi</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Sentetik MVP’den yayımlanmış referans dikey dilimine ve D6’ya geçiş</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D1–D5 uygulanmış; gerçek referans paketi yok</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Önce aday uygunluk kapısı, sonra minimum D6</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Kaynak sınıfları</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REFERENCE_DESIGN ve PORTFOLIO_DECISION</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Altı eski sınıf ve 1.0.0 sabit</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Yan yana v2 şemaları, sürüm dispatcher’ı ve ayrık evidence context</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Provenans</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Commit/revizyon, SHA-256, lisans, sayfa/satır ve lock</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Motorlar kendi güven kümelerini ayrı tutuyor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Merkezi güven politikası ve kaynağa özgü locator yapısı</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Intake</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Referans tasarım lock ve extraction akışı</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 kimliği, rol adları, origin ve BUCK sabit</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REFERENCE_DESIGN subject türü ve harici kaynak doğrulama yolu</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Motorlar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Mevcut rail/sequence/fault/review motorlarını referans girdisiyle çalıştırma</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Motorlar v1 sözleşmesine ve eski provenance’a bağlı</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Doğrulanmış hata yoksa motor mantığı değişmeden adaptasyon</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Regülatör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Exact part, revizyonlu datasheet ve lisanslı model</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 exact part/model eksikliği sürüyor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Static review ile model/transient kapılarını ayır</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 kapanışı</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GAP-02/03 referans için kapanabilir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 kayıtları global yorumlanmaya açık</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 kimliğini subject/reference scope ile bağla</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Kanıt</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D6 manifest ve byte determinism</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D4/D5 tarihsel kanıtı mevcut</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REP02-D6 altında kanonik JSON ve göreli yollar</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Yayın</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CI, lisans, tag ve release</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CI PASS; lisans/tag/release açık</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CI bilgisini düzelt; lisansı release kapısı yap</w:t>
            </w:r>
          </w:p>
        </w:tc>
      </w:tr>
    </w:tbl>
    <w:p>
      <w:pPr>
        <w:spacing w:after="20"/>
      </w:pPr>
    </w:p>
    <w:tbl>
      <w:tblPr>
        <w:tblW w:type="auto" w:w="0"/>
        <w:tblLayout w:type="fixed"/>
        <w:tblLook w:firstColumn="1" w:firstRow="1" w:lastColumn="0" w:lastRow="0" w:noHBand="0" w:noVBand="1" w:val="04A0"/>
      </w:tblPr>
      <w:tblGrid>
        <w:gridCol w:w="9936"/>
      </w:tblGrid>
      <w:tr>
        <w:tc>
          <w:tcPr>
            <w:tcW w:type="dxa" w:w="10166"/>
            <w:shd w:fill="FFF2CC"/>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7F6000"/>
                <w:sz w:val="22"/>
              </w:rPr>
              <w:t>Önemli semantik düzeltme</w:t>
            </w:r>
          </w:p>
          <w:p>
            <w:pPr>
              <w:spacing w:after="0"/>
            </w:pPr>
            <w:r>
              <w:rPr>
                <w:rFonts w:ascii="Aptos" w:hAnsi="Aptos" w:eastAsia="Aptos"/>
                <w:b w:val="0"/>
                <w:i w:val="0"/>
                <w:color w:val="000000"/>
                <w:sz w:val="20"/>
              </w:rPr>
              <w:t>REFERENCE_DESIGN ve PORTFOLIO_DECISION, SOURCE_EXPLICIT veya DERIVED gibi bir değerin nasıl üretildiğini değil hangi bağlamda kullanıldığını tanımlar. Bu nedenle v2’de düz enum genişletmesi yerine provenance türü ile evidence context ayrılmalıdır. Aksi halde referanstan hesaplanan bir değer aynı anda hem DERIVED hem REFERENCE_DESIGN olamaz.</w:t>
            </w:r>
          </w:p>
        </w:tc>
      </w:tr>
    </w:tbl>
    <w:p>
      <w:pPr>
        <w:spacing w:after="0"/>
      </w:pPr>
    </w:p>
    <w:p>
      <w:r>
        <w:br w:type="page"/>
      </w:r>
    </w:p>
    <w:p>
      <w:pPr>
        <w:pStyle w:val="Heading1"/>
      </w:pPr>
      <w:r>
        <w:t>4  Mevcut depo uyum denetimi</w:t>
      </w:r>
    </w:p>
    <w:p>
      <w:pPr>
        <w:pStyle w:val="Heading2"/>
      </w:pPr>
      <w:r>
        <w:t>Doğrulama özeti</w:t>
      </w:r>
    </w:p>
    <w:p>
      <w:r>
        <w:t>Yerel main dalı ile origin/main aynı committe bulundu. Testler, Windows varsayılan geçici klasör izinlerinden kaynaklanan çevresel hata giderilerek yazılabilir TEMP/TMP alanında tekrarlandı; kod kusuru olmaksızın 404 test geçti. Aynı commit için uzak CI de başarılıdır.</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208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Kanıt</w:t>
            </w:r>
          </w:p>
        </w:tc>
        <w:tc>
          <w:tcPr>
            <w:tcW w:type="dxa" w:w="468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Değer</w:t>
            </w:r>
          </w:p>
        </w:tc>
        <w:tc>
          <w:tcPr>
            <w:tcW w:type="dxa" w:w="331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Yorum</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Yerel ve uzak HEAD</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66f20739feae5689cbc4620fb38ee7817796c2e9</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Eşleşiyor</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Commit özeti</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feat: add D5 project intake and NCS-01 validation</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D5 tabanı mevcut</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Yerel test</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Ran 404 tests · OK</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Yazılabilir TEMP/TMP ile</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GitHub Actions</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Run 40094625985 · Python 3.9 ve 3.12 PASS</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Mevcut HEAD için</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Paket sürümü</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0.6.0.dev0</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D6 hazırlık sürümü</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D4 dağıtım sürümü</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0.5.0</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Dondurulmuş artifact seti</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Tag/release</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Yok</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Kullanıcı onayı ve lisans kararı bekler</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AGENTS.md</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Yok</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v2 yönetişim gereksinimi karşılanmıyor</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references/</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Yok</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Henüz aday lock/extraction paketi üretilmemiş</w:t>
            </w:r>
          </w:p>
        </w:tc>
      </w:tr>
    </w:tbl>
    <w:p>
      <w:pPr>
        <w:spacing w:after="20"/>
      </w:pPr>
    </w:p>
    <w:p>
      <w:pPr>
        <w:pStyle w:val="Heading2"/>
      </w:pPr>
      <w:r>
        <w:t>Neden intake v2 zorunlu</w:t>
      </w:r>
    </w:p>
    <w:p>
      <w:r>
        <w:t>Mevcut project_intake, REP-01’i genel bir örnek olarak değil sözleşmenin kimliği olarak kodlar. scope yalnız PROJECT veya TEST, artefact rolleri REP01_* adları, origin kümeleri REP01_PROJECT ve birkaç üretici/test sınıfıyla sınırlıdır. Ayrıca repo içi committed byte eşliği varsayar. Bu yapı; harici Git commit’i, PDF revizyonu veya yeniden dağıtılamayan kullanıcı-sağlanan kaynağı güvenli biçimde temsil edemez.</w:t>
      </w:r>
    </w:p>
    <w:p>
      <w:pPr>
        <w:pStyle w:val="ListBullet"/>
        <w:spacing w:after="50"/>
      </w:pPr>
      <w:r>
        <w:rPr>
          <w:rFonts w:ascii="Aptos" w:hAnsi="Aptos" w:eastAsia="Aptos"/>
          <w:b w:val="0"/>
          <w:i w:val="0"/>
          <w:color w:val="000000"/>
        </w:rPr>
        <w:t>V1 davranışı değiştirilmeden korunmalı; REP-01 D5 doğrulaması aynı sonuçları üretmeye devam etmelidir.</w:t>
      </w:r>
    </w:p>
    <w:p>
      <w:pPr>
        <w:pStyle w:val="ListBullet"/>
        <w:spacing w:after="50"/>
      </w:pPr>
      <w:r>
        <w:rPr>
          <w:rFonts w:ascii="Aptos" w:hAnsi="Aptos" w:eastAsia="Aptos"/>
          <w:b w:val="0"/>
          <w:i w:val="0"/>
          <w:color w:val="000000"/>
        </w:rPr>
        <w:t>V2 dispatch, subject.kind = REP01 | REFERENCE_DESIGN ayrımını ve referans kimliğini taşımalıdır.</w:t>
      </w:r>
    </w:p>
    <w:p>
      <w:pPr>
        <w:pStyle w:val="ListBullet"/>
        <w:spacing w:after="50"/>
      </w:pPr>
      <w:r>
        <w:rPr>
          <w:rFonts w:ascii="Aptos" w:hAnsi="Aptos" w:eastAsia="Aptos"/>
          <w:b w:val="0"/>
          <w:i w:val="0"/>
          <w:color w:val="000000"/>
        </w:rPr>
        <w:t>Harici kaynak byte’larını repoya kopyalamadan commit/blob veya yerel dosya hash doğrulaması desteklenmelidir.</w:t>
      </w:r>
    </w:p>
    <w:p>
      <w:pPr>
        <w:pStyle w:val="Heading2"/>
      </w:pPr>
      <w:r>
        <w:t>D4 ve D5 koruma ankrajları</w:t>
      </w:r>
    </w:p>
    <w:tbl>
      <w:tblPr>
        <w:tblStyle w:val="TableGrid"/>
        <w:tblW w:type="auto" w:w="0"/>
        <w:tblLayout w:type="fixed"/>
        <w:tblLook w:firstColumn="1" w:firstRow="1" w:lastColumn="0" w:lastRow="0" w:noHBand="0" w:noVBand="1" w:val="04A0"/>
      </w:tblPr>
      <w:tblGrid>
        <w:gridCol w:w="5083"/>
        <w:gridCol w:w="5083"/>
      </w:tblGrid>
      <w:tr>
        <w:trPr>
          <w:tblHeader w:val="true"/>
          <w:cantSplit/>
        </w:trPr>
        <w:tc>
          <w:tcPr>
            <w:tcW w:type="dxa" w:w="288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Artifact</w:t>
            </w:r>
          </w:p>
        </w:tc>
        <w:tc>
          <w:tcPr>
            <w:tcW w:type="dxa" w:w="720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SHA-256</w:t>
            </w:r>
          </w:p>
        </w:tc>
      </w:tr>
      <w:tr>
        <w:trPr>
          <w:cantSplit/>
        </w:trPr>
        <w:tc>
          <w:tcPr>
            <w:tcW w:type="dxa" w:w="5083"/>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D4 wheel</w:t>
            </w:r>
          </w:p>
        </w:tc>
        <w:tc>
          <w:tcPr>
            <w:tcW w:type="dxa" w:w="5083"/>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27ba10f6e14345c39f70241e56abd67469eb7e8130dc6a0abfdb37ca1a8c5027</w:t>
            </w:r>
          </w:p>
        </w:tc>
      </w:tr>
      <w:tr>
        <w:trPr>
          <w:cantSplit/>
        </w:trPr>
        <w:tc>
          <w:tcPr>
            <w:tcW w:type="dxa" w:w="5083"/>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D4 sdist</w:t>
            </w:r>
          </w:p>
        </w:tc>
        <w:tc>
          <w:tcPr>
            <w:tcW w:type="dxa" w:w="5083"/>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8f0e7da652ffba7307a122442a4d314e686696f1969392b341a9de49701e27a8</w:t>
            </w:r>
          </w:p>
        </w:tc>
      </w:tr>
      <w:tr>
        <w:trPr>
          <w:cantSplit/>
        </w:trPr>
        <w:tc>
          <w:tcPr>
            <w:tcW w:type="dxa" w:w="5083"/>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D4 manifest</w:t>
            </w:r>
          </w:p>
        </w:tc>
        <w:tc>
          <w:tcPr>
            <w:tcW w:type="dxa" w:w="5083"/>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5fcbf70de457386f220ca22e86f1168350bfb37219bb1a799bb51ec6f55b4176</w:t>
            </w:r>
          </w:p>
        </w:tc>
      </w:tr>
    </w:tbl>
    <w:p>
      <w:pPr>
        <w:spacing w:after="20"/>
      </w:pPr>
    </w:p>
    <w:p>
      <w:pPr>
        <w:pStyle w:val="ReportCaption"/>
      </w:pPr>
      <w:r>
        <w:rPr>
          <w:rFonts w:ascii="Aptos" w:hAnsi="Aptos" w:eastAsia="Aptos"/>
          <w:b w:val="0"/>
          <w:i/>
          <w:color w:val="767171"/>
          <w:sz w:val="17"/>
        </w:rPr>
        <w:t>D5 kanıtı tarihsel checkpoint olarak korunmalı; sözleşme v2 ve referans dilimi sonuçları evidence/REP02-D6 altında üretilmelidir.</w:t>
      </w:r>
    </w:p>
    <w:p>
      <w:r>
        <w:br w:type="page"/>
      </w:r>
    </w:p>
    <w:p>
      <w:pPr>
        <w:pStyle w:val="Heading1"/>
      </w:pPr>
      <w:r>
        <w:t>5  Referans adayları uygunluk denetimi</w:t>
      </w:r>
    </w:p>
    <w:tbl>
      <w:tblPr>
        <w:tblW w:type="auto" w:w="0"/>
        <w:tblLayout w:type="fixed"/>
        <w:tblLook w:firstColumn="1" w:firstRow="1" w:lastColumn="0" w:lastRow="0" w:noHBand="0" w:noVBand="1" w:val="04A0"/>
      </w:tblPr>
      <w:tblGrid>
        <w:gridCol w:w="9936"/>
      </w:tblGrid>
      <w:tr>
        <w:tc>
          <w:tcPr>
            <w:tcW w:type="dxa" w:w="10166"/>
            <w:shd w:fill="FCE4D6"/>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9C0006"/>
                <w:sz w:val="22"/>
              </w:rPr>
              <w:t>Durdurucu bulgu</w:t>
            </w:r>
          </w:p>
          <w:p>
            <w:pPr>
              <w:spacing w:after="0"/>
            </w:pPr>
            <w:r>
              <w:rPr>
                <w:rFonts w:ascii="Aptos" w:hAnsi="Aptos" w:eastAsia="Aptos"/>
                <w:b w:val="0"/>
                <w:i w:val="0"/>
                <w:color w:val="000000"/>
                <w:sz w:val="20"/>
              </w:rPr>
              <w:t>Raporlarda adı geçen TIDA-01167 ve blinken/vandal adaylarının hiçbiri mevcut BUCK intake ile exact 5 V buck dikey dilimini karşılamıyor. Birini zorlamak ya kapsamı büyütür ya da kabul ölçütünü zayıflatır.</w:t>
            </w:r>
          </w:p>
        </w:tc>
      </w:tr>
    </w:tbl>
    <w:p>
      <w:pPr>
        <w:spacing w:after="0"/>
      </w:pP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Ölçüt</w:t>
            </w:r>
          </w:p>
        </w:tc>
        <w:tc>
          <w:tcPr>
            <w:tcW w:type="dxa" w:w="295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TI TIDA-01167</w:t>
            </w:r>
          </w:p>
        </w:tc>
        <w:tc>
          <w:tcPr>
            <w:tcW w:type="dxa" w:w="295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blinken/vandal</w:t>
            </w:r>
          </w:p>
        </w:tc>
        <w:tc>
          <w:tcPr>
            <w:tcW w:type="dxa" w:w="237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Karar</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Tasarım amacı</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12/24 V otomotiv akü giriş koruması</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12–24 V girişli KiCad kontrol kartı</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BUCK dilimi değil</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Ana güç elemanı</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LM5060Q1MMX/NOPB koruma; TPS7A1650DGNR LDO</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Genel LM7805_TO220; BD33IA5WEFJ-E2 LDO</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Exact buck yok</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Exact üretici + MPN</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Parçalar exact olsa da hedef 5 V buck değil</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5 V regülatör generic; 3.3 V LDO exact</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v2 ölçütünü karşılamıyor</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Rail/load/verim verisi</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Koruma odaklı ölçüm seti</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BOM/şema var; yayımlanmış doğrulama seti sınırlı</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Doğrudan kıyas eksik</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EN/PGOOD/soft-start</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Buck sequence kapsamı değil</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PGOOD/soft-start dikey zinciri yok</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Sequence kapsamı eksik</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Lisans/kullanım</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TI kullanım bildirimi; açık kaynak varsayılmaz</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GPL-3.0; exact commit sabitlenebilir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Ham dosya dağıtımı ayrı karar</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Mevcut intake uyumu</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REP-01/BUCK sözleşmesiyle uyumsuz</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REP-01/BUCK sözleşmesiyle uyumsuz</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Intake v2 zorunlu</w:t>
            </w:r>
          </w:p>
        </w:tc>
      </w:tr>
    </w:tbl>
    <w:p>
      <w:pPr>
        <w:spacing w:after="20"/>
      </w:pPr>
    </w:p>
    <w:p>
      <w:pPr>
        <w:pStyle w:val="Heading2"/>
      </w:pPr>
      <w:r>
        <w:t>Önerilen aday kapısı</w:t>
      </w:r>
    </w:p>
    <w:p>
      <w:r>
        <w:t>Yeni aday seçimi yalnız dosyanın indirilebilmesiyle tamamlanmamalı. Aşağıdaki maddeler tek bir reference_id altında kanıtlanmadan extraction veya fixture üretimine başlanmamalıdır.</w:t>
      </w:r>
    </w:p>
    <w:p>
      <w:pPr>
        <w:pStyle w:val="ListBullet"/>
        <w:spacing w:after="50"/>
      </w:pPr>
      <w:r>
        <w:rPr>
          <w:rFonts w:ascii="Aptos" w:hAnsi="Aptos" w:eastAsia="Aptos"/>
          <w:b w:val="0"/>
          <w:i w:val="0"/>
          <w:color w:val="000000"/>
        </w:rPr>
        <w:t>Gerçek buck topolojisi ve exact üretici + MPN.</w:t>
      </w:r>
    </w:p>
    <w:p>
      <w:pPr>
        <w:pStyle w:val="ListBullet"/>
        <w:spacing w:after="50"/>
      </w:pPr>
      <w:r>
        <w:rPr>
          <w:rFonts w:ascii="Aptos" w:hAnsi="Aptos" w:eastAsia="Aptos"/>
          <w:b w:val="0"/>
          <w:i w:val="0"/>
          <w:color w:val="000000"/>
        </w:rPr>
        <w:t>Sabit commit veya belge revizyonu; exact path/blob ya da PDF SHA-256.</w:t>
      </w:r>
    </w:p>
    <w:p>
      <w:pPr>
        <w:pStyle w:val="ListBullet"/>
        <w:spacing w:after="50"/>
      </w:pPr>
      <w:r>
        <w:rPr>
          <w:rFonts w:ascii="Aptos" w:hAnsi="Aptos" w:eastAsia="Aptos"/>
          <w:b w:val="0"/>
          <w:i w:val="0"/>
          <w:color w:val="000000"/>
        </w:rPr>
        <w:t>Açık VIN, VOUT, yük ve verim bilgisi; araç çıktısıyla doğrudan karşılaştırılabilir en az bir yayımlanmış sonuç.</w:t>
      </w:r>
    </w:p>
    <w:p>
      <w:pPr>
        <w:pStyle w:val="ListBullet"/>
        <w:spacing w:after="50"/>
      </w:pPr>
      <w:r>
        <w:rPr>
          <w:rFonts w:ascii="Aptos" w:hAnsi="Aptos" w:eastAsia="Aptos"/>
          <w:b w:val="0"/>
          <w:i w:val="0"/>
          <w:color w:val="000000"/>
        </w:rPr>
        <w:t>Datasheet revizyonu ile kullanım ve yeniden dağıtım koşullarının kayıt altına alınması.</w:t>
      </w:r>
    </w:p>
    <w:p>
      <w:pPr>
        <w:pStyle w:val="ListBullet"/>
        <w:spacing w:after="50"/>
      </w:pPr>
      <w:r>
        <w:rPr>
          <w:rFonts w:ascii="Aptos" w:hAnsi="Aptos" w:eastAsia="Aptos"/>
          <w:b w:val="0"/>
          <w:i w:val="0"/>
          <w:color w:val="000000"/>
        </w:rPr>
        <w:t>Transient istenecekse ayrıca lisanslı ve exact parça ile eşleşen model; model yoksa STATIC dışı adımlar NOT_RUN.</w:t>
      </w:r>
    </w:p>
    <w:tbl>
      <w:tblPr>
        <w:tblW w:type="auto" w:w="0"/>
        <w:tblLayout w:type="fixed"/>
        <w:tblLook w:firstColumn="1" w:firstRow="1" w:lastColumn="0" w:lastRow="0" w:noHBand="0" w:noVBand="1" w:val="04A0"/>
      </w:tblPr>
      <w:tblGrid>
        <w:gridCol w:w="9936"/>
      </w:tblGrid>
      <w:tr>
        <w:tc>
          <w:tcPr>
            <w:tcW w:type="dxa" w:w="10166"/>
            <w:shd w:fill="E2F0D9"/>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375623"/>
                <w:sz w:val="22"/>
              </w:rPr>
              <w:t>En hızlı seçim stratejisi</w:t>
            </w:r>
          </w:p>
          <w:p>
            <w:pPr>
              <w:spacing w:after="0"/>
            </w:pPr>
            <w:r>
              <w:rPr>
                <w:rFonts w:ascii="Aptos" w:hAnsi="Aptos" w:eastAsia="Aptos"/>
                <w:b w:val="0"/>
                <w:i w:val="0"/>
                <w:color w:val="000000"/>
                <w:sz w:val="20"/>
              </w:rPr>
              <w:t>İlk D6 kapsamını STATIC (DC ve pin tabanlı inceleme) + BUCK + PIN ile sınırlandırmak ve bu koşulları sağlayan yeni bir yayımlanmış referans seçmek en düşük yeniden çalışma yoludur. TIDA-01167’yi input-protection veya vandal’ı LDO dilimine dönüştürmek, intake ve motor kapsamını büyütür.</w:t>
            </w:r>
          </w:p>
        </w:tc>
      </w:tr>
    </w:tbl>
    <w:p>
      <w:pPr>
        <w:spacing w:after="0"/>
      </w:pPr>
    </w:p>
    <w:p>
      <w:r>
        <w:br w:type="page"/>
      </w:r>
    </w:p>
    <w:p>
      <w:pPr>
        <w:pStyle w:val="Heading1"/>
      </w:pPr>
      <w:r>
        <w:t>6  Kritik riskler ve rapor düzeltmeleri</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Öncelik</w:t>
            </w:r>
          </w:p>
        </w:tc>
        <w:tc>
          <w:tcPr>
            <w:tcW w:type="dxa" w:w="3384"/>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Bulgu</w:t>
            </w:r>
          </w:p>
        </w:tc>
        <w:tc>
          <w:tcPr>
            <w:tcW w:type="dxa" w:w="316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Yanlış uygulanırsa</w:t>
            </w:r>
          </w:p>
        </w:tc>
        <w:tc>
          <w:tcPr>
            <w:tcW w:type="dxa" w:w="273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Düzeltme</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P0</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PORTFOLIO_DECISION teknik güven kaynağı yapılabilir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İmzalı karar elektriksel PASS üretebilir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Yalnız kapsam/lisans/ürün kararı; tek başına teknik PASS yok</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P0</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REFERENCE_DESIGN düz enum olarak eklenebilir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DERIVED ve context birlikte temsil edilemez</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Provenance ile evidence_context ayrımı</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P0</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Mevcut D5 intake referansa uygulanabilir sanılıyor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Her referans descriptor’ı sözleşme düzeyinde fail olur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V1’i koruyan v2/reference dispatch</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P0</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Adaylardan biri önceden seçilmiş gibi yazılmış</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Extractor/fixture yeniden yazılır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Koddan önce aday yeterlilik kaydı</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P1</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Uzak CI NOT_RUN bilgisi</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Gereksiz blokaj ve yanlış durum raporu</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Mevcut HEAD için PASS; v2 commitinden sonra tekrar çalıştır</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P1</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GAP-02/03 global kapanabilir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 belirsizliği yanlışlıkla kapanır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 scope = REFERENCE_DESIGN:&lt;id&gt;</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P1</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Sayfa/satır tek locator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Git, PDF ve model kanıtı izlenemez</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Kaynak türüne özgü locator birleşimi</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P1</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Byte determinism tanımsız</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Timestamp ve mutlak yol hash’i değiştirir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Kanonik JSON, göreli yollar, haricî generated_at</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P1</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Model lisansı datasheet ile aynı sayılıyor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Dağıtım ve yeniden üretim riski</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Model lisansını ayrı kapı yap</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P2</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v0.5.0 tag hedefi belirsiz</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0.6 dev HEAD yanlışlıkla 0.5.0 etiketlenebilir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D4 kanıtıyla doğrulanan commit bağını kararlaştır</w:t>
            </w:r>
          </w:p>
        </w:tc>
      </w:tr>
    </w:tbl>
    <w:p>
      <w:pPr>
        <w:spacing w:after="20"/>
      </w:pPr>
    </w:p>
    <w:p>
      <w:pPr>
        <w:pStyle w:val="Heading2"/>
      </w:pPr>
      <w:r>
        <w:t>Rapor metninde önerilen kesin düzeltmeler</w:t>
      </w:r>
    </w:p>
    <w:p>
      <w:pPr>
        <w:pStyle w:val="ListBullet"/>
        <w:spacing w:after="50"/>
      </w:pPr>
      <w:r>
        <w:rPr>
          <w:rFonts w:ascii="Aptos" w:hAnsi="Aptos" w:eastAsia="Aptos"/>
          <w:b w:val="0"/>
          <w:i w:val="0"/>
          <w:color w:val="000000"/>
        </w:rPr>
        <w:t>“Gerçek bir tasarımda doğru sonuç verdiğini gösterir” yerine “sabitlenmiş referans veri kümesinde desteklenen kuralların deterministik çalıştığını ve karşılaştırılabilir yayın verileriyle tutarlı olduğunu gösterir” kullanılmalı.</w:t>
      </w:r>
    </w:p>
    <w:p>
      <w:pPr>
        <w:pStyle w:val="ListBullet"/>
        <w:spacing w:after="50"/>
      </w:pPr>
      <w:r>
        <w:rPr>
          <w:rFonts w:ascii="Aptos" w:hAnsi="Aptos" w:eastAsia="Aptos"/>
          <w:b w:val="0"/>
          <w:i w:val="0"/>
          <w:color w:val="000000"/>
        </w:rPr>
        <w:t>“D1–D5 v1 görevleri” yerine “v1’in D1–D4 görevleri ve sonradan eklenen D5 intake tamamlandı” yazılmalı.</w:t>
      </w:r>
    </w:p>
    <w:p>
      <w:pPr>
        <w:pStyle w:val="ListBullet"/>
        <w:spacing w:after="50"/>
      </w:pPr>
      <w:r>
        <w:rPr>
          <w:rFonts w:ascii="Aptos" w:hAnsi="Aptos" w:eastAsia="Aptos"/>
          <w:b w:val="0"/>
          <w:i w:val="0"/>
          <w:color w:val="000000"/>
        </w:rPr>
        <w:t>“404 birim testi” yerine “404 test” yazılmalı; paket sözleşme, CLI, entegrasyon ve kanıt testleri içerir.</w:t>
      </w:r>
    </w:p>
    <w:p>
      <w:pPr>
        <w:pStyle w:val="ListBullet"/>
        <w:spacing w:after="50"/>
      </w:pPr>
      <w:r>
        <w:rPr>
          <w:rFonts w:ascii="Aptos" w:hAnsi="Aptos" w:eastAsia="Aptos"/>
          <w:b w:val="0"/>
          <w:i w:val="0"/>
          <w:color w:val="000000"/>
        </w:rPr>
        <w:t>İki rapordaki zincir eşitlenmeli: intake → rail-budget → sequence → inject-fault → review → report/manifest.</w:t>
      </w:r>
    </w:p>
    <w:p>
      <w:pPr>
        <w:pStyle w:val="ListBullet"/>
        <w:spacing w:after="50"/>
      </w:pPr>
      <w:r>
        <w:rPr>
          <w:rFonts w:ascii="Aptos" w:hAnsi="Aptos" w:eastAsia="Aptos"/>
          <w:b w:val="0"/>
          <w:i w:val="0"/>
          <w:color w:val="000000"/>
        </w:rPr>
        <w:t>PORTFOLIO_DECISION için belirsiz “imza” yerine approved_by, approved_at, decision_id ve content_hash alanları tanımlanmalı.</w:t>
      </w:r>
    </w:p>
    <w:p>
      <w:r>
        <w:br w:type="page"/>
      </w:r>
    </w:p>
    <w:p>
      <w:pPr>
        <w:pStyle w:val="Heading1"/>
      </w:pPr>
      <w:r>
        <w:t>7  Önerilen hedef kontroller</w:t>
      </w:r>
    </w:p>
    <w:p>
      <w:r>
        <w:t>Aşağıdaki kontroller, v1 uyumluluğunu korurken v2 referans kanıtını güvenilir ve yeniden üretilebilir hale getirir.</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180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Kontrol</w:t>
            </w:r>
          </w:p>
        </w:tc>
        <w:tc>
          <w:tcPr>
            <w:tcW w:type="dxa" w:w="504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Minimum kural</w:t>
            </w:r>
          </w:p>
        </w:tc>
        <w:tc>
          <w:tcPr>
            <w:tcW w:type="dxa" w:w="324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5"/>
              </w:rPr>
              <w:t>Kabul kanıtı</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Şema sürümleme</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1.0.0 in-place değiştirilmez; 2.0.0 yan yana ve dispatcher ile</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V1 fixture’ları değişmeden PASS; v2 positive/negative fixture’ları</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Kanıt semantiği</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provenance_type ve evidence_context ayrı</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PORTFOLIO_DECISION ile teknik PASS üretmeyen negatif test</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Referans kimliği</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reference_id + revision/commit + artifact hash + license record</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reference.lock.json doğrulaması</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Locator</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PDF page/section; Git commit/path/lines/blob; model artifact/hash</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Her claim için çözümlenebilir locator</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Intake</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 ve REFERENCE_DESIGN subject türleri; harici kaynak yolu</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Aynı v1 çıktı + yeni v2 reference intake PASS</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Determinism</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Kanonik JSON, sabit sıralama, göreli yollar, timestamp hash dışı</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İki temiz çalıştırmada byte-identical artifact</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 scope</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Gap kimliği subject/reference scope taşır</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REP-01 açık kalırken referans gap kapanabilir</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Motor değişikliği</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Yalnız doğrulanmış bug için; ayrı test ve onay</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Referans fixture mevcut motorla çalışır</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Kanıt dizini</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D4/D5 immutable; D6 yeni dizinde</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Hash ankrajları değişmez; evidence/REP02-D6 oluşur</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Release</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Yeni commit CI PASS; lisans ve tag kullanıcı kararı</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5"/>
              </w:rPr>
              <w:t>CI run URL, SPDX, tag hedefi ve release manifest</w:t>
            </w:r>
          </w:p>
        </w:tc>
      </w:tr>
    </w:tbl>
    <w:p>
      <w:pPr>
        <w:spacing w:after="20"/>
      </w:pPr>
    </w:p>
    <w:p>
      <w:pPr>
        <w:pStyle w:val="Heading2"/>
      </w:pPr>
      <w:r>
        <w:t>Güven politikası</w:t>
      </w:r>
    </w:p>
    <w:p>
      <w:pPr>
        <w:pStyle w:val="ListBullet"/>
        <w:spacing w:after="50"/>
      </w:pPr>
      <w:r>
        <w:rPr>
          <w:rFonts w:ascii="Aptos" w:hAnsi="Aptos" w:eastAsia="Aptos"/>
          <w:b w:val="0"/>
          <w:i w:val="0"/>
          <w:color w:val="000000"/>
        </w:rPr>
        <w:t>REFERENCE_DESIGN yalnız reference_id, scope ve lock bütünlüğü doğrulandığında teknik kanıta katkı verebilir.</w:t>
      </w:r>
    </w:p>
    <w:p>
      <w:pPr>
        <w:pStyle w:val="ListBullet"/>
        <w:spacing w:after="50"/>
      </w:pPr>
      <w:r>
        <w:rPr>
          <w:rFonts w:ascii="Aptos" w:hAnsi="Aptos" w:eastAsia="Aptos"/>
          <w:b w:val="0"/>
          <w:i w:val="0"/>
          <w:color w:val="000000"/>
        </w:rPr>
        <w:t>PORTFOLIO_DECISION yalnız kapsam, lisans, ürün ve yayın kararları için kullanılmalı; ölçüm veya elektriksel gerçek yerine geçmemelidir.</w:t>
      </w:r>
    </w:p>
    <w:p>
      <w:pPr>
        <w:pStyle w:val="ListBullet"/>
        <w:spacing w:after="50"/>
      </w:pPr>
      <w:r>
        <w:rPr>
          <w:rFonts w:ascii="Aptos" w:hAnsi="Aptos" w:eastAsia="Aptos"/>
          <w:b w:val="0"/>
          <w:i w:val="0"/>
          <w:color w:val="000000"/>
        </w:rPr>
        <w:t>Üretici datasheet’i static/pin incelemesini destekleyebilir; model bulunmaması transient/stability sonucunu PASS yapmaz.</w:t>
      </w:r>
    </w:p>
    <w:p>
      <w:pPr>
        <w:pStyle w:val="ListBullet"/>
        <w:spacing w:after="50"/>
      </w:pPr>
      <w:r>
        <w:rPr>
          <w:rFonts w:ascii="Aptos" w:hAnsi="Aptos" w:eastAsia="Aptos"/>
          <w:b w:val="0"/>
          <w:i w:val="0"/>
          <w:color w:val="000000"/>
        </w:rPr>
        <w:t>Kaynaklar birbiriyle çelişirse CONFLICT korunmalı; karar kaydı çelişkiyi teknik olarak ortadan kaldırmamalıdır.</w:t>
      </w:r>
    </w:p>
    <w:p>
      <w:r>
        <w:br w:type="page"/>
      </w:r>
    </w:p>
    <w:p>
      <w:pPr>
        <w:pStyle w:val="Heading1"/>
      </w:pPr>
      <w:r>
        <w:t>8  En kısa güvenli uygulama planı</w:t>
      </w:r>
    </w:p>
    <w:tbl>
      <w:tblPr>
        <w:tblW w:type="auto" w:w="0"/>
        <w:tblLayout w:type="fixed"/>
        <w:tblLook w:firstColumn="1" w:firstRow="1" w:lastColumn="0" w:lastRow="0" w:noHBand="0" w:noVBand="1" w:val="04A0"/>
      </w:tblPr>
      <w:tblGrid>
        <w:gridCol w:w="9936"/>
      </w:tblGrid>
      <w:tr>
        <w:tc>
          <w:tcPr>
            <w:tcW w:type="dxa" w:w="10166"/>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17365D"/>
                <w:sz w:val="22"/>
              </w:rPr>
              <w:t>Tahmin</w:t>
            </w:r>
          </w:p>
          <w:p>
            <w:pPr>
              <w:spacing w:after="0"/>
            </w:pPr>
            <w:r>
              <w:rPr>
                <w:rFonts w:ascii="Aptos" w:hAnsi="Aptos" w:eastAsia="Aptos"/>
                <w:b w:val="0"/>
                <w:i w:val="0"/>
                <w:color w:val="000000"/>
                <w:sz w:val="20"/>
              </w:rPr>
              <w:t>Raporlardaki altı oturum, kapsam STATIC + BUCK + PIN ile sınırlandırılırsa dört teknik oturuma ve ayrı bir kullanıcı kontrollü yayın kapısına indirilebilir. Uygun yeni adayın bulunması ek keşif gerektirirse Oturum 1’e yarım veya bir oturum eklenir.</w:t>
            </w:r>
          </w:p>
        </w:tc>
      </w:tr>
    </w:tbl>
    <w:p>
      <w:pPr>
        <w:spacing w:after="0"/>
      </w:pP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Oturum</w:t>
            </w:r>
          </w:p>
        </w:tc>
        <w:tc>
          <w:tcPr>
            <w:tcW w:type="dxa" w:w="244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Amaç</w:t>
            </w:r>
          </w:p>
        </w:tc>
        <w:tc>
          <w:tcPr>
            <w:tcW w:type="dxa" w:w="453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Çıktılar</w:t>
            </w:r>
          </w:p>
        </w:tc>
        <w:tc>
          <w:tcPr>
            <w:tcW w:type="dxa" w:w="216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Geçiş ölçütü</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1</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Aday kapısı ve yönetişim</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AGENTS.md; CI durum düzeltmesi; aday uygunluk kaydı; D4 freeze envanteri</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Exact BUCK adayı ve kaynak kullanım politikası onaylı</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2</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Sözleşme v2 ve genel intake</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Yan yana v2 şemaları; dispatcher; merkezi güven politikası; REFERENCE_DESIGN intake</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V1 regresyon PASS; v2 negative testleri PASS</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3</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Minimum gerçek dikey dilim</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reference.lock.json; deterministik extraction; normalize fixture; intake/rail/review ve desteklenen adımlar</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Yayımlanmış en az bir metrikle doğrudan kıyas; desteklenmeyenler NOT_RUN</w:t>
            </w:r>
          </w:p>
        </w:tc>
      </w:tr>
      <w:tr>
        <w:trPr>
          <w:cantSplit/>
        </w:trPr>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4</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D6 kanıt ve regresyon</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evidence/REP02-D6; rapor/manifest; iki çalıştırma determinism; 404+ yeni testler</w:t>
            </w:r>
          </w:p>
        </w:tc>
        <w:tc>
          <w:tcPr>
            <w:tcW w:type="dxa" w:w="2541"/>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Temiz build ve yeni commit için GitHub CI PASS</w:t>
            </w:r>
          </w:p>
        </w:tc>
      </w:tr>
      <w:tr>
        <w:trPr>
          <w:cantSplit/>
        </w:trPr>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Yayın</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Kullanıcı kontrollü release</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Repo lisansı/SPDX; tag hedef uzlaştırması; v0.6.0 release</w:t>
            </w:r>
          </w:p>
        </w:tc>
        <w:tc>
          <w:tcPr>
            <w:tcW w:type="dxa" w:w="2541"/>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Açık lisans ve açık push/tag/release onayı</w:t>
            </w:r>
          </w:p>
        </w:tc>
      </w:tr>
    </w:tbl>
    <w:p>
      <w:pPr>
        <w:spacing w:after="20"/>
      </w:pPr>
    </w:p>
    <w:p>
      <w:pPr>
        <w:pStyle w:val="Heading2"/>
      </w:pPr>
      <w:r>
        <w:t>Kanonik bağımlılık sırası</w:t>
      </w:r>
    </w:p>
    <w:tbl>
      <w:tblPr>
        <w:tblW w:type="auto" w:w="0"/>
        <w:tblLayout w:type="fixed"/>
        <w:tblLook w:firstColumn="1" w:firstRow="1" w:lastColumn="0" w:lastRow="0" w:noHBand="0" w:noVBand="1" w:val="04A0"/>
      </w:tblPr>
      <w:tblGrid>
        <w:gridCol w:w="1694"/>
        <w:gridCol w:w="1694"/>
        <w:gridCol w:w="1694"/>
        <w:gridCol w:w="1694"/>
        <w:gridCol w:w="1694"/>
        <w:gridCol w:w="1694"/>
      </w:tblGrid>
      <w:tr>
        <w:tc>
          <w:tcPr>
            <w:tcW w:type="dxa" w:w="151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15" w:type="dxa"/>
              <w:start w:w="70" w:type="dxa"/>
              <w:bottom w:w="115" w:type="dxa"/>
              <w:end w:w="70" w:type="dxa"/>
            </w:tcMar>
            <w:vAlign w:val="center"/>
          </w:tcPr>
          <w:p>
            <w:pPr>
              <w:spacing w:after="0"/>
              <w:jc w:val="center"/>
            </w:pPr>
            <w:r>
              <w:rPr>
                <w:rFonts w:ascii="Aptos" w:hAnsi="Aptos" w:eastAsia="Aptos"/>
                <w:b/>
                <w:i w:val="0"/>
                <w:color w:val="FFFFFF"/>
                <w:sz w:val="15"/>
              </w:rPr>
              <w:t>Aday ve lisans kapısı</w:t>
            </w:r>
          </w:p>
        </w:tc>
        <w:tc>
          <w:tcPr>
            <w:tcW w:type="dxa" w:w="165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15" w:type="dxa"/>
              <w:start w:w="70" w:type="dxa"/>
              <w:bottom w:w="115" w:type="dxa"/>
              <w:end w:w="70" w:type="dxa"/>
            </w:tcMar>
            <w:vAlign w:val="center"/>
          </w:tcPr>
          <w:p>
            <w:pPr>
              <w:spacing w:after="0"/>
              <w:jc w:val="center"/>
            </w:pPr>
            <w:r>
              <w:rPr>
                <w:rFonts w:ascii="Aptos" w:hAnsi="Aptos" w:eastAsia="Aptos"/>
                <w:b/>
                <w:i w:val="0"/>
                <w:color w:val="FFFFFF"/>
                <w:sz w:val="15"/>
              </w:rPr>
              <w:t>Sözleşme v2</w:t>
            </w:r>
          </w:p>
        </w:tc>
        <w:tc>
          <w:tcPr>
            <w:tcW w:type="dxa" w:w="1656"/>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15" w:type="dxa"/>
              <w:start w:w="70" w:type="dxa"/>
              <w:bottom w:w="115" w:type="dxa"/>
              <w:end w:w="70" w:type="dxa"/>
            </w:tcMar>
            <w:vAlign w:val="center"/>
          </w:tcPr>
          <w:p>
            <w:pPr>
              <w:spacing w:after="0"/>
              <w:jc w:val="center"/>
            </w:pPr>
            <w:r>
              <w:rPr>
                <w:rFonts w:ascii="Aptos" w:hAnsi="Aptos" w:eastAsia="Aptos"/>
                <w:b/>
                <w:i w:val="0"/>
                <w:color w:val="FFFFFF"/>
                <w:sz w:val="15"/>
              </w:rPr>
              <w:t>Lock ve intake</w:t>
            </w:r>
          </w:p>
        </w:tc>
        <w:tc>
          <w:tcPr>
            <w:tcW w:type="dxa" w:w="1656"/>
            <w:shd w:fill="2F75B5"/>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15" w:type="dxa"/>
              <w:start w:w="70" w:type="dxa"/>
              <w:bottom w:w="115" w:type="dxa"/>
              <w:end w:w="70" w:type="dxa"/>
            </w:tcMar>
            <w:vAlign w:val="center"/>
          </w:tcPr>
          <w:p>
            <w:pPr>
              <w:spacing w:after="0"/>
              <w:jc w:val="center"/>
            </w:pPr>
            <w:r>
              <w:rPr>
                <w:rFonts w:ascii="Aptos" w:hAnsi="Aptos" w:eastAsia="Aptos"/>
                <w:b/>
                <w:i w:val="0"/>
                <w:color w:val="FFFFFF"/>
                <w:sz w:val="15"/>
              </w:rPr>
              <w:t>Rail/sequence/fault</w:t>
            </w:r>
          </w:p>
        </w:tc>
        <w:tc>
          <w:tcPr>
            <w:tcW w:type="dxa" w:w="1872"/>
            <w:shd w:fill="2F75B5"/>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15" w:type="dxa"/>
              <w:start w:w="70" w:type="dxa"/>
              <w:bottom w:w="115" w:type="dxa"/>
              <w:end w:w="70" w:type="dxa"/>
            </w:tcMar>
            <w:vAlign w:val="center"/>
          </w:tcPr>
          <w:p>
            <w:pPr>
              <w:spacing w:after="0"/>
              <w:jc w:val="center"/>
            </w:pPr>
            <w:r>
              <w:rPr>
                <w:rFonts w:ascii="Aptos" w:hAnsi="Aptos" w:eastAsia="Aptos"/>
                <w:b/>
                <w:i w:val="0"/>
                <w:color w:val="FFFFFF"/>
                <w:sz w:val="15"/>
              </w:rPr>
              <w:t>Exact-part review</w:t>
            </w:r>
          </w:p>
        </w:tc>
        <w:tc>
          <w:tcPr>
            <w:tcW w:type="dxa" w:w="1728"/>
            <w:shd w:fill="2F75B5"/>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115" w:type="dxa"/>
              <w:start w:w="70" w:type="dxa"/>
              <w:bottom w:w="115" w:type="dxa"/>
              <w:end w:w="70" w:type="dxa"/>
            </w:tcMar>
            <w:vAlign w:val="center"/>
          </w:tcPr>
          <w:p>
            <w:pPr>
              <w:spacing w:after="0"/>
              <w:jc w:val="center"/>
            </w:pPr>
            <w:r>
              <w:rPr>
                <w:rFonts w:ascii="Aptos" w:hAnsi="Aptos" w:eastAsia="Aptos"/>
                <w:b/>
                <w:i w:val="0"/>
                <w:color w:val="FFFFFF"/>
                <w:sz w:val="15"/>
              </w:rPr>
              <w:t>D6 kanıt ve CI</w:t>
            </w:r>
          </w:p>
        </w:tc>
      </w:tr>
    </w:tbl>
    <w:p>
      <w:pPr>
        <w:spacing w:after="20"/>
      </w:pPr>
    </w:p>
    <w:p>
      <w:pPr>
        <w:pStyle w:val="ReportCaption"/>
      </w:pPr>
      <w:r>
        <w:rPr>
          <w:rFonts w:ascii="Aptos" w:hAnsi="Aptos" w:eastAsia="Aptos"/>
          <w:b w:val="0"/>
          <w:i/>
          <w:color w:val="767171"/>
          <w:sz w:val="17"/>
        </w:rPr>
        <w:t>Release, teknik D6’dan sonra ayrı kullanıcı kapısıdır. Repo lisansı sözleşme ve özel/yerel D6 geliştirmesini gereksiz yere bloke etmemelidir.</w:t>
      </w:r>
    </w:p>
    <w:p>
      <w:pPr>
        <w:pStyle w:val="Heading2"/>
      </w:pPr>
      <w:r>
        <w:t>İlk uygulama turunda yapılmaması gerekenler</w:t>
      </w:r>
    </w:p>
    <w:p>
      <w:pPr>
        <w:pStyle w:val="ListBullet"/>
        <w:spacing w:after="50"/>
      </w:pPr>
      <w:r>
        <w:rPr>
          <w:rFonts w:ascii="Aptos" w:hAnsi="Aptos" w:eastAsia="Aptos"/>
          <w:b w:val="0"/>
          <w:i w:val="0"/>
          <w:color w:val="9C0006"/>
        </w:rPr>
        <w:t>İki enum değerini bütün _TRUSTED_PROVENANCE kümelerine topluca eklemek.</w:t>
      </w:r>
    </w:p>
    <w:p>
      <w:pPr>
        <w:pStyle w:val="ListBullet"/>
        <w:spacing w:after="50"/>
      </w:pPr>
      <w:r>
        <w:rPr>
          <w:rFonts w:ascii="Aptos" w:hAnsi="Aptos" w:eastAsia="Aptos"/>
          <w:b w:val="0"/>
          <w:i w:val="0"/>
          <w:color w:val="9C0006"/>
        </w:rPr>
        <w:t>TIDA-01167 veya vandal için aday kapısı geçmeden extractor ve fixture yazmak.</w:t>
      </w:r>
    </w:p>
    <w:p>
      <w:pPr>
        <w:pStyle w:val="ListBullet"/>
        <w:spacing w:after="50"/>
      </w:pPr>
      <w:r>
        <w:rPr>
          <w:rFonts w:ascii="Aptos" w:hAnsi="Aptos" w:eastAsia="Aptos"/>
          <w:b w:val="0"/>
          <w:i w:val="0"/>
          <w:color w:val="9C0006"/>
        </w:rPr>
        <w:t>REP-01 GAP-02/03 kayıtlarını referans sonuçlarıyla global olarak kapatmak.</w:t>
      </w:r>
    </w:p>
    <w:p>
      <w:pPr>
        <w:pStyle w:val="ListBullet"/>
        <w:spacing w:after="50"/>
      </w:pPr>
      <w:r>
        <w:rPr>
          <w:rFonts w:ascii="Aptos" w:hAnsi="Aptos" w:eastAsia="Aptos"/>
          <w:b w:val="0"/>
          <w:i w:val="0"/>
          <w:color w:val="9C0006"/>
        </w:rPr>
        <w:t>D4/D5 evidence dizinlerinin üzerine yazmak veya mevcut HEAD’i v0.5.0 olarak etiketlemek.</w:t>
      </w:r>
    </w:p>
    <w:p>
      <w:pPr>
        <w:pStyle w:val="ListBullet"/>
        <w:spacing w:after="50"/>
      </w:pPr>
      <w:r>
        <w:rPr>
          <w:rFonts w:ascii="Aptos" w:hAnsi="Aptos" w:eastAsia="Aptos"/>
          <w:b w:val="0"/>
          <w:i w:val="0"/>
          <w:color w:val="9C0006"/>
        </w:rPr>
        <w:t>Model yokken transient veya stability sonucunu varsayım/karar kaydıyla PASS yapmak.</w:t>
      </w:r>
    </w:p>
    <w:p>
      <w:r>
        <w:br w:type="page"/>
      </w:r>
    </w:p>
    <w:p>
      <w:pPr>
        <w:pStyle w:val="Heading1"/>
      </w:pPr>
      <w:r>
        <w:t>9  Kullanıcı kararları ve başlama önerisi</w:t>
      </w:r>
    </w:p>
    <w:p>
      <w:pPr>
        <w:pStyle w:val="Heading2"/>
      </w:pPr>
      <w:r>
        <w:t>D6 uygulamasını etkileyen kararlar</w:t>
      </w:r>
    </w:p>
    <w:tbl>
      <w:tblPr>
        <w:tblStyle w:val="TableGrid"/>
        <w:tblW w:type="auto" w:w="0"/>
        <w:tblLayout w:type="fixed"/>
        <w:tblLook w:firstColumn="1" w:firstRow="1" w:lastColumn="0" w:lastRow="0" w:noHBand="0" w:noVBand="1" w:val="04A0"/>
      </w:tblPr>
      <w:tblGrid>
        <w:gridCol w:w="3389"/>
        <w:gridCol w:w="3389"/>
        <w:gridCol w:w="3389"/>
      </w:tblGrid>
      <w:tr>
        <w:trPr>
          <w:tblHeader w:val="true"/>
          <w:cantSplit/>
        </w:trPr>
        <w:tc>
          <w:tcPr>
            <w:tcW w:type="dxa" w:w="2088"/>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Karar</w:t>
            </w:r>
          </w:p>
        </w:tc>
        <w:tc>
          <w:tcPr>
            <w:tcW w:type="dxa" w:w="5400"/>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Önerilen seçenek</w:t>
            </w:r>
          </w:p>
        </w:tc>
        <w:tc>
          <w:tcPr>
            <w:tcW w:type="dxa" w:w="2592"/>
            <w:shd w:fill="17365D"/>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Mar>
              <w:top w:w="85" w:type="dxa"/>
              <w:start w:w="95" w:type="dxa"/>
              <w:bottom w:w="85" w:type="dxa"/>
              <w:end w:w="95" w:type="dxa"/>
            </w:tcMar>
            <w:vAlign w:val="center"/>
          </w:tcPr>
          <w:p>
            <w:pPr>
              <w:spacing w:after="0"/>
            </w:pPr>
            <w:r>
              <w:rPr>
                <w:rFonts w:ascii="Aptos" w:hAnsi="Aptos" w:eastAsia="Aptos"/>
                <w:b/>
                <w:i w:val="0"/>
                <w:color w:val="FFFFFF"/>
                <w:sz w:val="16"/>
              </w:rPr>
              <w:t>Ne zaman gerekli</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Referans adayı</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Yeni exact BUCK referansı seç</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Oturum 1’de, extraction öncesi</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İlk D6 kapsamı</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STATIC + BUCK + PIN; model/transient yoksa NOT_RUN</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Oturum 1’de</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Harici kaynak politikası</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Ham dosyayı varsayılan olarak repo dışında tut; lock + hash + izinli cache/kullanıcı dosyası</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Oturum 1’de</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Karar kaydı yetkisi</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approved_by ve decision_id için sorumlu kişi/rol belirle</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Sözleşme v2 kapanmadan</w:t>
            </w:r>
          </w:p>
        </w:tc>
      </w:tr>
      <w:tr>
        <w:trPr>
          <w:cantSplit/>
        </w:trPr>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Repo lisansı</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Kullanıcı seçimi; teknik geliştirme için değil public release için blokaj</w:t>
            </w:r>
          </w:p>
        </w:tc>
        <w:tc>
          <w:tcPr>
            <w:tcW w:type="dxa" w:w="3389"/>
            <w:shd w:fill="FFFFFF"/>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Yayın kapısında</w:t>
            </w:r>
          </w:p>
        </w:tc>
      </w:tr>
      <w:tr>
        <w:trPr>
          <w:cantSplit/>
        </w:trPr>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Tag/release</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v0.5.0 tarihsel commit hedefini uzlaştır; v0.6.0 D6 sonrası</w:t>
            </w:r>
          </w:p>
        </w:tc>
        <w:tc>
          <w:tcPr>
            <w:tcW w:type="dxa" w:w="3389"/>
            <w:shd w:fill="EAF2F8"/>
            <w:tcBorders>
              <w:top w:val="single" w:sz="4" w:space="0" w:color="B7C9DD"/>
              <w:left w:val="single" w:sz="4" w:space="0" w:color="B7C9DD"/>
              <w:bottom w:val="single" w:sz="4" w:space="0" w:color="B7C9DD"/>
              <w:right w:val="single" w:sz="4" w:space="0" w:color="B7C9DD"/>
              <w:insideH w:val="single" w:sz="4" w:space="0" w:color="B7C9DD"/>
              <w:insideV w:val="single" w:sz="4" w:space="0" w:color="B7C9DD"/>
            </w:tcBorders>
            <w:tcMar>
              <w:top w:w="75" w:type="dxa"/>
              <w:start w:w="90" w:type="dxa"/>
              <w:bottom w:w="75" w:type="dxa"/>
              <w:end w:w="90" w:type="dxa"/>
            </w:tcMar>
            <w:vAlign w:val="top"/>
          </w:tcPr>
          <w:p>
            <w:pPr>
              <w:spacing w:after="0"/>
            </w:pPr>
            <w:r>
              <w:rPr>
                <w:rFonts w:ascii="Aptos" w:hAnsi="Aptos" w:eastAsia="Aptos"/>
                <w:b w:val="0"/>
                <w:i w:val="0"/>
                <w:color w:val="000000"/>
                <w:sz w:val="16"/>
              </w:rPr>
              <w:t>Yayın kapısında</w:t>
            </w:r>
          </w:p>
        </w:tc>
      </w:tr>
    </w:tbl>
    <w:p>
      <w:pPr>
        <w:spacing w:after="20"/>
      </w:pPr>
    </w:p>
    <w:tbl>
      <w:tblPr>
        <w:tblW w:type="auto" w:w="0"/>
        <w:tblLayout w:type="fixed"/>
        <w:tblLook w:firstColumn="1" w:firstRow="1" w:lastColumn="0" w:lastRow="0" w:noHBand="0" w:noVBand="1" w:val="04A0"/>
      </w:tblPr>
      <w:tblGrid>
        <w:gridCol w:w="9936"/>
      </w:tblGrid>
      <w:tr>
        <w:tc>
          <w:tcPr>
            <w:tcW w:type="dxa" w:w="10166"/>
            <w:shd w:fill="E2F0D9"/>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60"/>
            </w:pPr>
            <w:r>
              <w:rPr>
                <w:rFonts w:ascii="Aptos" w:hAnsi="Aptos" w:eastAsia="Aptos"/>
                <w:b/>
                <w:i w:val="0"/>
                <w:color w:val="375623"/>
                <w:sz w:val="22"/>
              </w:rPr>
              <w:t>Önerilen hemen sonraki adım</w:t>
            </w:r>
          </w:p>
          <w:p>
            <w:pPr>
              <w:spacing w:after="0"/>
            </w:pPr>
            <w:r>
              <w:rPr>
                <w:rFonts w:ascii="Aptos" w:hAnsi="Aptos" w:eastAsia="Aptos"/>
                <w:b w:val="0"/>
                <w:i w:val="0"/>
                <w:color w:val="000000"/>
                <w:sz w:val="20"/>
              </w:rPr>
              <w:t>Kod değişikliğine başlamadan AGENTS.md ve aday yeterlilik kaydını oluştur; raporlardaki CI durumunu düzelt. Ardından yeni exact BUCK adayını onaylat ve sözleşme v2 ile reference intake tasarımını aynı oturumda dondur. Bu sıra, en pahalı yeniden çalışma olan yanlış aday için şema/fixture üretimini önler.</w:t>
            </w:r>
          </w:p>
        </w:tc>
      </w:tr>
    </w:tbl>
    <w:p>
      <w:pPr>
        <w:spacing w:after="0"/>
      </w:pPr>
    </w:p>
    <w:p>
      <w:pPr>
        <w:pStyle w:val="Heading2"/>
      </w:pPr>
      <w:r>
        <w:t>Kapanış değerlendirmesi</w:t>
      </w:r>
    </w:p>
    <w:p>
      <w:r>
        <w:t>v2 revizyonu iptal edilmesi gereken bir yön değişikliği değildir; aksine ürünleşme için doğru adımdır. Sorun, referans dikey diliminin mevcut REP-01/BUCK sözleşmesiyle ve seçilen iki adayla uyumluymuş gibi ele alınmasıdır. Aday kapısı, ayrık kanıt semantiği ve intake v2 uygulandığında mevcut 404 testlik taban korunarak D6 daha kısa ve denetlenebilir biçimde tamamlanabilir.</w:t>
      </w:r>
    </w:p>
    <w:p>
      <w:r>
        <w:br w:type="page"/>
      </w:r>
    </w:p>
    <w:p>
      <w:pPr>
        <w:pStyle w:val="Heading1"/>
      </w:pPr>
      <w:r>
        <w:t>10  Kaynaklar ve doğrulama günlüğü</w:t>
      </w:r>
    </w:p>
    <w:p>
      <w:pPr>
        <w:spacing w:after="80"/>
        <w:ind w:left="216" w:hanging="216"/>
      </w:pPr>
      <w:r>
        <w:rPr>
          <w:rFonts w:ascii="Aptos" w:hAnsi="Aptos" w:eastAsia="Aptos"/>
          <w:b/>
          <w:i w:val="0"/>
          <w:color w:val="17365D"/>
        </w:rPr>
        <w:t xml:space="preserve">[S1] </w:t>
      </w:r>
      <w:r>
        <w:rPr>
          <w:rFonts w:ascii="Aptos" w:hAnsi="Aptos" w:eastAsia="Aptos"/>
          <w:b/>
          <w:i w:val="0"/>
          <w:color w:val="000000"/>
        </w:rPr>
        <w:t>REP-02 Codex Görev Planı Pozisyon Bazlı v2</w:t>
      </w:r>
      <w:r>
        <w:rPr>
          <w:rFonts w:ascii="Aptos" w:hAnsi="Aptos" w:eastAsia="Aptos"/>
          <w:b w:val="0"/>
          <w:i w:val="0"/>
          <w:color w:val="000000"/>
        </w:rPr>
        <w:t xml:space="preserve"> — Drive dosya kimliği 1BBMwEU9fd1_MFZc_ON5AUbbLBWyP99no; tam metin 26.10.2026 tarihinde okundu.</w:t>
      </w:r>
      <w:r>
        <w:rPr>
          <w:rFonts w:ascii="Aptos" w:hAnsi="Aptos" w:eastAsia="Aptos"/>
          <w:b w:val="0"/>
          <w:i w:val="0"/>
          <w:color w:val="000000"/>
        </w:rPr>
        <w:t xml:space="preserve">  </w:t>
      </w:r>
      <w:hyperlink r:id="rId11">
        <w:r>
          <w:rPr>
            <w:color w:val="2F75B5"/>
            <w:u w:val="single"/>
            <w:rFonts w:ascii="Aptos" w:hAnsi="Aptos"/>
          </w:rPr>
          <w:t>Bağlantı</w:t>
        </w:r>
      </w:hyperlink>
    </w:p>
    <w:p>
      <w:pPr>
        <w:spacing w:after="80"/>
        <w:ind w:left="216" w:hanging="216"/>
      </w:pPr>
      <w:r>
        <w:rPr>
          <w:rFonts w:ascii="Aptos" w:hAnsi="Aptos" w:eastAsia="Aptos"/>
          <w:b/>
          <w:i w:val="0"/>
          <w:color w:val="17365D"/>
        </w:rPr>
        <w:t xml:space="preserve">[S2] </w:t>
      </w:r>
      <w:r>
        <w:rPr>
          <w:rFonts w:ascii="Aptos" w:hAnsi="Aptos" w:eastAsia="Aptos"/>
          <w:b/>
          <w:i w:val="0"/>
          <w:color w:val="000000"/>
        </w:rPr>
        <w:t>REP-02 İş Akışı Raporu v2</w:t>
      </w:r>
      <w:r>
        <w:rPr>
          <w:rFonts w:ascii="Aptos" w:hAnsi="Aptos" w:eastAsia="Aptos"/>
          <w:b w:val="0"/>
          <w:i w:val="0"/>
          <w:color w:val="000000"/>
        </w:rPr>
        <w:t xml:space="preserve"> — Drive dosya kimliği 1-VLt9jurFDLKP5SBNEwIL9MMWI2kWRj-; tam metin 26.10.2026 tarihinde okundu.</w:t>
      </w:r>
      <w:r>
        <w:rPr>
          <w:rFonts w:ascii="Aptos" w:hAnsi="Aptos" w:eastAsia="Aptos"/>
          <w:b w:val="0"/>
          <w:i w:val="0"/>
          <w:color w:val="000000"/>
        </w:rPr>
        <w:t xml:space="preserve">  </w:t>
      </w:r>
      <w:hyperlink r:id="rId12">
        <w:r>
          <w:rPr>
            <w:color w:val="2F75B5"/>
            <w:u w:val="single"/>
            <w:rFonts w:ascii="Aptos" w:hAnsi="Aptos"/>
          </w:rPr>
          <w:t>Bağlantı</w:t>
        </w:r>
      </w:hyperlink>
    </w:p>
    <w:p>
      <w:pPr>
        <w:spacing w:after="80"/>
        <w:ind w:left="216" w:hanging="216"/>
      </w:pPr>
      <w:r>
        <w:rPr>
          <w:rFonts w:ascii="Aptos" w:hAnsi="Aptos" w:eastAsia="Aptos"/>
          <w:b/>
          <w:i w:val="0"/>
          <w:color w:val="17365D"/>
        </w:rPr>
        <w:t xml:space="preserve">[S3] </w:t>
      </w:r>
      <w:r>
        <w:rPr>
          <w:rFonts w:ascii="Aptos" w:hAnsi="Aptos" w:eastAsia="Aptos"/>
          <w:b/>
          <w:i w:val="0"/>
          <w:color w:val="000000"/>
        </w:rPr>
        <w:t>power-rail-validation-and-review deposu</w:t>
      </w:r>
      <w:r>
        <w:rPr>
          <w:rFonts w:ascii="Aptos" w:hAnsi="Aptos" w:eastAsia="Aptos"/>
          <w:b w:val="0"/>
          <w:i w:val="0"/>
          <w:color w:val="000000"/>
        </w:rPr>
        <w:t xml:space="preserve"> — Yerel/uzak HEAD 66f20739feae5689cbc4620fb38ee7817796c2e9; şema, intake, motor, kanıt, lisans ve release dosyaları incelendi.</w:t>
      </w:r>
      <w:r>
        <w:rPr>
          <w:rFonts w:ascii="Aptos" w:hAnsi="Aptos" w:eastAsia="Aptos"/>
          <w:b w:val="0"/>
          <w:i w:val="0"/>
          <w:color w:val="000000"/>
        </w:rPr>
        <w:t xml:space="preserve">  </w:t>
      </w:r>
      <w:hyperlink r:id="rId13">
        <w:r>
          <w:rPr>
            <w:color w:val="2F75B5"/>
            <w:u w:val="single"/>
            <w:rFonts w:ascii="Aptos" w:hAnsi="Aptos"/>
          </w:rPr>
          <w:t>Bağlantı</w:t>
        </w:r>
      </w:hyperlink>
    </w:p>
    <w:p>
      <w:pPr>
        <w:spacing w:after="80"/>
        <w:ind w:left="216" w:hanging="216"/>
      </w:pPr>
      <w:r>
        <w:rPr>
          <w:rFonts w:ascii="Aptos" w:hAnsi="Aptos" w:eastAsia="Aptos"/>
          <w:b/>
          <w:i w:val="0"/>
          <w:color w:val="17365D"/>
        </w:rPr>
        <w:t xml:space="preserve">[S4] </w:t>
      </w:r>
      <w:r>
        <w:rPr>
          <w:rFonts w:ascii="Aptos" w:hAnsi="Aptos" w:eastAsia="Aptos"/>
          <w:b/>
          <w:i w:val="0"/>
          <w:color w:val="000000"/>
        </w:rPr>
        <w:t>GitHub Actions CI koşusu 40094625985</w:t>
      </w:r>
      <w:r>
        <w:rPr>
          <w:rFonts w:ascii="Aptos" w:hAnsi="Aptos" w:eastAsia="Aptos"/>
          <w:b w:val="0"/>
          <w:i w:val="0"/>
          <w:color w:val="000000"/>
        </w:rPr>
        <w:t xml:space="preserve"> — Aynı HEAD için Python 3.9 ve 3.12 işleri, test/build/izole kurulum ve whitespace kontrolleri PASS.</w:t>
      </w:r>
      <w:r>
        <w:rPr>
          <w:rFonts w:ascii="Aptos" w:hAnsi="Aptos" w:eastAsia="Aptos"/>
          <w:b w:val="0"/>
          <w:i w:val="0"/>
          <w:color w:val="000000"/>
        </w:rPr>
        <w:t xml:space="preserve">  </w:t>
      </w:r>
      <w:hyperlink r:id="rId14">
        <w:r>
          <w:rPr>
            <w:color w:val="2F75B5"/>
            <w:u w:val="single"/>
            <w:rFonts w:ascii="Aptos" w:hAnsi="Aptos"/>
          </w:rPr>
          <w:t>Bağlantı</w:t>
        </w:r>
      </w:hyperlink>
    </w:p>
    <w:p>
      <w:pPr>
        <w:spacing w:after="80"/>
        <w:ind w:left="216" w:hanging="216"/>
      </w:pPr>
      <w:r>
        <w:rPr>
          <w:rFonts w:ascii="Aptos" w:hAnsi="Aptos" w:eastAsia="Aptos"/>
          <w:b/>
          <w:i w:val="0"/>
          <w:color w:val="17365D"/>
        </w:rPr>
        <w:t xml:space="preserve">[S5] </w:t>
      </w:r>
      <w:r>
        <w:rPr>
          <w:rFonts w:ascii="Aptos" w:hAnsi="Aptos" w:eastAsia="Aptos"/>
          <w:b/>
          <w:i w:val="0"/>
          <w:color w:val="000000"/>
        </w:rPr>
        <w:t>TI TIDA-01167 ürün sayfası</w:t>
      </w:r>
      <w:r>
        <w:rPr>
          <w:rFonts w:ascii="Aptos" w:hAnsi="Aptos" w:eastAsia="Aptos"/>
          <w:b w:val="0"/>
          <w:i w:val="0"/>
          <w:color w:val="000000"/>
        </w:rPr>
        <w:t xml:space="preserve"> — 12/24 V otomotiv akü giriş koruma referans tasarımı; işlev ve ana parçalar için birincil kaynak.</w:t>
      </w:r>
      <w:r>
        <w:rPr>
          <w:rFonts w:ascii="Aptos" w:hAnsi="Aptos" w:eastAsia="Aptos"/>
          <w:b w:val="0"/>
          <w:i w:val="0"/>
          <w:color w:val="000000"/>
        </w:rPr>
        <w:t xml:space="preserve">  </w:t>
      </w:r>
      <w:hyperlink r:id="rId15">
        <w:r>
          <w:rPr>
            <w:color w:val="2F75B5"/>
            <w:u w:val="single"/>
            <w:rFonts w:ascii="Aptos" w:hAnsi="Aptos"/>
          </w:rPr>
          <w:t>Bağlantı</w:t>
        </w:r>
      </w:hyperlink>
    </w:p>
    <w:p>
      <w:pPr>
        <w:spacing w:after="80"/>
        <w:ind w:left="216" w:hanging="216"/>
      </w:pPr>
      <w:r>
        <w:rPr>
          <w:rFonts w:ascii="Aptos" w:hAnsi="Aptos" w:eastAsia="Aptos"/>
          <w:b/>
          <w:i w:val="0"/>
          <w:color w:val="17365D"/>
        </w:rPr>
        <w:t xml:space="preserve">[S6] </w:t>
      </w:r>
      <w:r>
        <w:rPr>
          <w:rFonts w:ascii="Aptos" w:hAnsi="Aptos" w:eastAsia="Aptos"/>
          <w:b/>
          <w:i w:val="0"/>
          <w:color w:val="000000"/>
        </w:rPr>
        <w:t>TI TIDA-01167 tasarım kılavuzu</w:t>
      </w:r>
      <w:r>
        <w:rPr>
          <w:rFonts w:ascii="Aptos" w:hAnsi="Aptos" w:eastAsia="Aptos"/>
          <w:b w:val="0"/>
          <w:i w:val="0"/>
          <w:color w:val="000000"/>
        </w:rPr>
        <w:t xml:space="preserve"> — Revizyonlu PDF; mimari, test kapsamı ve kullanım bildirimi için incelendi.</w:t>
      </w:r>
      <w:r>
        <w:rPr>
          <w:rFonts w:ascii="Aptos" w:hAnsi="Aptos" w:eastAsia="Aptos"/>
          <w:b w:val="0"/>
          <w:i w:val="0"/>
          <w:color w:val="000000"/>
        </w:rPr>
        <w:t xml:space="preserve">  </w:t>
      </w:r>
      <w:hyperlink r:id="rId16">
        <w:r>
          <w:rPr>
            <w:color w:val="2F75B5"/>
            <w:u w:val="single"/>
            <w:rFonts w:ascii="Aptos" w:hAnsi="Aptos"/>
          </w:rPr>
          <w:t>Bağlantı</w:t>
        </w:r>
      </w:hyperlink>
    </w:p>
    <w:p>
      <w:pPr>
        <w:spacing w:after="80"/>
        <w:ind w:left="216" w:hanging="216"/>
      </w:pPr>
      <w:r>
        <w:rPr>
          <w:rFonts w:ascii="Aptos" w:hAnsi="Aptos" w:eastAsia="Aptos"/>
          <w:b/>
          <w:i w:val="0"/>
          <w:color w:val="17365D"/>
        </w:rPr>
        <w:t xml:space="preserve">[S7] </w:t>
      </w:r>
      <w:r>
        <w:rPr>
          <w:rFonts w:ascii="Aptos" w:hAnsi="Aptos" w:eastAsia="Aptos"/>
          <w:b/>
          <w:i w:val="0"/>
          <w:color w:val="000000"/>
        </w:rPr>
        <w:t>blinken/vandal GitHub deposu</w:t>
      </w:r>
      <w:r>
        <w:rPr>
          <w:rFonts w:ascii="Aptos" w:hAnsi="Aptos" w:eastAsia="Aptos"/>
          <w:b w:val="0"/>
          <w:i w:val="0"/>
          <w:color w:val="000000"/>
        </w:rPr>
        <w:t xml:space="preserve"> — Commit 0e7d008c51244fb7d81e0838f091b584cd5d1c55; README, LICENSE, KiCad kaynakları ve BOM incelendi.</w:t>
      </w:r>
      <w:r>
        <w:rPr>
          <w:rFonts w:ascii="Aptos" w:hAnsi="Aptos" w:eastAsia="Aptos"/>
          <w:b w:val="0"/>
          <w:i w:val="0"/>
          <w:color w:val="000000"/>
        </w:rPr>
        <w:t xml:space="preserve">  </w:t>
      </w:r>
      <w:hyperlink r:id="rId17">
        <w:r>
          <w:rPr>
            <w:color w:val="2F75B5"/>
            <w:u w:val="single"/>
            <w:rFonts w:ascii="Aptos" w:hAnsi="Aptos"/>
          </w:rPr>
          <w:t>Bağlantı</w:t>
        </w:r>
      </w:hyperlink>
    </w:p>
    <w:p>
      <w:pPr>
        <w:spacing w:after="80"/>
        <w:ind w:left="216" w:hanging="216"/>
      </w:pPr>
      <w:r>
        <w:rPr>
          <w:rFonts w:ascii="Aptos" w:hAnsi="Aptos" w:eastAsia="Aptos"/>
          <w:b/>
          <w:i w:val="0"/>
          <w:color w:val="17365D"/>
        </w:rPr>
        <w:t xml:space="preserve">[S8] </w:t>
      </w:r>
      <w:r>
        <w:rPr>
          <w:rFonts w:ascii="Aptos" w:hAnsi="Aptos" w:eastAsia="Aptos"/>
          <w:b/>
          <w:i w:val="0"/>
          <w:color w:val="000000"/>
        </w:rPr>
        <w:t>Yerel v1 referans raporları</w:t>
      </w:r>
      <w:r>
        <w:rPr>
          <w:rFonts w:ascii="Aptos" w:hAnsi="Aptos" w:eastAsia="Aptos"/>
          <w:b w:val="0"/>
          <w:i w:val="0"/>
          <w:color w:val="000000"/>
        </w:rPr>
        <w:t xml:space="preserve"> — Kullanıcı tarafından sağlanan REP-02 görev planı v1 DOCX ve iş akışı v1 PDF; hashleri Bölüm 1’de kayıtlıdır.</w:t>
      </w:r>
    </w:p>
    <w:p>
      <w:pPr>
        <w:pStyle w:val="Heading2"/>
      </w:pPr>
      <w:r>
        <w:t>Doğrulama notları</w:t>
      </w:r>
    </w:p>
    <w:p>
      <w:pPr>
        <w:pStyle w:val="ListBullet"/>
        <w:spacing w:after="50"/>
      </w:pPr>
      <w:r>
        <w:rPr>
          <w:rFonts w:ascii="Aptos" w:hAnsi="Aptos" w:eastAsia="Aptos"/>
          <w:b w:val="0"/>
          <w:i w:val="0"/>
          <w:color w:val="000000"/>
        </w:rPr>
        <w:t>Yerel testte ilk hata Windows geçici klasör izinlerinden kaynaklandı; yazılabilir TEMP/TMP ile tekrarlandığında 404/404 PASS alındı.</w:t>
      </w:r>
    </w:p>
    <w:p>
      <w:pPr>
        <w:pStyle w:val="ListBullet"/>
        <w:spacing w:after="50"/>
      </w:pPr>
      <w:r>
        <w:rPr>
          <w:rFonts w:ascii="Aptos" w:hAnsi="Aptos" w:eastAsia="Aptos"/>
          <w:b w:val="0"/>
          <w:i w:val="0"/>
          <w:color w:val="000000"/>
        </w:rPr>
        <w:t>Uzak tag sorgusu sonuç vermedi; bu nedenle release zincirinin tag adımı tamamlanmış sayılmadı.</w:t>
      </w:r>
    </w:p>
    <w:p>
      <w:pPr>
        <w:pStyle w:val="ListBullet"/>
        <w:spacing w:after="50"/>
      </w:pPr>
      <w:r>
        <w:rPr>
          <w:rFonts w:ascii="Aptos" w:hAnsi="Aptos" w:eastAsia="Aptos"/>
          <w:b w:val="0"/>
          <w:i w:val="0"/>
          <w:color w:val="000000"/>
        </w:rPr>
        <w:t>Lisans değerlendirmeleri teknik risk kontrolüdür; hukuki görüş değildir.</w:t>
      </w:r>
    </w:p>
    <w:p>
      <w:pPr>
        <w:pStyle w:val="ListBullet"/>
        <w:spacing w:after="50"/>
      </w:pPr>
      <w:r>
        <w:rPr>
          <w:rFonts w:ascii="Aptos" w:hAnsi="Aptos" w:eastAsia="Aptos"/>
          <w:b w:val="0"/>
          <w:i w:val="0"/>
          <w:color w:val="000000"/>
        </w:rPr>
        <w:t>Bu inceleme sırasında izlenen kaynak kod veya kanıt dosyaları değiştirilmedi; yalnız bu analiz raporu oluşturuldu.</w:t>
      </w:r>
    </w:p>
    <w:p/>
    <w:tbl>
      <w:tblPr>
        <w:tblW w:type="auto" w:w="0"/>
        <w:tblLayout w:type="fixed"/>
        <w:tblLook w:firstColumn="1" w:firstRow="1" w:lastColumn="0" w:lastRow="0" w:noHBand="0" w:noVBand="1" w:val="04A0"/>
      </w:tblPr>
      <w:tblGrid>
        <w:gridCol w:w="9936"/>
      </w:tblGrid>
      <w:tr>
        <w:tc>
          <w:tcPr>
            <w:tcW w:type="dxa" w:w="10166"/>
            <w:shd w:fill="17365D"/>
            <w:tcBorders>
              <w:top w:val="single" w:sz="4" w:space="0" w:color="17365D"/>
              <w:left w:val="single" w:sz="4" w:space="0" w:color="17365D"/>
              <w:bottom w:val="single" w:sz="4" w:space="0" w:color="17365D"/>
              <w:right w:val="single" w:sz="4" w:space="0" w:color="17365D"/>
              <w:insideH w:val="single" w:sz="4" w:space="0" w:color="17365D"/>
              <w:insideV w:val="single" w:sz="4" w:space="0" w:color="17365D"/>
            </w:tcBorders>
            <w:tcMar>
              <w:top w:w="120" w:type="dxa"/>
              <w:start w:w="130" w:type="dxa"/>
              <w:bottom w:w="120" w:type="dxa"/>
              <w:end w:w="130" w:type="dxa"/>
            </w:tcMar>
          </w:tcPr>
          <w:p>
            <w:pPr>
              <w:spacing w:after="0"/>
              <w:jc w:val="center"/>
            </w:pPr>
            <w:r>
              <w:rPr>
                <w:rFonts w:ascii="Aptos" w:hAnsi="Aptos" w:eastAsia="Aptos"/>
                <w:b/>
                <w:i w:val="0"/>
                <w:color w:val="FFFFFF"/>
                <w:sz w:val="18"/>
              </w:rPr>
              <w:t>Rapor sonu  ·  26.10.2026</w:t>
            </w:r>
          </w:p>
        </w:tc>
      </w:tr>
    </w:tbl>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767171"/>
        <w:sz w:val="17"/>
      </w:rPr>
      <w:t xml:space="preserve">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i w:val="0"/>
        <w:color w:val="767171"/>
        <w:sz w:val="16"/>
      </w:rPr>
      <w:t>REP 02  ·  V2 REVİZYON DENETİMİ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eastAsia="Aptos"/>
      <w:b w:val="0"/>
      <w:i/>
      <w:iCs/>
      <w:color w:val="40404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5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eastAsia="Aptos"/>
      <w:sz w:val="20"/>
    </w:rPr>
  </w:style>
  <w:style w:type="paragraph" w:styleId="ListNumber2">
    <w:name w:val="List Number 2"/>
    <w:basedOn w:val="Normal"/>
    <w:uiPriority w:val="99"/>
    <w:unhideWhenUsed/>
    <w:rsid w:val="0029639D"/>
    <w:pPr>
      <w:numPr>
        <w:numId w:val="6"/>
      </w:numPr>
      <w:spacing w:after="50"/>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spacing w:after="100"/>
    </w:pPr>
    <w:rPr>
      <w:rFonts w:ascii="Aptos" w:hAnsi="Aptos" w:eastAsia="Aptos"/>
      <w:i/>
      <w:color w:val="76717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BBMwEU9fd1_MFZc_ON5AUbbLBWyP99no/edit" TargetMode="External"/><Relationship Id="rId12" Type="http://schemas.openxmlformats.org/officeDocument/2006/relationships/hyperlink" Target="https://docs.google.com/document/d/1-VLt9jurFDLKP5SBNEwIL9MMWI2kWRj-/edit" TargetMode="External"/><Relationship Id="rId13" Type="http://schemas.openxmlformats.org/officeDocument/2006/relationships/hyperlink" Target="https://github.com/kemaldemirag/power-rail-validation-and-review" TargetMode="External"/><Relationship Id="rId14" Type="http://schemas.openxmlformats.org/officeDocument/2006/relationships/hyperlink" Target="https://github.com/kemaldemirag/power-rail-validation-and-review/actions/runs/40094625985" TargetMode="External"/><Relationship Id="rId15" Type="http://schemas.openxmlformats.org/officeDocument/2006/relationships/hyperlink" Target="https://www.ti.com/tool/TIDA-01167" TargetMode="External"/><Relationship Id="rId16" Type="http://schemas.openxmlformats.org/officeDocument/2006/relationships/hyperlink" Target="https://www.ti.com/lit/ug/tiduc41a/tiduc41a.pdf" TargetMode="External"/><Relationship Id="rId17" Type="http://schemas.openxmlformats.org/officeDocument/2006/relationships/hyperlink" Target="https://github.com/blinken/van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 02 v2 Revizyon Etki ve Uyum Analizi</dc:title>
  <dc:subject>Drive v2 raporları, v1, depo ve referans adayları karşılaştırması</dc:subject>
  <dc:creator>Codex</dc:creator>
  <cp:keywords>REP-02, v2, D6, reference design, provenance, intake, CI</cp:keywords>
  <dc:description>26.10.2026 tarihli karar destek ve uyum raporu</dc:description>
  <cp:lastModifiedBy/>
  <cp:revision>1</cp:revision>
  <dcterms:created xsi:type="dcterms:W3CDTF">2013-12-23T23:15:00Z</dcterms:created>
  <dcterms:modified xsi:type="dcterms:W3CDTF">2013-12-23T23:15:00Z</dcterms:modified>
  <cp:category/>
</cp:coreProperties>
</file>