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6"/>
        </w:rPr>
        <w:t>Profil klienta BudMax</w:t>
      </w:r>
    </w:p>
    <w:p>
      <w:pPr>
        <w:spacing w:after="160"/>
      </w:pPr>
      <w:r>
        <w:rPr>
          <w:rFonts w:ascii="Arial" w:hAnsi="Arial"/>
          <w:b w:val="0"/>
          <w:color w:val="627181"/>
          <w:sz w:val="20"/>
        </w:rPr>
        <w:t>Karta przygotowawcza do rozmowy o wymianie floty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vAlign w:val="center"/>
            <w:shd w:fill="EEF4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7C80"/>
                <w:sz w:val="19"/>
              </w:rPr>
              <w:t xml:space="preserve">Do wykorzystania  </w:t>
            </w:r>
            <w:r>
              <w:rPr>
                <w:rFonts w:ascii="Arial" w:hAnsi="Arial"/>
                <w:b w:val="0"/>
                <w:color w:val="203044"/>
                <w:sz w:val="19"/>
              </w:rPr>
              <w:t>Oddziel fakty podane przez klienta od założeń. Profil nie potwierdza ceny, dostępności ani terminu dostawy.</w:t>
            </w:r>
          </w:p>
        </w:tc>
      </w:tr>
    </w:tbl>
    <w:p>
      <w:pPr>
        <w:spacing w:after="0"/>
      </w:pPr>
    </w:p>
    <w:p>
      <w:pPr>
        <w:pStyle w:val="Heading1"/>
      </w:pPr>
      <w:r>
        <w:t>Firma i proces decyzyjny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Firma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BudMax Instalacje Sp. z o.o.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Branża i zasięg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Instalacje HVAC; działalność w całej Polsce.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Skala i staż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Około 140 pracowników; firma działa od 3 lat.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Kontakt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Anna Kowalczyk, Office &amp; Fleet Manager. Prowadzi proces.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Decyzje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CFO zatwierdza business case. Zarząd opiniuje samochody zarządcze. Nazwiska CFO nie ma w materiałach.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Obecna flota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Samochody są w leasingu; obecna umowa kończy się w lutym. Dokładny termin wydania nowych aut nie został potwierdzony.</w:t>
            </w:r>
          </w:p>
        </w:tc>
      </w:tr>
    </w:tbl>
    <w:p>
      <w:pPr>
        <w:pStyle w:val="Heading1"/>
      </w:pPr>
      <w:r>
        <w:t>Potrzeba i warunki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Liczba aut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12 dla handlowców oraz 2 dla zarządu.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Użytkowanie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Handlowcy pokonują około 45 tys. km rocznie.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Nadwozie i napęd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Wskazano kombi lub SUV klasy C oraz napęd hybrydowy lub benzynowy. Przed wyceną potwierdź, co jest wymogiem, a co preferencją.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Praktyczne potrzeby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Duży bagażnik jest ważny, ponieważ handlowcy wożą próbki i katalogi. Hak nie jest potrzebny.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Okres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48 miesięcy.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Budżet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Do 2 400 zł netto miesięcznie za auto handlowca; do 4 200 zł za auto zarządu. To limity zgłoszone przez klienta, nie potwierdzone ceny. Dla kwoty zarządczej nie podano, czy chodzi o netto czy brutto.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Prośba</w:t>
            </w:r>
          </w:p>
        </w:tc>
        <w:tc>
          <w:tcPr>
            <w:tcW w:type="dxa" w:w="748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Klient prosi o propozycję do końca miesiąca.</w:t>
            </w:r>
          </w:p>
        </w:tc>
      </w:tr>
    </w:tbl>
    <w:p>
      <w:pPr>
        <w:pStyle w:val="Heading1"/>
      </w:pPr>
      <w:r>
        <w:t>Pytania przed wyceną</w:t>
      </w:r>
    </w:p>
    <w:p>
      <w:pPr>
        <w:pStyle w:val="ListBullet"/>
        <w:spacing w:after="40"/>
        <w:ind w:left="255" w:hanging="125"/>
      </w:pPr>
      <w:r>
        <w:rPr>
          <w:rFonts w:ascii="Arial" w:hAnsi="Arial"/>
          <w:b w:val="0"/>
          <w:color w:val="203044"/>
          <w:sz w:val="19"/>
        </w:rPr>
        <w:t>Jaki jest oczekiwany termin dostawy i czy wymiana wszystkich aut ma nastąpić jednocześnie?</w:t>
      </w:r>
    </w:p>
    <w:p>
      <w:pPr>
        <w:pStyle w:val="ListBullet"/>
        <w:spacing w:after="40"/>
        <w:ind w:left="255" w:hanging="125"/>
      </w:pPr>
      <w:r>
        <w:rPr>
          <w:rFonts w:ascii="Arial" w:hAnsi="Arial"/>
          <w:b w:val="0"/>
          <w:color w:val="203044"/>
          <w:sz w:val="19"/>
        </w:rPr>
        <w:t>Które nadwozia i napędy są obowiązkowe, a które preferowane?</w:t>
      </w:r>
    </w:p>
    <w:p>
      <w:pPr>
        <w:pStyle w:val="ListBullet"/>
        <w:spacing w:after="40"/>
        <w:ind w:left="255" w:hanging="125"/>
      </w:pPr>
      <w:r>
        <w:rPr>
          <w:rFonts w:ascii="Arial" w:hAnsi="Arial"/>
          <w:b w:val="0"/>
          <w:color w:val="203044"/>
          <w:sz w:val="19"/>
        </w:rPr>
        <w:t>Czy limit 4 200 zł dla aut zarządu jest netto czy brutto?</w:t>
      </w:r>
    </w:p>
    <w:p>
      <w:pPr>
        <w:pStyle w:val="ListBullet"/>
        <w:spacing w:after="40"/>
        <w:ind w:left="255" w:hanging="125"/>
      </w:pPr>
      <w:r>
        <w:rPr>
          <w:rFonts w:ascii="Arial" w:hAnsi="Arial"/>
          <w:b w:val="0"/>
          <w:color w:val="203044"/>
          <w:sz w:val="19"/>
        </w:rPr>
        <w:t>Jakie wyposażenie, zasady serwisu i warunki użytkowania trzeba uwzględnić w porównaniu ofert?</w:t>
      </w:r>
    </w:p>
    <w:p>
      <w:pPr>
        <w:pStyle w:val="Heading1"/>
      </w:pPr>
      <w:r>
        <w:t>Informacje poboczne do selekcji</w:t>
      </w:r>
    </w:p>
    <w:p>
      <w:pPr>
        <w:spacing w:after="0"/>
      </w:pPr>
      <w:r>
        <w:rPr>
          <w:rFonts w:ascii="Arial" w:hAnsi="Arial"/>
          <w:b w:val="0"/>
          <w:i w:val="0"/>
          <w:color w:val="203044"/>
          <w:sz w:val="20"/>
        </w:rPr>
        <w:t>W materiałach organizacyjnych BudMax zapisano także, że centrala mieści się we Wrocławiu, wspólny kalendarz zespołu jest używany do spotkań wewnętrznych, a materiały onboardingowe aktualizowano w maju. Te informacje nie rozstrzygają o doborze ani wycenie floty.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92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/>
        <w:color w:val="627181"/>
        <w:sz w:val="16"/>
      </w:rPr>
      <w:t>MATERIAŁ SZKOLENIOWY – DANE FIKCYJNE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27181"/>
        <w:sz w:val="16"/>
      </w:rPr>
      <w:t>MATERIAŁ SZKOLENIOWY –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7C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30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klienta BudMax</dc:title>
  <dc:subject>Materiały do fikcyjnego case'u szkoleniowego</dc:subject>
  <dc:creator>Materiały szkoleniowe</dc:creator>
  <cp:keywords>szkolenie, dane fikcyjne, BudMax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