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000000"/>
          <w:sz w:val="46"/>
        </w:rPr>
        <w:t>Notatki ze spotkania BudMax</w:t>
      </w:r>
    </w:p>
    <w:p>
      <w:pPr>
        <w:spacing w:after="160"/>
      </w:pPr>
      <w:r>
        <w:rPr>
          <w:rFonts w:ascii="Arial" w:hAnsi="Arial"/>
          <w:b w:val="0"/>
          <w:color w:val="627181"/>
          <w:sz w:val="20"/>
        </w:rPr>
        <w:t>Roboczy zapis po rozmowie; skróty nie są zatwierdzonym protokołem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9751"/>
            <w:vAlign w:val="center"/>
            <w:shd w:fill="EEF4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87C80"/>
                <w:sz w:val="19"/>
              </w:rPr>
              <w:t xml:space="preserve">Zapis roboczy  </w:t>
            </w:r>
            <w:r>
              <w:rPr>
                <w:rFonts w:ascii="Arial" w:hAnsi="Arial"/>
                <w:b w:val="0"/>
                <w:color w:val="203044"/>
                <w:sz w:val="19"/>
              </w:rPr>
              <w:t>BudMax 12+2 auta; start floty luty; 48 mies. CFO patrzy na ratę. FleetPro 160 zł/mies. taniej, 40 tys. km, bez zimówek. Handlowcy robią ok. 45 tys. km. Zastępcze do 24h? Bagażnik duży, próbki/katalogi; kombi albo SUV C; hybryda/benzyna; hak niepotrzebny.</w:t>
            </w:r>
          </w:p>
        </w:tc>
      </w:tr>
    </w:tbl>
    <w:p>
      <w:pPr>
        <w:spacing w:after="0"/>
      </w:pPr>
    </w:p>
    <w:p>
      <w:pPr>
        <w:pStyle w:val="Heading1"/>
      </w:pPr>
      <w:r>
        <w:t>Informacje z rozmowy i materiałów case'u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824"/>
      </w:tblGrid>
      <w:tr>
        <w:tc>
          <w:tcPr>
            <w:tcW w:type="dxa" w:w="192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EF4F5"/>
          </w:tcPr>
          <w:p>
            <w:pPr>
              <w:spacing w:after="0"/>
            </w:pPr>
            <w:r>
              <w:rPr>
                <w:rFonts w:ascii="Arial" w:hAnsi="Arial"/>
                <w:b/>
                <w:color w:val="187C80"/>
                <w:sz w:val="18"/>
              </w:rPr>
              <w:t>Zakres</w:t>
            </w:r>
          </w:p>
        </w:tc>
        <w:tc>
          <w:tcPr>
            <w:tcW w:type="dxa" w:w="7824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03044"/>
                <w:sz w:val="18"/>
              </w:rPr>
              <w:t>12 aut handlowych i 2 auta zarządcze; plan rozmowy obejmuje 48 miesięcy.</w:t>
            </w:r>
          </w:p>
        </w:tc>
      </w:tr>
      <w:tr>
        <w:tc>
          <w:tcPr>
            <w:tcW w:type="dxa" w:w="192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EF4F5"/>
          </w:tcPr>
          <w:p>
            <w:pPr>
              <w:spacing w:after="0"/>
            </w:pPr>
            <w:r>
              <w:rPr>
                <w:rFonts w:ascii="Arial" w:hAnsi="Arial"/>
                <w:b/>
                <w:color w:val="187C80"/>
                <w:sz w:val="18"/>
              </w:rPr>
              <w:t>Termin</w:t>
            </w:r>
          </w:p>
        </w:tc>
        <w:tc>
          <w:tcPr>
            <w:tcW w:type="dxa" w:w="7824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5F7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03044"/>
                <w:sz w:val="18"/>
              </w:rPr>
              <w:t>W notatce zapisano start floty w lutym. Wiadomo też, że obecny leasing kończy się w lutym. Dokładnej daty dostawy ani przejścia między flotami nie ustalono.</w:t>
            </w:r>
          </w:p>
        </w:tc>
      </w:tr>
      <w:tr>
        <w:tc>
          <w:tcPr>
            <w:tcW w:type="dxa" w:w="192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EF4F5"/>
          </w:tcPr>
          <w:p>
            <w:pPr>
              <w:spacing w:after="0"/>
            </w:pPr>
            <w:r>
              <w:rPr>
                <w:rFonts w:ascii="Arial" w:hAnsi="Arial"/>
                <w:b/>
                <w:color w:val="187C80"/>
                <w:sz w:val="18"/>
              </w:rPr>
              <w:t>Przebieg</w:t>
            </w:r>
          </w:p>
        </w:tc>
        <w:tc>
          <w:tcPr>
            <w:tcW w:type="dxa" w:w="7824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03044"/>
                <w:sz w:val="18"/>
              </w:rPr>
              <w:t>Około 45 tys. km rocznie na auto handlowca.</w:t>
            </w:r>
          </w:p>
        </w:tc>
      </w:tr>
      <w:tr>
        <w:tc>
          <w:tcPr>
            <w:tcW w:type="dxa" w:w="192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EF4F5"/>
          </w:tcPr>
          <w:p>
            <w:pPr>
              <w:spacing w:after="0"/>
            </w:pPr>
            <w:r>
              <w:rPr>
                <w:rFonts w:ascii="Arial" w:hAnsi="Arial"/>
                <w:b/>
                <w:color w:val="187C80"/>
                <w:sz w:val="18"/>
              </w:rPr>
              <w:t>Pojazdy</w:t>
            </w:r>
          </w:p>
        </w:tc>
        <w:tc>
          <w:tcPr>
            <w:tcW w:type="dxa" w:w="7824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5F7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03044"/>
                <w:sz w:val="18"/>
              </w:rPr>
              <w:t>Ważny duży bagażnik na próbki i katalogi; wskazano kombi lub SUV klasy C oraz hybrydę lub benzynę. Hak nie jest potrzebny. Status tych kryteriów do potwierdzenia.</w:t>
            </w:r>
          </w:p>
        </w:tc>
      </w:tr>
      <w:tr>
        <w:tc>
          <w:tcPr>
            <w:tcW w:type="dxa" w:w="192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EF4F5"/>
          </w:tcPr>
          <w:p>
            <w:pPr>
              <w:spacing w:after="0"/>
            </w:pPr>
            <w:r>
              <w:rPr>
                <w:rFonts w:ascii="Arial" w:hAnsi="Arial"/>
                <w:b/>
                <w:color w:val="187C80"/>
                <w:sz w:val="18"/>
              </w:rPr>
              <w:t>Porównanie</w:t>
            </w:r>
          </w:p>
        </w:tc>
        <w:tc>
          <w:tcPr>
            <w:tcW w:type="dxa" w:w="7824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03044"/>
                <w:sz w:val="18"/>
              </w:rPr>
              <w:t>Klient podał, że FleetPro jest o 160 zł miesięcznie tańszy na Octavii. W tym porównaniu wskazał limit 40 tys. km i brak opon zimowych. Oferty FleetPro nie ma w materiałach.</w:t>
            </w:r>
          </w:p>
        </w:tc>
      </w:tr>
      <w:tr>
        <w:tc>
          <w:tcPr>
            <w:tcW w:type="dxa" w:w="192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EF4F5"/>
          </w:tcPr>
          <w:p>
            <w:pPr>
              <w:spacing w:after="0"/>
            </w:pPr>
            <w:r>
              <w:rPr>
                <w:rFonts w:ascii="Arial" w:hAnsi="Arial"/>
                <w:b/>
                <w:color w:val="187C80"/>
                <w:sz w:val="18"/>
              </w:rPr>
              <w:t>Auto zastępcze</w:t>
            </w:r>
          </w:p>
        </w:tc>
        <w:tc>
          <w:tcPr>
            <w:tcW w:type="dxa" w:w="7824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5F7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03044"/>
                <w:sz w:val="18"/>
              </w:rPr>
              <w:t>Anna pytała o auto zastępcze w ciągu 24 godzin, ponieważ handlowcy dużo jeżdżą. Nie zapisano uzgodnionej usługi.</w:t>
            </w:r>
          </w:p>
        </w:tc>
      </w:tr>
      <w:tr>
        <w:tc>
          <w:tcPr>
            <w:tcW w:type="dxa" w:w="192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EF4F5"/>
          </w:tcPr>
          <w:p>
            <w:pPr>
              <w:spacing w:after="0"/>
            </w:pPr>
            <w:r>
              <w:rPr>
                <w:rFonts w:ascii="Arial" w:hAnsi="Arial"/>
                <w:b/>
                <w:color w:val="187C80"/>
                <w:sz w:val="18"/>
              </w:rPr>
              <w:t>Dostawa</w:t>
            </w:r>
          </w:p>
        </w:tc>
        <w:tc>
          <w:tcPr>
            <w:tcW w:type="dxa" w:w="7824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03044"/>
                <w:sz w:val="18"/>
              </w:rPr>
              <w:t>W danych case'u Dealer C ma 4 auta dostępne od ręki, a pozostałe z terminem 6 tygodni. Dostępność trzeba odnieść do liczby 12 aut i potwierdzić.</w:t>
            </w:r>
          </w:p>
        </w:tc>
      </w:tr>
    </w:tbl>
    <w:p>
      <w:pPr>
        <w:pStyle w:val="Heading1"/>
      </w:pPr>
      <w:r>
        <w:t>Współpraca wewnętrzna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824"/>
      </w:tblGrid>
      <w:tr>
        <w:tc>
          <w:tcPr>
            <w:tcW w:type="dxa" w:w="192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EF4F5"/>
          </w:tcPr>
          <w:p>
            <w:pPr>
              <w:spacing w:after="0"/>
            </w:pPr>
            <w:r>
              <w:rPr>
                <w:rFonts w:ascii="Arial" w:hAnsi="Arial"/>
                <w:b/>
                <w:color w:val="187C80"/>
                <w:sz w:val="18"/>
              </w:rPr>
              <w:t>Dział Ryzyka</w:t>
            </w:r>
          </w:p>
        </w:tc>
        <w:tc>
          <w:tcPr>
            <w:tcW w:type="dxa" w:w="7824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03044"/>
                <w:sz w:val="18"/>
              </w:rPr>
              <w:t>Sprawdzić limit kredytowy klienta. W notatkach powiązano to z informacją, że BudMax działa od 3 lat; wynik weryfikacji nie jest znany.</w:t>
            </w:r>
          </w:p>
        </w:tc>
      </w:tr>
      <w:tr>
        <w:tc>
          <w:tcPr>
            <w:tcW w:type="dxa" w:w="192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EF4F5"/>
          </w:tcPr>
          <w:p>
            <w:pPr>
              <w:spacing w:after="0"/>
            </w:pPr>
            <w:r>
              <w:rPr>
                <w:rFonts w:ascii="Arial" w:hAnsi="Arial"/>
                <w:b/>
                <w:color w:val="187C80"/>
                <w:sz w:val="18"/>
              </w:rPr>
              <w:t>Likwidacja Szkód</w:t>
            </w:r>
          </w:p>
        </w:tc>
        <w:tc>
          <w:tcPr>
            <w:tcW w:type="dxa" w:w="7824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5F7F8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03044"/>
                <w:sz w:val="18"/>
              </w:rPr>
              <w:t>Zespół pyta, czy klient chce korzystać z własnego brokera. Odpowiedź i decyzja klienta nie są zapisane.</w:t>
            </w:r>
          </w:p>
        </w:tc>
      </w:tr>
      <w:tr>
        <w:tc>
          <w:tcPr>
            <w:tcW w:type="dxa" w:w="1928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EF4F5"/>
          </w:tcPr>
          <w:p>
            <w:pPr>
              <w:spacing w:after="0"/>
            </w:pPr>
            <w:r>
              <w:rPr>
                <w:rFonts w:ascii="Arial" w:hAnsi="Arial"/>
                <w:b/>
                <w:color w:val="187C80"/>
                <w:sz w:val="18"/>
              </w:rPr>
              <w:t>CFO</w:t>
            </w:r>
          </w:p>
        </w:tc>
        <w:tc>
          <w:tcPr>
            <w:tcW w:type="dxa" w:w="7824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03044"/>
                <w:sz w:val="18"/>
              </w:rPr>
              <w:t>Według notatki naciska na miesięczną ratę. To skrót rozmowy, nie potwierdzony cytat; nazwiska CFO nie podano.</w:t>
            </w:r>
          </w:p>
        </w:tc>
      </w:tr>
    </w:tbl>
    <w:p>
      <w:pPr>
        <w:pStyle w:val="Heading1"/>
      </w:pPr>
      <w:r>
        <w:t>Punkty do potwierdzenia przed wysłaniem podsumowania</w:t>
      </w:r>
    </w:p>
    <w:p>
      <w:pPr>
        <w:pStyle w:val="ListBullet"/>
        <w:spacing w:after="40"/>
        <w:ind w:left="255" w:hanging="125"/>
      </w:pPr>
      <w:r>
        <w:rPr>
          <w:rFonts w:ascii="Arial" w:hAnsi="Arial"/>
          <w:b w:val="0"/>
          <w:color w:val="203044"/>
          <w:sz w:val="19"/>
        </w:rPr>
        <w:t>„Start floty w lutym” może wyglądać jak ustalony termin. Notatka nie potwierdza daty dostawy ani tego, że nowa flota będzie gotowa przed końcem leasingu.</w:t>
      </w:r>
    </w:p>
    <w:p>
      <w:pPr>
        <w:pStyle w:val="ListBullet"/>
        <w:spacing w:after="40"/>
        <w:ind w:left="255" w:hanging="125"/>
      </w:pPr>
      <w:r>
        <w:rPr>
          <w:rFonts w:ascii="Arial" w:hAnsi="Arial"/>
          <w:b w:val="0"/>
          <w:color w:val="203044"/>
          <w:sz w:val="19"/>
        </w:rPr>
        <w:t>„Zastępcze do 24h” może wyglądać jak obiecany zakres usługi. To pytanie klientki, nie uzgodnienie.</w:t>
      </w:r>
    </w:p>
    <w:p>
      <w:pPr>
        <w:pStyle w:val="ListBullet"/>
        <w:spacing w:after="40"/>
        <w:ind w:left="255" w:hanging="125"/>
      </w:pPr>
      <w:r>
        <w:rPr>
          <w:rFonts w:ascii="Arial" w:hAnsi="Arial"/>
          <w:b w:val="0"/>
          <w:color w:val="203044"/>
          <w:sz w:val="19"/>
        </w:rPr>
        <w:t>Różnica 160 zł miesięcznie pochodzi z ustnego porównania klienta. Nie widzieliśmy oferty konkurencji ani pełnego zakresu warunków.</w:t>
      </w:r>
    </w:p>
    <w:p>
      <w:pPr>
        <w:pStyle w:val="ListBullet"/>
        <w:spacing w:after="40"/>
        <w:ind w:left="255" w:hanging="125"/>
      </w:pPr>
      <w:r>
        <w:rPr>
          <w:rFonts w:ascii="Arial" w:hAnsi="Arial"/>
          <w:b w:val="0"/>
          <w:color w:val="203044"/>
          <w:sz w:val="19"/>
        </w:rPr>
        <w:t>Właścicieli działań i terminy dla zespołów wewnętrznych trzeba ustalić; nie ma ich w notatkach.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92" w:left="107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/>
        <w:b/>
        <w:color w:val="627181"/>
        <w:sz w:val="16"/>
      </w:rPr>
      <w:t>MATERIAŁ SZKOLENIOWY – DANE FIKCYJNE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color w:val="627181"/>
        <w:sz w:val="16"/>
      </w:rPr>
      <w:t>MATERIAŁ SZKOLENIOWY – DANE FIKCYJNE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030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87C8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0304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Notatki ze spotkania BudMax</dc:title>
  <dc:subject>Materiały do fikcyjnego case'u szkoleniowego</dc:subject>
  <dc:creator>Materiały szkoleniowe</dc:creator>
  <cp:keywords>szkolenie, dane fikcyjne, BudMax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