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46"/>
        </w:rPr>
        <w:t>Reklamacja i zapis umowny</w:t>
      </w:r>
    </w:p>
    <w:p>
      <w:pPr>
        <w:spacing w:after="160"/>
      </w:pPr>
      <w:r>
        <w:rPr>
          <w:rFonts w:ascii="Arial" w:hAnsi="Arial"/>
          <w:b w:val="0"/>
          <w:color w:val="627181"/>
          <w:sz w:val="20"/>
        </w:rPr>
        <w:t>Materiał do ćwiczenia analizy źródła i brakujących dowodów</w:t>
      </w:r>
    </w:p>
    <w:p>
      <w:pPr>
        <w:pStyle w:val="Heading1"/>
      </w:pPr>
      <w:r>
        <w:t>Reklamacja klienta</w:t>
      </w:r>
    </w:p>
    <w:p>
      <w:pPr>
        <w:spacing w:after="180"/>
      </w:pPr>
      <w:r>
        <w:rPr>
          <w:rFonts w:ascii="Arial" w:hAnsi="Arial"/>
          <w:b w:val="0"/>
          <w:color w:val="203044"/>
          <w:sz w:val="20"/>
        </w:rPr>
        <w:t>Przy zwrocie auta po 48 miesiącach obciążyliście nas kwotą 3 850 zł za «nadmierne zużycie»: rysy na zderzaku, przetarcie fotela kierowcy, odprysk na szybie. To normalne użytkowanie po 180 tys. km. Nie zgadzamy się z obciążeniem i rozważamy rezygnację z dalszej współpracy.</w:t>
      </w:r>
    </w:p>
    <w:p>
      <w:pPr>
        <w:pStyle w:val="Heading1"/>
      </w:pPr>
      <w:r>
        <w:t>Fikcyjny §12 ust. 3</w:t>
      </w:r>
    </w:p>
    <w:p>
      <w:pPr>
        <w:spacing w:after="180"/>
        <w:ind w:left="198" w:right="198"/>
      </w:pPr>
      <w:r>
        <w:rPr>
          <w:rFonts w:ascii="Arial" w:hAnsi="Arial"/>
          <w:b w:val="0"/>
          <w:color w:val="203044"/>
          <w:sz w:val="20"/>
        </w:rPr>
        <w:t>„Najemca odpowiada za uszkodzenia wykraczające poza normalne zużycie eksploatacyjne, określone w Załączniku nr 4 (Przewodnik zwrotu pojazdu). Za normalne zużycie uznaje się m.in. rysy lakieru do 25 mm niesięgające podkładu, odpryski szyby poza polem widzenia kierowcy o średnicy do 5 mm oraz przetarcia tapicerki bez rozdarć.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vAlign w:val="center"/>
            <w:shd w:fill="EEF4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7C80"/>
                <w:sz w:val="19"/>
              </w:rPr>
              <w:t xml:space="preserve">Zadanie  </w:t>
            </w:r>
            <w:r>
              <w:rPr>
                <w:rFonts w:ascii="Arial" w:hAnsi="Arial"/>
                <w:b w:val="0"/>
                <w:color w:val="203044"/>
                <w:sz w:val="19"/>
              </w:rPr>
              <w:t>Zapisz, co wynika z podanego paragrafu, co pozostaje nierozstrzygnięte i jakich informacji lub dowodów brakuje. Przygotuj rzeczowy szkic odpowiedzi bez przesądzania odpowiedzialności.</w:t>
            </w:r>
          </w:p>
        </w:tc>
      </w:tr>
    </w:tbl>
    <w:p>
      <w:pPr>
        <w:spacing w:after="0"/>
      </w:pPr>
    </w:p>
    <w:p>
      <w:pPr>
        <w:pStyle w:val="Heading1"/>
      </w:pPr>
      <w:r>
        <w:t>Notatki uczestnika</w:t>
      </w:r>
    </w:p>
    <w:p>
      <w:pPr>
        <w:spacing w:before="80" w:after="40"/>
      </w:pPr>
      <w:r>
        <w:rPr>
          <w:rFonts w:ascii="Arial" w:hAnsi="Arial"/>
          <w:b/>
          <w:color w:val="203044"/>
          <w:sz w:val="18"/>
        </w:rPr>
        <w:t>Co można ocenić na podstawie dostępnego tekstu</w:t>
      </w:r>
    </w:p>
    <w:p>
      <w:pPr>
        <w:spacing w:after="40" w:line="276" w:lineRule="auto"/>
        <w:pBdr>
          <w:bottom w:val="single" w:sz="4" w:space="1" w:color="D7E0E4"/>
        </w:pBdr>
      </w:pPr>
      <w:r>
        <w:t xml:space="preserve"> </w:t>
      </w:r>
    </w:p>
    <w:p>
      <w:pPr>
        <w:spacing w:after="40" w:line="276" w:lineRule="auto"/>
        <w:pBdr>
          <w:bottom w:val="single" w:sz="4" w:space="1" w:color="D7E0E4"/>
        </w:pBdr>
      </w:pPr>
      <w:r>
        <w:t xml:space="preserve"> </w:t>
      </w:r>
    </w:p>
    <w:p>
      <w:pPr>
        <w:spacing w:before="80" w:after="40"/>
      </w:pPr>
      <w:r>
        <w:rPr>
          <w:rFonts w:ascii="Arial" w:hAnsi="Arial"/>
          <w:b/>
          <w:color w:val="203044"/>
          <w:sz w:val="18"/>
        </w:rPr>
        <w:t>Co wymaga dodatkowych informacji lub dowodów</w:t>
      </w:r>
    </w:p>
    <w:p>
      <w:pPr>
        <w:spacing w:after="40" w:line="276" w:lineRule="auto"/>
        <w:pBdr>
          <w:bottom w:val="single" w:sz="4" w:space="1" w:color="D7E0E4"/>
        </w:pBdr>
      </w:pPr>
      <w:r>
        <w:t xml:space="preserve"> </w:t>
      </w:r>
    </w:p>
    <w:p>
      <w:pPr>
        <w:spacing w:after="40" w:line="276" w:lineRule="auto"/>
        <w:pBdr>
          <w:bottom w:val="single" w:sz="4" w:space="1" w:color="D7E0E4"/>
        </w:pBdr>
      </w:pPr>
      <w:r>
        <w:t xml:space="preserve"> </w:t>
      </w:r>
    </w:p>
    <w:p>
      <w:pPr>
        <w:spacing w:before="80" w:after="40"/>
      </w:pPr>
      <w:r>
        <w:rPr>
          <w:rFonts w:ascii="Arial" w:hAnsi="Arial"/>
          <w:b/>
          <w:color w:val="203044"/>
          <w:sz w:val="18"/>
        </w:rPr>
        <w:t>Szkic odpowiedzi do klienta</w:t>
      </w:r>
    </w:p>
    <w:p>
      <w:pPr>
        <w:spacing w:after="40" w:line="276" w:lineRule="auto"/>
        <w:pBdr>
          <w:bottom w:val="single" w:sz="4" w:space="1" w:color="D7E0E4"/>
        </w:pBdr>
      </w:pPr>
      <w:r>
        <w:t xml:space="preserve"> </w:t>
      </w:r>
    </w:p>
    <w:p>
      <w:pPr>
        <w:spacing w:after="40" w:line="276" w:lineRule="auto"/>
        <w:pBdr>
          <w:bottom w:val="single" w:sz="4" w:space="1" w:color="D7E0E4"/>
        </w:pBdr>
      </w:pPr>
      <w:r>
        <w:t xml:space="preserve"> </w:t>
      </w:r>
    </w:p>
    <w:p>
      <w:pPr>
        <w:spacing w:after="40" w:line="276" w:lineRule="auto"/>
        <w:pBdr>
          <w:bottom w:val="single" w:sz="4" w:space="1" w:color="D7E0E4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92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/>
        <w:color w:val="627181"/>
        <w:sz w:val="16"/>
      </w:rPr>
      <w:t>MATERIAŁ SZKOLENIOWY – DANE FIKCYJNE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27181"/>
        <w:sz w:val="16"/>
      </w:rPr>
      <w:t>MATERIAŁ SZKOLENIOWY –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7C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030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Reklamacja i fikcyjny zapis umowny</dc:title>
  <dc:subject>Materiały do fikcyjnego case'u szkoleniowego</dc:subject>
  <dc:creator>Materiały szkoleniowe</dc:creator>
  <cp:keywords>szkolenie, dane fikcyjne, BudMax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