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Bdr>
          <w:bottom w:val="nil"/>
        </w:pBdr>
      </w:pPr>
      <w:r>
        <w:t>Umowa najmu i obsługi wyposażenia multimedialnego</w:t>
      </w:r>
    </w:p>
    <w:p>
      <w:pPr>
        <w:spacing w:after="180"/>
      </w:pPr>
      <w:r>
        <w:rPr>
          <w:rFonts w:ascii="Calibri" w:hAnsi="Calibri"/>
          <w:color w:val="4C5B5D"/>
          <w:sz w:val="22"/>
        </w:rPr>
        <w:t>Materiał fikcyjny do ćwiczenia wyszukiwania i weryfikowania postanowień</w:t>
      </w:r>
    </w:p>
    <w:p>
      <w:pPr>
        <w:spacing w:after="180"/>
      </w:pPr>
      <w:r>
        <w:rPr>
          <w:b/>
          <w:color w:val="374649"/>
          <w:sz w:val="18"/>
        </w:rPr>
        <w:t>Umowa nr NSM/25/041  •  zawarta 15 maja 2025 r.  •  rozpoczęcie usług 1 czerwca 2025 r.</w:t>
      </w:r>
    </w:p>
    <w:p>
      <w:pPr>
        <w:spacing w:after="220"/>
      </w:pPr>
      <w:r>
        <w:rPr>
          <w:i/>
          <w:color w:val="505759"/>
          <w:sz w:val="18"/>
        </w:rPr>
        <w:t>Ten dokument, strony, kwoty i warunki są fikcyjne. Materiał nie opisuje rzeczywistych warunków MHC, nie jest wzorem do użycia w obrocie i nie stanowi porady prawnej.</w:t>
      </w:r>
    </w:p>
    <w:p>
      <w:pPr>
        <w:pStyle w:val="Heading1"/>
      </w:pPr>
      <w:r>
        <w:t>Strony umowy</w:t>
      </w:r>
    </w:p>
    <w:p>
      <w:r>
        <w:rPr>
          <w:b/>
        </w:rPr>
        <w:t>Nord Serwis Multimedialny sp. z o.o.</w:t>
      </w:r>
      <w:r>
        <w:t xml:space="preserve">, z siedzibą w Gdańsku, reprezentowana przez Martę Rybak, dalej „Dostawca”, oraz </w:t>
      </w:r>
      <w:r>
        <w:rPr>
          <w:b/>
        </w:rPr>
        <w:t>Pracownia Wspólny Adres sp. z o.o.</w:t>
      </w:r>
      <w:r>
        <w:t>, z siedzibą w Poznaniu, reprezentowana przez Jana Wierzbę, dalej „Klient”, łącznie „Strony”, zawierają Umowę o następującej treści.</w:t>
      </w:r>
    </w:p>
    <w:p>
      <w:pPr>
        <w:pStyle w:val="Heading1"/>
      </w:pPr>
      <w:r>
        <w:t>§ 1 Definicje</w:t>
      </w:r>
    </w:p>
    <w:p>
      <w:pPr>
        <w:keepLines/>
        <w:widowControl/>
      </w:pPr>
      <w:r>
        <w:rPr>
          <w:b/>
        </w:rPr>
        <w:t xml:space="preserve">1.1 </w:t>
      </w:r>
      <w:r>
        <w:t>Urządzenia oznaczają wyświetlacze, moduły odbiorcze i kontrolery wymienione w Załączniku nr 1, przekazane Klientowi do używania w lokalizacjach wskazanych w tym Załączniku.</w:t>
      </w:r>
    </w:p>
    <w:p>
      <w:pPr>
        <w:keepLines/>
        <w:widowControl/>
      </w:pPr>
      <w:r>
        <w:rPr>
          <w:b/>
        </w:rPr>
        <w:t xml:space="preserve">1.2 </w:t>
      </w:r>
      <w:r>
        <w:t>Usługi oznaczają dostawę, instalację, zdalne monitorowanie stanu Urządzeń, standardowe przeglądy oraz przyjmowanie zgłoszeń zgodnie z Załącznikiem nr 2.</w:t>
      </w:r>
    </w:p>
    <w:p>
      <w:pPr>
        <w:keepLines/>
        <w:widowControl/>
      </w:pPr>
      <w:r>
        <w:rPr>
          <w:b/>
        </w:rPr>
        <w:t xml:space="preserve">1.3 </w:t>
      </w:r>
      <w:r>
        <w:t>Wynagrodzenie oznacza miesięczną kwotę należną Dostawcy za zakres Umowy, z zastrzeżeniem zasad rozliczeń i zmian wskazanych w §§ 8–11.</w:t>
      </w:r>
    </w:p>
    <w:p>
      <w:pPr>
        <w:keepLines/>
        <w:widowControl/>
      </w:pPr>
      <w:r>
        <w:rPr>
          <w:b/>
        </w:rPr>
        <w:t xml:space="preserve">1.4 </w:t>
      </w:r>
      <w:r>
        <w:t>Dzień Roboczy oznacza dzień od poniedziałku do piątku z wyłączeniem dni ustawowo wolnych od pracy w Polsce.</w:t>
      </w:r>
    </w:p>
    <w:p>
      <w:pPr>
        <w:pStyle w:val="Heading1"/>
      </w:pPr>
      <w:r>
        <w:t>§ 2 Przedmiot umowy</w:t>
      </w:r>
    </w:p>
    <w:p>
      <w:pPr>
        <w:keepLines/>
        <w:widowControl/>
      </w:pPr>
      <w:r>
        <w:rPr>
          <w:b/>
        </w:rPr>
        <w:t xml:space="preserve">2.1 </w:t>
      </w:r>
      <w:r>
        <w:t>Dostawca oddaje Klientowi do używania 16 wyświetlaczy, 16 modułów odbiorczych i 8 kontrolerów, a następnie świadczy Usługi dla tych Urządzeń. Szczegółowy wykaz, oznaczenia ewidencyjne i lokalizacje opisuje Załącznik nr 1.</w:t>
      </w:r>
    </w:p>
    <w:p>
      <w:pPr>
        <w:keepLines/>
        <w:widowControl/>
      </w:pPr>
      <w:r>
        <w:rPr>
          <w:b/>
        </w:rPr>
        <w:t xml:space="preserve">2.2 </w:t>
      </w:r>
      <w:r>
        <w:t>Umowa nie obejmuje dostępu do zewnętrznych kanałów lub treści, usług operatora telekomunikacyjnego, zakupu materiałów eksploatacyjnych ani prac instalacyjnych wykraczających poza zakres Załącznika nr 2.</w:t>
      </w:r>
    </w:p>
    <w:p>
      <w:pPr>
        <w:keepLines/>
        <w:widowControl/>
      </w:pPr>
      <w:r>
        <w:rPr>
          <w:b/>
        </w:rPr>
        <w:t xml:space="preserve">2.3 </w:t>
      </w:r>
      <w:r>
        <w:t>Klient może używać Urządzeń wyłącznie w lokalizacjach wskazanych w Załączniku nr 1. Zmiana lokalizacji wymaga wcześniejszego zgłoszenia Dostawcy, aby Strony mogły uzgodnić bezpieczny transport i ewentualny koszt dodatkowy zgodnie z § 11.</w:t>
      </w:r>
    </w:p>
    <w:p>
      <w:pPr>
        <w:pStyle w:val="Heading1"/>
      </w:pPr>
      <w:r>
        <w:t>§ 3 Czas trwania i rozpoczęcie usług</w:t>
      </w:r>
    </w:p>
    <w:p>
      <w:pPr>
        <w:keepLines/>
        <w:widowControl/>
      </w:pPr>
      <w:r>
        <w:rPr>
          <w:b/>
        </w:rPr>
        <w:t xml:space="preserve">3.1 </w:t>
      </w:r>
      <w:r>
        <w:t>Umowa zostaje zawarta na 36 miesięcy, od 1 czerwca 2025 r. do 31 maja 2028 r. Usługi rozpoczynają się po podpisaniu protokołu przekazania Urządzeń.</w:t>
      </w:r>
    </w:p>
    <w:p>
      <w:pPr>
        <w:keepLines/>
        <w:widowControl/>
      </w:pPr>
      <w:r>
        <w:rPr>
          <w:b/>
        </w:rPr>
        <w:t xml:space="preserve">3.2 </w:t>
      </w:r>
      <w:r>
        <w:t>Dostawca przekaże Urządzenia w terminie do 1 czerwca 2025 r. Jeżeli dostęp do którejkolwiek lokalizacji będzie niemożliwy z przyczyn leżących po stronie Klienta, Strony uzgodnią nowy termin dla tej lokalizacji, bez zmiany daty rozpoczęcia usług w pozostałych lokalizacjach.</w:t>
      </w:r>
    </w:p>
    <w:p>
      <w:pPr>
        <w:keepLines/>
        <w:widowControl/>
      </w:pPr>
      <w:r>
        <w:rPr>
          <w:b/>
        </w:rPr>
        <w:t xml:space="preserve">3.3 </w:t>
      </w:r>
      <w:r>
        <w:t>Przedłużenie okresu wymaga pisemnego aneksu podpisanego przez obie Strony. Zasady z §§ 9 i 10 stosuje się w sposób określony w tych paragrafach.</w:t>
      </w:r>
    </w:p>
    <w:p>
      <w:pPr>
        <w:pStyle w:val="Heading1"/>
      </w:pPr>
      <w:r>
        <w:t>§ 4 Obowiązki dostawcy</w:t>
      </w:r>
    </w:p>
    <w:p>
      <w:pPr>
        <w:keepLines/>
        <w:widowControl/>
      </w:pPr>
      <w:r>
        <w:rPr>
          <w:b/>
        </w:rPr>
        <w:t xml:space="preserve">4.1 </w:t>
      </w:r>
      <w:r>
        <w:t>Dostawca dostarczy Urządzenia sprawne, oznaczy je numerami ewidencyjnymi i sporządzi z Klientem protokół przekazania obejmujący stan, kompletność, lokalizację i datę instalacji.</w:t>
      </w:r>
    </w:p>
    <w:p>
      <w:pPr>
        <w:keepLines/>
        <w:widowControl/>
      </w:pPr>
      <w:r>
        <w:rPr>
          <w:b/>
        </w:rPr>
        <w:t xml:space="preserve">4.2 </w:t>
      </w:r>
      <w:r>
        <w:t>Dostawca wykona instalację w punktach uzgodnionych z Klientem, przeszkoli wskazaną osobę kontaktową w zakresie podstawowej obsługi i przekaże instrukcje producenta.</w:t>
      </w:r>
    </w:p>
    <w:p>
      <w:pPr>
        <w:keepLines/>
        <w:widowControl/>
      </w:pPr>
      <w:r>
        <w:rPr>
          <w:b/>
        </w:rPr>
        <w:t xml:space="preserve">4.3 </w:t>
      </w:r>
      <w:r>
        <w:t>Dostawca będzie monitorował stan połączenia zdalnego, przyjmował zgłoszenia oraz wykonywał przeglądy i naprawy w zakresie określonym w Załączniku nr 2.</w:t>
      </w:r>
    </w:p>
    <w:p>
      <w:pPr>
        <w:keepLines/>
        <w:widowControl/>
      </w:pPr>
      <w:r>
        <w:rPr>
          <w:b/>
        </w:rPr>
        <w:t xml:space="preserve">4.4 </w:t>
      </w:r>
      <w:r>
        <w:t>Dostawca poinformuje Klienta o planowanej przerwie serwisowej co najmniej dwa Dni Robocze przed jej rozpoczęciem, o ile przerwa nie wynika z nagłej awarii albo zagrożenia bezpieczeństwa.</w:t>
      </w:r>
    </w:p>
    <w:p>
      <w:pPr>
        <w:pStyle w:val="Heading1"/>
      </w:pPr>
      <w:r>
        <w:t>§ 5 Przekazanie i protokół</w:t>
      </w:r>
    </w:p>
    <w:p>
      <w:pPr>
        <w:keepLines/>
        <w:widowControl/>
      </w:pPr>
      <w:r>
        <w:rPr>
          <w:b/>
        </w:rPr>
        <w:t xml:space="preserve">5.1 </w:t>
      </w:r>
      <w:r>
        <w:t>Przy przekazaniu przedstawiciele Stron podpiszą protokół. Klient może wpisać do protokołu widoczne braki lub uszkodzenia; ich wpisanie nie blokuje odbioru pozostałych Urządzeń.</w:t>
      </w:r>
    </w:p>
    <w:p>
      <w:pPr>
        <w:keepLines/>
        <w:widowControl/>
      </w:pPr>
      <w:r>
        <w:rPr>
          <w:b/>
        </w:rPr>
        <w:t xml:space="preserve">5.2 </w:t>
      </w:r>
      <w:r>
        <w:t>Jeżeli Klient nie zgłosi zastrzeżeń w protokole, przyjmuje się wyłącznie, że odebrane Urządzenia były kompletne i nie miały widocznych uszkodzeń. Nie wyłącza to zgłoszenia wady, której nie dało się stwierdzić przy zwykłym odbiorze.</w:t>
      </w:r>
    </w:p>
    <w:p>
      <w:pPr>
        <w:keepLines/>
        <w:widowControl/>
      </w:pPr>
      <w:r>
        <w:rPr>
          <w:b/>
        </w:rPr>
        <w:t xml:space="preserve">5.3 </w:t>
      </w:r>
      <w:r>
        <w:t>Protokół może być sporządzony i podpisany elektronicznie przez osoby wskazane w § 19.</w:t>
      </w:r>
    </w:p>
    <w:p>
      <w:pPr>
        <w:pStyle w:val="Heading1"/>
      </w:pPr>
      <w:r>
        <w:t>§ 6 Obowiązki klienta</w:t>
      </w:r>
    </w:p>
    <w:p>
      <w:pPr>
        <w:keepLines/>
        <w:widowControl/>
      </w:pPr>
      <w:r>
        <w:rPr>
          <w:b/>
        </w:rPr>
        <w:t xml:space="preserve">6.1 </w:t>
      </w:r>
      <w:r>
        <w:t>Klient zapewni Dostawcy dostęp do pomieszczeń w uzgodnionym terminie, zasilanie elektryczne oraz działające łącze sieciowe o parametrach podanych w Załączniku nr 2.</w:t>
      </w:r>
    </w:p>
    <w:p>
      <w:pPr>
        <w:keepLines/>
        <w:widowControl/>
      </w:pPr>
      <w:r>
        <w:rPr>
          <w:b/>
        </w:rPr>
        <w:t xml:space="preserve">6.2 </w:t>
      </w:r>
      <w:r>
        <w:t>Klient przechowuje Urządzenia w lokalizacjach z Załącznika nr 1, zabezpiecza je przed dostępem osób nieuprawnionych i nie zleca napraw osobom trzecim bez uprzedniej zgody Dostawcy.</w:t>
      </w:r>
    </w:p>
    <w:p>
      <w:pPr>
        <w:keepLines/>
        <w:widowControl/>
      </w:pPr>
      <w:r>
        <w:rPr>
          <w:b/>
        </w:rPr>
        <w:t xml:space="preserve">6.3 </w:t>
      </w:r>
      <w:r>
        <w:t>Klient niezwłocznie zgłosi utratę, uszkodzenie, zmianę lokalizacji lub dłuższą przerwę w działaniu Urządzenia. Zgłoszenie powinno wskazywać lokalizację, numer ewidencyjny i opis zdarzenia, o ile dane te są dostępne.</w:t>
      </w:r>
    </w:p>
    <w:p>
      <w:pPr>
        <w:keepLines/>
        <w:widowControl/>
      </w:pPr>
      <w:r>
        <w:rPr>
          <w:b/>
        </w:rPr>
        <w:t xml:space="preserve">6.4 </w:t>
      </w:r>
      <w:r>
        <w:t>Klient wskaże jedną osobę do bieżących uzgodnień i zapewni, że personel korzystający z Urządzeń zna podstawowe zasady obsługi.</w:t>
      </w:r>
    </w:p>
    <w:p>
      <w:pPr>
        <w:pStyle w:val="Heading1"/>
      </w:pPr>
      <w:r>
        <w:t>§ 7 Wynagrodzenie</w:t>
      </w:r>
    </w:p>
    <w:p>
      <w:pPr>
        <w:keepLines/>
        <w:widowControl/>
      </w:pPr>
      <w:r>
        <w:rPr>
          <w:b/>
        </w:rPr>
        <w:t xml:space="preserve">7.1 </w:t>
      </w:r>
      <w:r>
        <w:t>Za zakres określony w Umowie Klient płaci Dostawcy miesięczne Wynagrodzenie w wysokości 7 700 zł netto, powiększone o podatek VAT według stawki właściwej na dzień wystawienia faktury.</w:t>
      </w:r>
    </w:p>
    <w:p>
      <w:pPr>
        <w:keepLines/>
        <w:widowControl/>
      </w:pPr>
      <w:r>
        <w:rPr>
          <w:b/>
        </w:rPr>
        <w:t xml:space="preserve">7.2 </w:t>
      </w:r>
      <w:r>
        <w:t>Wynagrodzenie obejmuje najem Urządzeń, ich standardową instalację, zdalne monitorowanie, dwa przeglądy w każdym roku kalendarzowym oraz naprawę awarii niezawinionych przez Klienta. Wartości składników przedstawia tabela poniżej.</w:t>
      </w:r>
    </w:p>
    <w:p>
      <w:pPr>
        <w:keepLines/>
        <w:widowControl/>
      </w:pPr>
      <w:r>
        <w:rPr>
          <w:b/>
        </w:rPr>
        <w:t xml:space="preserve">7.3 </w:t>
      </w:r>
      <w:r>
        <w:t>Wynagrodzenie nie obejmuje prac dodatkowych zamawianych zgodnie z § 11. Wydatki te nie mogą zostać doliczone do faktury bez uzgodnienia zakresu i ceny przez Strony.</w:t>
      </w:r>
    </w:p>
    <w:p>
      <w:pPr>
        <w:keepLines/>
        <w:widowControl/>
      </w:pPr>
      <w:r>
        <w:rPr>
          <w:b/>
        </w:rPr>
        <w:t xml:space="preserve">7.4 </w:t>
      </w:r>
      <w:r>
        <w:t>Wynagrodzenie obowiązuje od dnia rozpoczęcia Usług, z uwzględnieniem mechanizmów wskazanych w §§ 9 i 10.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5112"/>
            <w:vAlign w:val="center"/>
            <w:shd w:fill="315E57"/>
            <w:tcMar>
              <w:top w:w="55" w:type="dxa"/>
              <w:bottom w:w="55" w:type="dxa"/>
              <w:start w:w="95" w:type="dxa"/>
              <w:end w:w="95" w:type="dxa"/>
            </w:tcMar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Składnik</w:t>
            </w:r>
          </w:p>
        </w:tc>
        <w:tc>
          <w:tcPr>
            <w:tcW w:type="dxa" w:w="2016"/>
            <w:vAlign w:val="center"/>
            <w:shd w:fill="315E57"/>
            <w:tcMar>
              <w:top w:w="55" w:type="dxa"/>
              <w:bottom w:w="55" w:type="dxa"/>
              <w:start w:w="95" w:type="dxa"/>
              <w:end w:w="95" w:type="dxa"/>
            </w:tcMar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Zakres</w:t>
            </w:r>
          </w:p>
        </w:tc>
        <w:tc>
          <w:tcPr>
            <w:tcW w:type="dxa" w:w="2088"/>
            <w:vAlign w:val="center"/>
            <w:shd w:fill="315E57"/>
            <w:tcMar>
              <w:top w:w="55" w:type="dxa"/>
              <w:bottom w:w="55" w:type="dxa"/>
              <w:start w:w="95" w:type="dxa"/>
              <w:end w:w="95" w:type="dxa"/>
            </w:tcMar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Kwota netto / miesiąc</w:t>
            </w:r>
          </w:p>
        </w:tc>
      </w:tr>
      <w:tr>
        <w:tc>
          <w:tcPr>
            <w:tcW w:type="dxa" w:w="5112"/>
            <w:vAlign w:val="center"/>
            <w:tcMar>
              <w:top w:w="55" w:type="dxa"/>
              <w:bottom w:w="55" w:type="dxa"/>
              <w:start w:w="95" w:type="dxa"/>
              <w:end w:w="95" w:type="dxa"/>
            </w:tcMar>
          </w:tcPr>
          <w:p>
            <w:pPr>
              <w:spacing w:after="20"/>
            </w:pPr>
            <w:r>
              <w:rPr>
                <w:sz w:val="18"/>
              </w:rPr>
              <w:t>Najem Urządzeń</w:t>
            </w:r>
          </w:p>
        </w:tc>
        <w:tc>
          <w:tcPr>
            <w:tcW w:type="dxa" w:w="2016"/>
            <w:vAlign w:val="center"/>
            <w:tcMar>
              <w:top w:w="55" w:type="dxa"/>
              <w:bottom w:w="55" w:type="dxa"/>
              <w:start w:w="95" w:type="dxa"/>
              <w:end w:w="95" w:type="dxa"/>
            </w:tcMar>
          </w:tcPr>
          <w:p>
            <w:pPr>
              <w:spacing w:after="20"/>
            </w:pPr>
            <w:r>
              <w:rPr>
                <w:sz w:val="18"/>
              </w:rPr>
              <w:t>16 zestawów</w:t>
            </w:r>
          </w:p>
        </w:tc>
        <w:tc>
          <w:tcPr>
            <w:tcW w:type="dxa" w:w="2088"/>
            <w:vAlign w:val="center"/>
            <w:tcMar>
              <w:top w:w="55" w:type="dxa"/>
              <w:bottom w:w="55" w:type="dxa"/>
              <w:start w:w="95" w:type="dxa"/>
              <w:end w:w="95" w:type="dxa"/>
            </w:tcMar>
          </w:tcPr>
          <w:p>
            <w:pPr>
              <w:spacing w:after="20"/>
              <w:jc w:val="right"/>
            </w:pPr>
            <w:r>
              <w:rPr>
                <w:sz w:val="18"/>
              </w:rPr>
              <w:t>4 900 zł</w:t>
            </w:r>
          </w:p>
        </w:tc>
      </w:tr>
      <w:tr>
        <w:tc>
          <w:tcPr>
            <w:tcW w:type="dxa" w:w="5112"/>
            <w:vAlign w:val="center"/>
            <w:tcMar>
              <w:top w:w="55" w:type="dxa"/>
              <w:bottom w:w="55" w:type="dxa"/>
              <w:start w:w="95" w:type="dxa"/>
              <w:end w:w="95" w:type="dxa"/>
            </w:tcMar>
          </w:tcPr>
          <w:p>
            <w:pPr>
              <w:spacing w:after="20"/>
            </w:pPr>
            <w:r>
              <w:rPr>
                <w:sz w:val="18"/>
              </w:rPr>
              <w:t>Obsługa i serwis</w:t>
            </w:r>
          </w:p>
        </w:tc>
        <w:tc>
          <w:tcPr>
            <w:tcW w:type="dxa" w:w="2016"/>
            <w:vAlign w:val="center"/>
            <w:tcMar>
              <w:top w:w="55" w:type="dxa"/>
              <w:bottom w:w="55" w:type="dxa"/>
              <w:start w:w="95" w:type="dxa"/>
              <w:end w:w="95" w:type="dxa"/>
            </w:tcMar>
          </w:tcPr>
          <w:p>
            <w:pPr>
              <w:spacing w:after="20"/>
            </w:pPr>
            <w:r>
              <w:rPr>
                <w:sz w:val="18"/>
              </w:rPr>
              <w:t>8 lokalizacji</w:t>
            </w:r>
          </w:p>
        </w:tc>
        <w:tc>
          <w:tcPr>
            <w:tcW w:type="dxa" w:w="2088"/>
            <w:vAlign w:val="center"/>
            <w:tcMar>
              <w:top w:w="55" w:type="dxa"/>
              <w:bottom w:w="55" w:type="dxa"/>
              <w:start w:w="95" w:type="dxa"/>
              <w:end w:w="95" w:type="dxa"/>
            </w:tcMar>
          </w:tcPr>
          <w:p>
            <w:pPr>
              <w:spacing w:after="20"/>
              <w:jc w:val="right"/>
            </w:pPr>
            <w:r>
              <w:rPr>
                <w:sz w:val="18"/>
              </w:rPr>
              <w:t>2 800 zł</w:t>
            </w:r>
          </w:p>
        </w:tc>
      </w:tr>
      <w:tr>
        <w:tc>
          <w:tcPr>
            <w:tcW w:type="dxa" w:w="5112"/>
            <w:vAlign w:val="center"/>
            <w:shd w:fill="E8F0ED"/>
            <w:tcMar>
              <w:top w:w="55" w:type="dxa"/>
              <w:bottom w:w="55" w:type="dxa"/>
              <w:start w:w="95" w:type="dxa"/>
              <w:end w:w="95" w:type="dxa"/>
            </w:tcMar>
          </w:tcPr>
          <w:p>
            <w:pPr>
              <w:spacing w:after="20"/>
            </w:pPr>
            <w:r>
              <w:rPr>
                <w:b/>
                <w:sz w:val="18"/>
              </w:rPr>
              <w:t>Razem</w:t>
            </w:r>
          </w:p>
        </w:tc>
        <w:tc>
          <w:tcPr>
            <w:tcW w:type="dxa" w:w="2016"/>
            <w:vAlign w:val="center"/>
            <w:shd w:fill="E8F0ED"/>
            <w:tcMar>
              <w:top w:w="55" w:type="dxa"/>
              <w:bottom w:w="55" w:type="dxa"/>
              <w:start w:w="95" w:type="dxa"/>
              <w:end w:w="95" w:type="dxa"/>
            </w:tcMar>
          </w:tcPr>
          <w:p>
            <w:pPr>
              <w:spacing w:after="20"/>
            </w:pPr>
            <w:r>
              <w:rPr>
                <w:b/>
                <w:sz w:val="18"/>
              </w:rPr>
              <w:t>Zakres Umowy</w:t>
            </w:r>
          </w:p>
        </w:tc>
        <w:tc>
          <w:tcPr>
            <w:tcW w:type="dxa" w:w="2088"/>
            <w:vAlign w:val="center"/>
            <w:shd w:fill="E8F0ED"/>
            <w:tcMar>
              <w:top w:w="55" w:type="dxa"/>
              <w:bottom w:w="55" w:type="dxa"/>
              <w:start w:w="95" w:type="dxa"/>
              <w:end w:w="95" w:type="dxa"/>
            </w:tcMar>
          </w:tcPr>
          <w:p>
            <w:pPr>
              <w:spacing w:after="20"/>
              <w:jc w:val="right"/>
            </w:pPr>
            <w:r>
              <w:rPr>
                <w:b/>
                <w:sz w:val="18"/>
              </w:rPr>
              <w:t>7 700 zł</w:t>
            </w:r>
          </w:p>
        </w:tc>
      </w:tr>
    </w:tbl>
    <w:p>
      <w:pPr>
        <w:pStyle w:val="Heading1"/>
      </w:pPr>
      <w:r>
        <w:t>§ 8 Fakturowanie i płatność</w:t>
      </w:r>
    </w:p>
    <w:p>
      <w:pPr>
        <w:keepLines/>
        <w:widowControl/>
      </w:pPr>
      <w:r>
        <w:rPr>
          <w:b/>
        </w:rPr>
        <w:t xml:space="preserve">8.1 </w:t>
      </w:r>
      <w:r>
        <w:t>Dostawca wystawia fakturę za dany miesiąc z góry, pierwszego Dnia Roboczego tego miesiąca. Pierwsza faktura może obejmować część miesiąca, jeżeli rozpoczęcie Usług nastąpi po jego pierwszym dniu.</w:t>
      </w:r>
    </w:p>
    <w:p>
      <w:pPr>
        <w:keepLines/>
        <w:widowControl/>
      </w:pPr>
      <w:r>
        <w:rPr>
          <w:b/>
        </w:rPr>
        <w:t xml:space="preserve">8.2 </w:t>
      </w:r>
      <w:r>
        <w:t>Termin płatności wynosi 14 dni od dnia doręczenia prawidłowo wystawionej faktury. Płatność jest dokonywana przelewem na rachunek wskazany na fakturze.</w:t>
      </w:r>
    </w:p>
    <w:p>
      <w:pPr>
        <w:keepLines/>
        <w:widowControl/>
      </w:pPr>
      <w:r>
        <w:rPr>
          <w:b/>
        </w:rPr>
        <w:t xml:space="preserve">8.3 </w:t>
      </w:r>
      <w:r>
        <w:t>Jeżeli Klient kwestionuje część faktury, w terminie 7 dni roboczych opisze sporną pozycję i uzasadnienie. Klient zapłaci część bezsporną w terminie z ust. 8.2, a Strony wyjaśnią spór w ciągu kolejnych 10 Dni Roboczych.</w:t>
      </w:r>
    </w:p>
    <w:p>
      <w:pPr>
        <w:keepLines/>
        <w:widowControl/>
      </w:pPr>
      <w:r>
        <w:rPr>
          <w:b/>
        </w:rPr>
        <w:t xml:space="preserve">8.4 </w:t>
      </w:r>
      <w:r>
        <w:t>Wynagrodzenie oraz inne uzgodnione kwoty są podawane w złotych polskich. Podatek VAT wykazywany jest odrębnie na fakturze.</w:t>
      </w:r>
    </w:p>
    <w:p>
      <w:pPr>
        <w:pStyle w:val="Heading1"/>
      </w:pPr>
      <w:r>
        <w:t>§ 9 Roczna waloryzacja wynagrodzenia</w:t>
      </w:r>
    </w:p>
    <w:p>
      <w:pPr>
        <w:keepLines/>
        <w:widowControl/>
      </w:pPr>
      <w:r>
        <w:rPr>
          <w:b/>
        </w:rPr>
        <w:t xml:space="preserve">9.1 </w:t>
      </w:r>
      <w:r>
        <w:t>W każdą rocznicę rozpoczęcia Usług Dostawca może jednokrotnie podwyższyć miesięczne Wynagrodzenie o roczny wskaźnik cen towarów i usług konsumpcyjnych ogółem za rok poprzedni, ogłoszony przez Główny Urząd Statystyczny, jednak nie więcej niż o 5%.</w:t>
      </w:r>
    </w:p>
    <w:p>
      <w:pPr>
        <w:keepLines/>
        <w:widowControl/>
      </w:pPr>
      <w:r>
        <w:rPr>
          <w:b/>
        </w:rPr>
        <w:t xml:space="preserve">9.2 </w:t>
      </w:r>
      <w:r>
        <w:t>Dostawca doręczy Klientowi zawiadomienie o nowej kwocie co najmniej 30 dni przed jej zastosowaniem. Zawiadomienie wskaże poprzednią i nową kwotę, użyty wskaźnik oraz datę rozpoczęcia rozliczania nowej kwoty.</w:t>
      </w:r>
    </w:p>
    <w:p>
      <w:pPr>
        <w:keepLines/>
        <w:widowControl/>
      </w:pPr>
      <w:r>
        <w:rPr>
          <w:b/>
        </w:rPr>
        <w:t xml:space="preserve">9.3 </w:t>
      </w:r>
      <w:r>
        <w:t>Waloryzacja obowiązuje od kolejnego okresu rozliczeniowego po upływie terminu zawiadomienia i nie obejmuje okresów wcześniejszych. W tym samym okresie dwunastu miesięcy Dostawca nie zastosuje waloryzacji więcej niż jeden raz.</w:t>
      </w:r>
    </w:p>
    <w:p>
      <w:pPr>
        <w:keepLines/>
        <w:widowControl/>
      </w:pPr>
      <w:r>
        <w:rPr>
          <w:b/>
        </w:rPr>
        <w:t xml:space="preserve">9.4 </w:t>
      </w:r>
      <w:r>
        <w:t>Waloryzacja z niniejszego paragrafu jest odrębnym mechanizmem zmiany Wynagrodzenia. Sama w sobie nie stanowi rozliczenia konkretnego podatku, opłaty ani innego obciążenia publicznoprawnego.</w:t>
      </w:r>
    </w:p>
    <w:p>
      <w:pPr>
        <w:pStyle w:val="Heading1"/>
      </w:pPr>
      <w:r>
        <w:t>§ 10 Zmiana podatków i innych obciążeń publicznoprawnych</w:t>
      </w:r>
    </w:p>
    <w:p>
      <w:pPr>
        <w:keepLines/>
        <w:widowControl/>
      </w:pPr>
      <w:r>
        <w:rPr>
          <w:b/>
        </w:rPr>
        <w:t xml:space="preserve">10.1 </w:t>
      </w:r>
      <w:r>
        <w:t>Jeżeli po Dniu Rozpoczęcia Usług zmieni się wysokość podatku, opłaty lub innego obciążenia publicznoprawnego, którego obowiązek poniesienia ciąży na Dostawcy i które pozostaje bezpośrednio związane z Urządzeniami lub Usługami objętymi Umową, Dostawca może skorygować Wynagrodzenie wyłącznie o udokumentowaną różnicę przypadającą na zakres objęty Umową. Korekta nie może zawierać dodatkowej marży.</w:t>
      </w:r>
    </w:p>
    <w:p>
      <w:pPr>
        <w:keepLines/>
        <w:widowControl/>
      </w:pPr>
      <w:r>
        <w:rPr>
          <w:b/>
        </w:rPr>
        <w:t xml:space="preserve">10.2 </w:t>
      </w:r>
      <w:r>
        <w:t>Dostawca doręczy Klientowi co najmniej 30 dni przed zastosowaniem korekty zestawienie wskazujące podstawę zmiany, sposób obliczenia, kwotę przypadającą na zakres Umowy i dokument potwierdzający zmianę obciążenia. Korekta obowiązuje od kolejnego okresu rozliczeniowego po upływie terminu zawiadomienia i nie działa wstecz.</w:t>
      </w:r>
    </w:p>
    <w:p>
      <w:pPr>
        <w:keepLines/>
        <w:widowControl/>
      </w:pPr>
      <w:r>
        <w:rPr>
          <w:b/>
        </w:rPr>
        <w:t xml:space="preserve">10.3 </w:t>
      </w:r>
      <w:r>
        <w:t>Jeżeli obowiązek poniesienia obciążenia zgodnie z przepisami ciąży na Kliencie albo obciążenie nie jest bezpośrednio związane z Urządzeniami lub Usługami objętymi Umową, niniejszy paragraf nie stanowi podstawy do podwyższenia Wynagrodzenia.</w:t>
      </w:r>
    </w:p>
    <w:p>
      <w:pPr>
        <w:keepLines/>
        <w:widowControl/>
      </w:pPr>
      <w:r>
        <w:rPr>
          <w:b/>
        </w:rPr>
        <w:t xml:space="preserve">10.4 </w:t>
      </w:r>
      <w:r>
        <w:t>Podstawą korekty nie jest kwota już ujęta w Wynagrodzeniu ani zmiana kosztu, której Dostawca nie potrafi przypisać do zakresu Umowy. Na żądanie Klienta Dostawca udostępni dokumenty uzasadniające wyliczenie, z wyłączeniem danych osób trzecich niezwiązanych z wyliczeniem.</w:t>
      </w:r>
    </w:p>
    <w:p>
      <w:pPr>
        <w:pStyle w:val="Heading1"/>
      </w:pPr>
      <w:r>
        <w:t>§ 11 Zmiana zakresu i usługi dodatkowe</w:t>
      </w:r>
    </w:p>
    <w:p>
      <w:pPr>
        <w:keepLines/>
        <w:widowControl/>
      </w:pPr>
      <w:r>
        <w:rPr>
          <w:b/>
        </w:rPr>
        <w:t xml:space="preserve">11.1 </w:t>
      </w:r>
      <w:r>
        <w:t>Zmiana liczby Urządzeń, lokalizacji, godzin obsługi lub zakresu Usług wymaga zlecenia określającego zmianę, termin i cenę, zaakceptowanego przez obie Strony w formie dokumentowej.</w:t>
      </w:r>
    </w:p>
    <w:p>
      <w:pPr>
        <w:keepLines/>
        <w:widowControl/>
      </w:pPr>
      <w:r>
        <w:rPr>
          <w:b/>
        </w:rPr>
        <w:t xml:space="preserve">11.2 </w:t>
      </w:r>
      <w:r>
        <w:t>Dostawca nie rozpocznie pracy dodatkowej przed akceptacją zlecenia. Brak odpowiedzi Klienta nie oznacza akceptacji kosztu.</w:t>
      </w:r>
    </w:p>
    <w:p>
      <w:pPr>
        <w:keepLines/>
        <w:widowControl/>
      </w:pPr>
      <w:r>
        <w:rPr>
          <w:b/>
        </w:rPr>
        <w:t xml:space="preserve">11.3 </w:t>
      </w:r>
      <w:r>
        <w:t>Jeżeli zmiana zakresu wpływa na składniki tabeli w § 7, zlecenie wskaże nową kwotę i dzień, od którego będzie rozliczana.</w:t>
      </w:r>
    </w:p>
    <w:p>
      <w:pPr>
        <w:pStyle w:val="Heading1"/>
      </w:pPr>
      <w:r>
        <w:t>§ 12 Dostępność i zgłoszenia serwisowe</w:t>
      </w:r>
    </w:p>
    <w:p>
      <w:pPr>
        <w:keepLines/>
        <w:widowControl/>
      </w:pPr>
      <w:r>
        <w:rPr>
          <w:b/>
        </w:rPr>
        <w:t xml:space="preserve">12.1 </w:t>
      </w:r>
      <w:r>
        <w:t>Dostawca przyjmuje zgłoszenia od poniedziałku do piątku w godzinach 8:00–17:00, z wyłączeniem dni ustawowo wolnych od pracy. Zgłoszenia można przesłać na adres poczty elektronicznej wskazany w § 19 lub przez uzgodniony portal serwisowy.</w:t>
      </w:r>
    </w:p>
    <w:p>
      <w:pPr>
        <w:keepLines/>
        <w:widowControl/>
      </w:pPr>
      <w:r>
        <w:rPr>
          <w:b/>
        </w:rPr>
        <w:t xml:space="preserve">12.2 </w:t>
      </w:r>
      <w:r>
        <w:t>Czas reakcji oznacza czas od potwierdzenia przyjęcia zgłoszenia do rozpoczęcia diagnozy. Czas usunięcia awarii zależy od dostępności części, dostępu do lokalizacji i współpracy Klienta; tabela w Załączniku nr 2 podaje planowane terminy.</w:t>
      </w:r>
    </w:p>
    <w:p>
      <w:pPr>
        <w:keepLines/>
        <w:widowControl/>
      </w:pPr>
      <w:r>
        <w:rPr>
          <w:b/>
        </w:rPr>
        <w:t xml:space="preserve">12.3 </w:t>
      </w:r>
      <w:r>
        <w:t>Dostawca może czasowo wyłączyć Urządzenie, gdy jest to konieczne do naprawy lub ochrony danych. O planowanym wyłączeniu poinformuje osobę kontaktową Klienta i poda przewidywany termin przywrócenia działania.</w:t>
      </w:r>
    </w:p>
    <w:p>
      <w:pPr>
        <w:pStyle w:val="Heading1"/>
      </w:pPr>
      <w:r>
        <w:t>§ 13 Awarie i uszkodzenia</w:t>
      </w:r>
    </w:p>
    <w:p>
      <w:pPr>
        <w:keepLines/>
        <w:widowControl/>
      </w:pPr>
      <w:r>
        <w:rPr>
          <w:b/>
        </w:rPr>
        <w:t xml:space="preserve">13.1 </w:t>
      </w:r>
      <w:r>
        <w:t>Dostawca usuwa w ramach Wynagrodzenia awarie wynikające z normalnej eksploatacji i wad Urządzeń. Jeżeli diagnoza wskazuje na uszkodzenie spowodowane działaniem Klienta, Dostawca przedstawi opis ustaleń, dokumentację dostępną z oględzin oraz wycenę naprawy.</w:t>
      </w:r>
    </w:p>
    <w:p>
      <w:pPr>
        <w:keepLines/>
        <w:widowControl/>
      </w:pPr>
      <w:r>
        <w:rPr>
          <w:b/>
        </w:rPr>
        <w:t xml:space="preserve">13.2 </w:t>
      </w:r>
      <w:r>
        <w:t>Naprawa odpłatna wymaga akceptacji wyceny przez Klienta przed rozpoczęciem prac. W sytuacji bezpośredniego zagrożenia osób lub mienia Dostawca może wykonać niezbędne czynności zabezpieczające i niezwłocznie powiadomi Klienta.</w:t>
      </w:r>
    </w:p>
    <w:p>
      <w:pPr>
        <w:keepLines/>
        <w:widowControl/>
      </w:pPr>
      <w:r>
        <w:rPr>
          <w:b/>
        </w:rPr>
        <w:t xml:space="preserve">13.3 </w:t>
      </w:r>
      <w:r>
        <w:t>Strony sporządzą protokół z wymiany Urządzenia albo części. Protokół odnotuje datę, numer ewidencyjny i przyczynę wymiany, jeżeli została ustalona.</w:t>
      </w:r>
    </w:p>
    <w:p>
      <w:pPr>
        <w:pStyle w:val="Heading1"/>
      </w:pPr>
      <w:r>
        <w:t>§ 14 Bezpieczeństwo i dostęp do lokalizacji</w:t>
      </w:r>
    </w:p>
    <w:p>
      <w:pPr>
        <w:keepLines/>
        <w:widowControl/>
      </w:pPr>
      <w:r>
        <w:rPr>
          <w:b/>
        </w:rPr>
        <w:t xml:space="preserve">14.1 </w:t>
      </w:r>
      <w:r>
        <w:t>Każda Strona stosuje własne procedury bezpieczeństwa w zakresie czynności, za które odpowiada. Dostawca przedstawi Klientowi listę osób planowanych do instalacji i serwisu, jeżeli Klient wymaga wcześniejszego zgłoszenia gości.</w:t>
      </w:r>
    </w:p>
    <w:p>
      <w:pPr>
        <w:keepLines/>
        <w:widowControl/>
      </w:pPr>
      <w:r>
        <w:rPr>
          <w:b/>
        </w:rPr>
        <w:t xml:space="preserve">14.2 </w:t>
      </w:r>
      <w:r>
        <w:t>Klient poinformuje Dostawcę o ograniczeniach dostępu, zasadach ewakuacji i wymaganym wyposażeniu ochronnym dla danej lokalizacji.</w:t>
      </w:r>
    </w:p>
    <w:p>
      <w:pPr>
        <w:keepLines/>
        <w:widowControl/>
      </w:pPr>
      <w:r>
        <w:rPr>
          <w:b/>
        </w:rPr>
        <w:t xml:space="preserve">14.3 </w:t>
      </w:r>
      <w:r>
        <w:t>Dostawca nie będzie kopiował ani przeglądał plików Klienta zapisanych poza obszarem niezbędnym do uruchomienia i serwisowania Urządzeń.</w:t>
      </w:r>
    </w:p>
    <w:p>
      <w:pPr>
        <w:pStyle w:val="Heading1"/>
      </w:pPr>
      <w:r>
        <w:t>§ 15 Poufność i dane</w:t>
      </w:r>
    </w:p>
    <w:p>
      <w:pPr>
        <w:keepLines/>
        <w:widowControl/>
      </w:pPr>
      <w:r>
        <w:rPr>
          <w:b/>
        </w:rPr>
        <w:t xml:space="preserve">15.1 </w:t>
      </w:r>
      <w:r>
        <w:t>Strony zachowują w poufności informacje techniczne, handlowe i organizacyjne, które otrzymały w związku z Umową i które nie są publicznie dostępne. Obowiązek nie obejmuje informacji, których ujawnienia wymaga prawo albo które Strona musi przekazać swoim doradcom zobowiązanym do poufności.</w:t>
      </w:r>
    </w:p>
    <w:p>
      <w:pPr>
        <w:keepLines/>
        <w:widowControl/>
      </w:pPr>
      <w:r>
        <w:rPr>
          <w:b/>
        </w:rPr>
        <w:t xml:space="preserve">15.2 </w:t>
      </w:r>
      <w:r>
        <w:t>Każda Strona odpowiada za zgodne z prawem przetwarzanie danych kontaktowych własnych pracowników i przedstawicieli, przekazanych w celu realizacji Umowy.</w:t>
      </w:r>
    </w:p>
    <w:p>
      <w:pPr>
        <w:keepLines/>
        <w:widowControl/>
      </w:pPr>
      <w:r>
        <w:rPr>
          <w:b/>
        </w:rPr>
        <w:t xml:space="preserve">15.3 </w:t>
      </w:r>
      <w:r>
        <w:t>Jeżeli realizacja Usług będzie wymagała powierzenia Dostawcy przetwarzania innych danych osobowych, Strony podpiszą odrębne uzgodnienie przed rozpoczęciem takiego przetwarzania.</w:t>
      </w:r>
    </w:p>
    <w:p>
      <w:pPr>
        <w:pStyle w:val="Heading1"/>
      </w:pPr>
      <w:r>
        <w:t>§ 16 Prawa do oprogramowania</w:t>
      </w:r>
    </w:p>
    <w:p>
      <w:pPr>
        <w:keepLines/>
        <w:widowControl/>
      </w:pPr>
      <w:r>
        <w:rPr>
          <w:b/>
        </w:rPr>
        <w:t xml:space="preserve">16.1 </w:t>
      </w:r>
      <w:r>
        <w:t>Dostawca udziela Klientowi na czas Umowy niewyłącznego prawa do korzystania z oprogramowania niezbędnego do obsługi Urządzeń, w zakresie wynikającym z licencji producenta.</w:t>
      </w:r>
    </w:p>
    <w:p>
      <w:pPr>
        <w:keepLines/>
        <w:widowControl/>
      </w:pPr>
      <w:r>
        <w:rPr>
          <w:b/>
        </w:rPr>
        <w:t xml:space="preserve">16.2 </w:t>
      </w:r>
      <w:r>
        <w:t>Klient nie będzie kopiował, modyfikował ani udostępniał oprogramowania osobom trzecim, z wyjątkiem czynności dozwolonych przez licencję albo bezwzględnie obowiązujące przepisy.</w:t>
      </w:r>
    </w:p>
    <w:p>
      <w:pPr>
        <w:keepLines/>
        <w:widowControl/>
      </w:pPr>
      <w:r>
        <w:rPr>
          <w:b/>
        </w:rPr>
        <w:t xml:space="preserve">16.3 </w:t>
      </w:r>
      <w:r>
        <w:t>Materiały i treści Klienta wyświetlane na ekranach pozostają własnością Klienta lub podmiotów, którym przysługują prawa. Umowa nie przenosi tych praw na Dostawcę.</w:t>
      </w:r>
    </w:p>
    <w:p>
      <w:pPr>
        <w:pStyle w:val="Heading1"/>
      </w:pPr>
      <w:r>
        <w:t>§ 17 Odpowiedzialność</w:t>
      </w:r>
    </w:p>
    <w:p>
      <w:pPr>
        <w:keepLines/>
        <w:widowControl/>
      </w:pPr>
      <w:r>
        <w:rPr>
          <w:b/>
        </w:rPr>
        <w:t xml:space="preserve">17.1 </w:t>
      </w:r>
      <w:r>
        <w:t>Każda Strona odpowiada za bezpośrednią szkodę spowodowaną niewykonaniem lub nienależytym wykonaniem własnych obowiązków, z zastrzeżeniem ust. 17.2 i bezwzględnie obowiązujących przepisów.</w:t>
      </w:r>
    </w:p>
    <w:p>
      <w:pPr>
        <w:keepLines/>
        <w:widowControl/>
      </w:pPr>
      <w:r>
        <w:rPr>
          <w:b/>
        </w:rPr>
        <w:t xml:space="preserve">17.2 </w:t>
      </w:r>
      <w:r>
        <w:t>Łączna odpowiedzialność każdej ze Stron z tytułu Umowy, z wyłączeniem szkód wyrządzonych umyślnie, nie przekroczy równowartości sześciu miesięcznych Wynagrodzeń obowiązujących w dniu zdarzenia.</w:t>
      </w:r>
    </w:p>
    <w:p>
      <w:pPr>
        <w:keepLines/>
        <w:widowControl/>
      </w:pPr>
      <w:r>
        <w:rPr>
          <w:b/>
        </w:rPr>
        <w:t xml:space="preserve">17.3 </w:t>
      </w:r>
      <w:r>
        <w:t>Strona, która dowie się o zdarzeniu mogącym spowodować szkodę, niezwłocznie poinformuje drugą Stronę i podejmie rozsądne działania ograniczające jej rozmiar.</w:t>
      </w:r>
    </w:p>
    <w:p>
      <w:pPr>
        <w:pStyle w:val="Heading1"/>
      </w:pPr>
      <w:r>
        <w:t>§ 18 Rozwiązanie umowy</w:t>
      </w:r>
    </w:p>
    <w:p>
      <w:pPr>
        <w:keepLines/>
        <w:widowControl/>
      </w:pPr>
      <w:r>
        <w:rPr>
          <w:b/>
        </w:rPr>
        <w:t xml:space="preserve">18.1 </w:t>
      </w:r>
      <w:r>
        <w:t>Każda Strona może wypowiedzieć Umowę z ważnej przyczyny, jeżeli druga Strona narusza istotny obowiązek i nie usunie naruszenia w terminie 30 dni od doręczenia wezwania opisującego naruszenie.</w:t>
      </w:r>
    </w:p>
    <w:p>
      <w:pPr>
        <w:keepLines/>
        <w:widowControl/>
      </w:pPr>
      <w:r>
        <w:rPr>
          <w:b/>
        </w:rPr>
        <w:t xml:space="preserve">18.2 </w:t>
      </w:r>
      <w:r>
        <w:t>Klient może rozwiązać Umowę ze skutkiem natychmiastowym, jeżeli Dostawca zaprzestanie świadczenia Usług przez ponad 20 kolejnych Dni Roboczych z przyczyn leżących po stronie Dostawcy i nie przywróci ich po dodatkowym 10-dniowym wezwaniu.</w:t>
      </w:r>
    </w:p>
    <w:p>
      <w:pPr>
        <w:keepLines/>
        <w:widowControl/>
      </w:pPr>
      <w:r>
        <w:rPr>
          <w:b/>
        </w:rPr>
        <w:t xml:space="preserve">18.3 </w:t>
      </w:r>
      <w:r>
        <w:t>Po zakończeniu Umowy Klient udostępni Urządzenia do odbioru w uzgodnionym terminie. Strony podpiszą protokół zwrotu obejmujący numery ewidencyjne, stan i datę odbioru.</w:t>
      </w:r>
    </w:p>
    <w:p>
      <w:pPr>
        <w:keepLines/>
        <w:widowControl/>
      </w:pPr>
      <w:r>
        <w:rPr>
          <w:b/>
        </w:rPr>
        <w:t xml:space="preserve">18.4 </w:t>
      </w:r>
      <w:r>
        <w:t>Rozwiązanie Umowy nie zwalnia Stron z rozliczenia należności za okres do dnia zakończenia ani z obowiązków, które z natury trwają po tym dniu.</w:t>
      </w:r>
    </w:p>
    <w:p>
      <w:pPr>
        <w:pStyle w:val="Heading1"/>
      </w:pPr>
      <w:r>
        <w:t>§ 19 Zawiadomienia</w:t>
      </w:r>
    </w:p>
    <w:p>
      <w:pPr>
        <w:keepLines/>
        <w:widowControl/>
      </w:pPr>
      <w:r>
        <w:rPr>
          <w:b/>
        </w:rPr>
        <w:t xml:space="preserve">19.1 </w:t>
      </w:r>
      <w:r>
        <w:t>Bieżące zgłoszenia serwisowe i zawiadomienia przewidziane w §§ 9 i 10 Strony przesyłają na adresy poczty elektronicznej wskazane poniżej. Zawiadomienie uważa się za doręczone w następnym Dniu Roboczym, jeżeli nadawca nie otrzyma komunikatu o niedostarczeniu.</w:t>
      </w:r>
    </w:p>
    <w:p>
      <w:pPr>
        <w:keepLines/>
        <w:widowControl/>
      </w:pPr>
      <w:r>
        <w:rPr>
          <w:b/>
        </w:rPr>
        <w:t xml:space="preserve">19.2 </w:t>
      </w:r>
      <w:r>
        <w:t>Dane kontaktowe do bieżących zawiadomień: Dostawca — serwis@nordserwis.example; Klient — administracja@wspolnyadres.example. Adresy z domeną .example mają wyłącznie charakter szkoleniowy.</w:t>
      </w:r>
    </w:p>
    <w:p>
      <w:pPr>
        <w:keepLines/>
        <w:widowControl/>
      </w:pPr>
      <w:r>
        <w:rPr>
          <w:b/>
        </w:rPr>
        <w:t xml:space="preserve">19.3 </w:t>
      </w:r>
      <w:r>
        <w:t>Zmianę adresu kontaktowego każda Strona zgłosi drugiej Stronie w formie dokumentowej. Zmiana danych kontaktowych nie wymaga aneksu.</w:t>
      </w:r>
    </w:p>
    <w:p>
      <w:pPr>
        <w:pStyle w:val="Heading1"/>
      </w:pPr>
      <w:r>
        <w:t>§ 20 Postanowienia końcowe</w:t>
      </w:r>
    </w:p>
    <w:p>
      <w:pPr>
        <w:keepLines/>
        <w:widowControl/>
      </w:pPr>
      <w:r>
        <w:rPr>
          <w:b/>
        </w:rPr>
        <w:t xml:space="preserve">20.1 </w:t>
      </w:r>
      <w:r>
        <w:t>Załączniki nr 1 i 2 stanowią integralną część Umowy.</w:t>
      </w:r>
    </w:p>
    <w:p>
      <w:pPr>
        <w:keepLines/>
        <w:widowControl/>
      </w:pPr>
      <w:r>
        <w:rPr>
          <w:b/>
        </w:rPr>
        <w:t xml:space="preserve">20.2 </w:t>
      </w:r>
      <w:r>
        <w:t>Zmiany Umowy wymagają aneksu podpisanego przez obie Strony, z wyjątkiem korekt Wynagrodzenia dokonywanych w trybie §§ 9 i 10 oraz zmian zakresu zatwierdzanych w trybie § 11.</w:t>
      </w:r>
    </w:p>
    <w:p>
      <w:pPr>
        <w:keepLines/>
        <w:widowControl/>
      </w:pPr>
      <w:r>
        <w:rPr>
          <w:b/>
        </w:rPr>
        <w:t xml:space="preserve">20.3 </w:t>
      </w:r>
      <w:r>
        <w:t>Jeżeli którekolwiek postanowienie okaże się nieważne albo niewykonalne, pozostałe postanowienia pozostają w mocy. Strony zastąpią je postanowieniem możliwie najbliższym celowi gospodarczemu pierwotnego zapisu.</w:t>
      </w:r>
    </w:p>
    <w:p>
      <w:pPr>
        <w:keepLines/>
        <w:widowControl/>
      </w:pPr>
      <w:r>
        <w:rPr>
          <w:b/>
        </w:rPr>
        <w:t xml:space="preserve">20.4 </w:t>
      </w:r>
      <w:r>
        <w:t>Umowę sporządzono w dwóch jednobrzmiących egzemplarzach, po jednym dla każdej ze Stron, albo podpisano elektronicznie.</w:t>
      </w:r>
    </w:p>
    <w:p>
      <w:pPr>
        <w:pStyle w:val="Heading1"/>
      </w:pPr>
      <w:r>
        <w:t>Podpisy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tcMar>
              <w:top w:w="55" w:type="dxa"/>
              <w:bottom w:w="55" w:type="dxa"/>
              <w:start w:w="95" w:type="dxa"/>
              <w:end w:w="95" w:type="dxa"/>
            </w:tcMar>
            <w:vAlign w:val="center"/>
          </w:tcPr>
          <w:p>
            <w:pPr>
              <w:spacing w:after="20"/>
            </w:pPr>
            <w:r>
              <w:rPr>
                <w:b/>
              </w:rPr>
              <w:t>Dostawca</w:t>
            </w:r>
          </w:p>
        </w:tc>
        <w:tc>
          <w:tcPr>
            <w:tcW w:type="dxa" w:w="4939"/>
            <w:tcMar>
              <w:top w:w="55" w:type="dxa"/>
              <w:bottom w:w="55" w:type="dxa"/>
              <w:start w:w="95" w:type="dxa"/>
              <w:end w:w="95" w:type="dxa"/>
            </w:tcMar>
            <w:vAlign w:val="center"/>
          </w:tcPr>
          <w:p>
            <w:pPr>
              <w:spacing w:after="20"/>
            </w:pPr>
            <w:r>
              <w:rPr>
                <w:b/>
              </w:rPr>
              <w:t>Klient</w:t>
            </w:r>
          </w:p>
        </w:tc>
      </w:tr>
      <w:tr>
        <w:tc>
          <w:tcPr>
            <w:tcW w:type="dxa" w:w="4939"/>
            <w:tcMar>
              <w:top w:w="55" w:type="dxa"/>
              <w:bottom w:w="55" w:type="dxa"/>
              <w:start w:w="95" w:type="dxa"/>
              <w:end w:w="95" w:type="dxa"/>
            </w:tcMar>
            <w:vAlign w:val="center"/>
          </w:tcPr>
          <w:p>
            <w:pPr>
              <w:spacing w:after="20"/>
            </w:pPr>
            <w:r>
              <w:br/>
              <w:br/>
              <w:t>................................................</w:t>
              <w:br/>
              <w:t>Marta Rybak</w:t>
            </w:r>
          </w:p>
        </w:tc>
        <w:tc>
          <w:tcPr>
            <w:tcW w:type="dxa" w:w="4939"/>
            <w:tcMar>
              <w:top w:w="55" w:type="dxa"/>
              <w:bottom w:w="55" w:type="dxa"/>
              <w:start w:w="95" w:type="dxa"/>
              <w:end w:w="95" w:type="dxa"/>
            </w:tcMar>
            <w:vAlign w:val="center"/>
          </w:tcPr>
          <w:p>
            <w:pPr>
              <w:spacing w:after="20"/>
            </w:pPr>
            <w:r>
              <w:br/>
              <w:br/>
              <w:t>................................................</w:t>
              <w:br/>
              <w:t>Jan Wierzba</w:t>
            </w:r>
          </w:p>
        </w:tc>
      </w:tr>
    </w:tbl>
    <w:p>
      <w:pPr>
        <w:pStyle w:val="Heading1"/>
      </w:pPr>
      <w:r>
        <w:t>Załącznik nr 1 Wykaz urządzeń i lokalizacji</w:t>
      </w:r>
    </w:p>
    <w:p>
      <w:r>
        <w:t>Wykaz jest częścią fikcyjnej Umowy. Numery seryjne uzupełnia się w protokole przekazania po instalacji.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2952"/>
            <w:shd w:fill="315E57"/>
            <w:tcMar>
              <w:top w:w="55" w:type="dxa"/>
              <w:bottom w:w="55" w:type="dxa"/>
              <w:start w:w="95" w:type="dxa"/>
              <w:end w:w="95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Urządzenie</w:t>
            </w:r>
          </w:p>
        </w:tc>
        <w:tc>
          <w:tcPr>
            <w:tcW w:type="dxa" w:w="1512"/>
            <w:shd w:fill="315E57"/>
            <w:tcMar>
              <w:top w:w="55" w:type="dxa"/>
              <w:bottom w:w="55" w:type="dxa"/>
              <w:start w:w="95" w:type="dxa"/>
              <w:end w:w="95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Liczba</w:t>
            </w:r>
          </w:p>
        </w:tc>
        <w:tc>
          <w:tcPr>
            <w:tcW w:type="dxa" w:w="2592"/>
            <w:shd w:fill="315E57"/>
            <w:tcMar>
              <w:top w:w="55" w:type="dxa"/>
              <w:bottom w:w="55" w:type="dxa"/>
              <w:start w:w="95" w:type="dxa"/>
              <w:end w:w="95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Lokalizacja</w:t>
            </w:r>
          </w:p>
        </w:tc>
        <w:tc>
          <w:tcPr>
            <w:tcW w:type="dxa" w:w="2160"/>
            <w:shd w:fill="315E57"/>
            <w:tcMar>
              <w:top w:w="55" w:type="dxa"/>
              <w:bottom w:w="55" w:type="dxa"/>
              <w:start w:w="95" w:type="dxa"/>
              <w:end w:w="95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Ewidencja</w:t>
            </w:r>
          </w:p>
        </w:tc>
      </w:tr>
      <w:tr>
        <w:tc>
          <w:tcPr>
            <w:tcW w:type="dxa" w:w="2952"/>
            <w:vAlign w:val="center"/>
            <w:tcMar>
              <w:top w:w="55" w:type="dxa"/>
              <w:bottom w:w="55" w:type="dxa"/>
              <w:start w:w="95" w:type="dxa"/>
              <w:end w:w="95" w:type="dxa"/>
            </w:tcMar>
          </w:tcPr>
          <w:p>
            <w:pPr>
              <w:spacing w:after="20"/>
            </w:pPr>
            <w:r>
              <w:rPr>
                <w:sz w:val="17"/>
              </w:rPr>
              <w:t>Wyświetlacz 24 cale</w:t>
            </w:r>
          </w:p>
        </w:tc>
        <w:tc>
          <w:tcPr>
            <w:tcW w:type="dxa" w:w="1512"/>
            <w:vAlign w:val="center"/>
            <w:tcMar>
              <w:top w:w="55" w:type="dxa"/>
              <w:bottom w:w="55" w:type="dxa"/>
              <w:start w:w="95" w:type="dxa"/>
              <w:end w:w="95" w:type="dxa"/>
            </w:tcMar>
          </w:tcPr>
          <w:p>
            <w:pPr>
              <w:spacing w:after="20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55" w:type="dxa"/>
              <w:bottom w:w="55" w:type="dxa"/>
              <w:start w:w="95" w:type="dxa"/>
              <w:end w:w="95" w:type="dxa"/>
            </w:tcMar>
          </w:tcPr>
          <w:p>
            <w:pPr>
              <w:spacing w:after="20"/>
            </w:pPr>
            <w:r>
              <w:rPr>
                <w:sz w:val="17"/>
              </w:rPr>
              <w:t>8 lokalizacji, po 2</w:t>
            </w:r>
          </w:p>
        </w:tc>
        <w:tc>
          <w:tcPr>
            <w:tcW w:type="dxa" w:w="2160"/>
            <w:vAlign w:val="center"/>
            <w:tcMar>
              <w:top w:w="55" w:type="dxa"/>
              <w:bottom w:w="55" w:type="dxa"/>
              <w:start w:w="95" w:type="dxa"/>
              <w:end w:w="95" w:type="dxa"/>
            </w:tcMar>
          </w:tcPr>
          <w:p>
            <w:pPr>
              <w:spacing w:after="20"/>
            </w:pPr>
            <w:r>
              <w:rPr>
                <w:sz w:val="17"/>
              </w:rPr>
              <w:t>numery z protokołu</w:t>
            </w:r>
          </w:p>
        </w:tc>
      </w:tr>
      <w:tr>
        <w:tc>
          <w:tcPr>
            <w:tcW w:type="dxa" w:w="2952"/>
            <w:vAlign w:val="center"/>
            <w:tcMar>
              <w:top w:w="55" w:type="dxa"/>
              <w:bottom w:w="55" w:type="dxa"/>
              <w:start w:w="95" w:type="dxa"/>
              <w:end w:w="95" w:type="dxa"/>
            </w:tcMar>
          </w:tcPr>
          <w:p>
            <w:pPr>
              <w:spacing w:after="20"/>
            </w:pPr>
            <w:r>
              <w:rPr>
                <w:sz w:val="17"/>
              </w:rPr>
              <w:t>Moduł odbiorczy</w:t>
            </w:r>
          </w:p>
        </w:tc>
        <w:tc>
          <w:tcPr>
            <w:tcW w:type="dxa" w:w="1512"/>
            <w:vAlign w:val="center"/>
            <w:tcMar>
              <w:top w:w="55" w:type="dxa"/>
              <w:bottom w:w="55" w:type="dxa"/>
              <w:start w:w="95" w:type="dxa"/>
              <w:end w:w="95" w:type="dxa"/>
            </w:tcMar>
          </w:tcPr>
          <w:p>
            <w:pPr>
              <w:spacing w:after="20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vAlign w:val="center"/>
            <w:tcMar>
              <w:top w:w="55" w:type="dxa"/>
              <w:bottom w:w="55" w:type="dxa"/>
              <w:start w:w="95" w:type="dxa"/>
              <w:end w:w="95" w:type="dxa"/>
            </w:tcMar>
          </w:tcPr>
          <w:p>
            <w:pPr>
              <w:spacing w:after="20"/>
            </w:pPr>
            <w:r>
              <w:rPr>
                <w:sz w:val="17"/>
              </w:rPr>
              <w:t>przy wyświetlaczu</w:t>
            </w:r>
          </w:p>
        </w:tc>
        <w:tc>
          <w:tcPr>
            <w:tcW w:type="dxa" w:w="2160"/>
            <w:vAlign w:val="center"/>
            <w:tcMar>
              <w:top w:w="55" w:type="dxa"/>
              <w:bottom w:w="55" w:type="dxa"/>
              <w:start w:w="95" w:type="dxa"/>
              <w:end w:w="95" w:type="dxa"/>
            </w:tcMar>
          </w:tcPr>
          <w:p>
            <w:pPr>
              <w:spacing w:after="20"/>
            </w:pPr>
            <w:r>
              <w:rPr>
                <w:sz w:val="17"/>
              </w:rPr>
              <w:t>numery z protokołu</w:t>
            </w:r>
          </w:p>
        </w:tc>
      </w:tr>
      <w:tr>
        <w:tc>
          <w:tcPr>
            <w:tcW w:type="dxa" w:w="2952"/>
            <w:vAlign w:val="center"/>
            <w:tcMar>
              <w:top w:w="55" w:type="dxa"/>
              <w:bottom w:w="55" w:type="dxa"/>
              <w:start w:w="95" w:type="dxa"/>
              <w:end w:w="95" w:type="dxa"/>
            </w:tcMar>
          </w:tcPr>
          <w:p>
            <w:pPr>
              <w:spacing w:after="20"/>
            </w:pPr>
            <w:r>
              <w:rPr>
                <w:sz w:val="17"/>
              </w:rPr>
              <w:t>Kontroler centralny</w:t>
            </w:r>
          </w:p>
        </w:tc>
        <w:tc>
          <w:tcPr>
            <w:tcW w:type="dxa" w:w="1512"/>
            <w:vAlign w:val="center"/>
            <w:tcMar>
              <w:top w:w="55" w:type="dxa"/>
              <w:bottom w:w="55" w:type="dxa"/>
              <w:start w:w="95" w:type="dxa"/>
              <w:end w:w="95" w:type="dxa"/>
            </w:tcMar>
          </w:tcPr>
          <w:p>
            <w:pPr>
              <w:spacing w:after="20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vAlign w:val="center"/>
            <w:tcMar>
              <w:top w:w="55" w:type="dxa"/>
              <w:bottom w:w="55" w:type="dxa"/>
              <w:start w:w="95" w:type="dxa"/>
              <w:end w:w="95" w:type="dxa"/>
            </w:tcMar>
          </w:tcPr>
          <w:p>
            <w:pPr>
              <w:spacing w:after="20"/>
            </w:pPr>
            <w:r>
              <w:rPr>
                <w:sz w:val="17"/>
              </w:rPr>
              <w:t>po 1 na lokalizację</w:t>
            </w:r>
          </w:p>
        </w:tc>
        <w:tc>
          <w:tcPr>
            <w:tcW w:type="dxa" w:w="2160"/>
            <w:vAlign w:val="center"/>
            <w:tcMar>
              <w:top w:w="55" w:type="dxa"/>
              <w:bottom w:w="55" w:type="dxa"/>
              <w:start w:w="95" w:type="dxa"/>
              <w:end w:w="95" w:type="dxa"/>
            </w:tcMar>
          </w:tcPr>
          <w:p>
            <w:pPr>
              <w:spacing w:after="20"/>
            </w:pPr>
            <w:r>
              <w:rPr>
                <w:sz w:val="17"/>
              </w:rPr>
              <w:t>numery z protokołu</w:t>
            </w:r>
          </w:p>
        </w:tc>
      </w:tr>
    </w:tbl>
    <w:p>
      <w:pPr>
        <w:pStyle w:val="Heading1"/>
        <w:pageBreakBefore/>
      </w:pPr>
      <w:r>
        <w:t>Załącznik nr 2 Zakres i poziom obsługi</w:t>
      </w:r>
    </w:p>
    <w:p>
      <w:pPr>
        <w:pStyle w:val="Heading1"/>
      </w:pPr>
      <w:r>
        <w:t>§ 21 Usługi standardowe</w:t>
      </w:r>
    </w:p>
    <w:p>
      <w:pPr>
        <w:keepLines/>
        <w:widowControl/>
      </w:pPr>
      <w:r>
        <w:rPr>
          <w:b/>
        </w:rPr>
        <w:t xml:space="preserve">21.1 </w:t>
      </w:r>
      <w:r>
        <w:t>Dostawca zapewnia zdalne sprawdzenie statusu każdego Urządzenia raz dziennie w Dni Robocze, dwa przeglądy techniczne w roku kalendarzowym oraz obsługę zgłoszeń serwisowych.</w:t>
      </w:r>
    </w:p>
    <w:p>
      <w:pPr>
        <w:keepLines/>
        <w:widowControl/>
      </w:pPr>
      <w:r>
        <w:rPr>
          <w:b/>
        </w:rPr>
        <w:t xml:space="preserve">21.2 </w:t>
      </w:r>
      <w:r>
        <w:t>Wynagrodzenie obejmuje robociznę i części zużyte przy naprawie awarii niezawinionej przez Klienta. Koszty szkód przypisanych Klientowi rozlicza się wyłącznie po akceptacji wyceny zgodnie z § 13.</w:t>
      </w:r>
    </w:p>
    <w:p>
      <w:pPr>
        <w:keepLines/>
        <w:widowControl/>
      </w:pPr>
      <w:r>
        <w:rPr>
          <w:b/>
        </w:rPr>
        <w:t xml:space="preserve">21.3 </w:t>
      </w:r>
      <w:r>
        <w:t>Wizyta poza godzinami 8:00–17:00, przeniesienie Urządzenia między lokalizacjami lub dodatkowe szkolenie wymaga odrębnego uzgodnienia ceny zgodnie z § 11.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880"/>
            <w:shd w:fill="315E57"/>
            <w:tcMar>
              <w:top w:w="55" w:type="dxa"/>
              <w:bottom w:w="55" w:type="dxa"/>
              <w:start w:w="95" w:type="dxa"/>
              <w:end w:w="95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Priorytet</w:t>
            </w:r>
          </w:p>
        </w:tc>
        <w:tc>
          <w:tcPr>
            <w:tcW w:type="dxa" w:w="2016"/>
            <w:shd w:fill="315E57"/>
            <w:tcMar>
              <w:top w:w="55" w:type="dxa"/>
              <w:bottom w:w="55" w:type="dxa"/>
              <w:start w:w="95" w:type="dxa"/>
              <w:end w:w="95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Reakcja</w:t>
            </w:r>
          </w:p>
        </w:tc>
        <w:tc>
          <w:tcPr>
            <w:tcW w:type="dxa" w:w="4320"/>
            <w:shd w:fill="315E57"/>
            <w:tcMar>
              <w:top w:w="55" w:type="dxa"/>
              <w:bottom w:w="55" w:type="dxa"/>
              <w:start w:w="95" w:type="dxa"/>
              <w:end w:w="95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Przykład</w:t>
            </w:r>
          </w:p>
        </w:tc>
      </w:tr>
      <w:tr>
        <w:tc>
          <w:tcPr>
            <w:tcW w:type="dxa" w:w="2880"/>
            <w:vAlign w:val="center"/>
            <w:tcMar>
              <w:top w:w="55" w:type="dxa"/>
              <w:bottom w:w="55" w:type="dxa"/>
              <w:start w:w="95" w:type="dxa"/>
              <w:end w:w="95" w:type="dxa"/>
            </w:tcMar>
          </w:tcPr>
          <w:p>
            <w:pPr>
              <w:spacing w:after="20"/>
            </w:pPr>
            <w:r>
              <w:rPr>
                <w:sz w:val="17"/>
              </w:rPr>
              <w:t>Krytyczny</w:t>
            </w:r>
          </w:p>
        </w:tc>
        <w:tc>
          <w:tcPr>
            <w:tcW w:type="dxa" w:w="2016"/>
            <w:vAlign w:val="center"/>
            <w:tcMar>
              <w:top w:w="55" w:type="dxa"/>
              <w:bottom w:w="55" w:type="dxa"/>
              <w:start w:w="95" w:type="dxa"/>
              <w:end w:w="95" w:type="dxa"/>
            </w:tcMar>
          </w:tcPr>
          <w:p>
            <w:pPr>
              <w:spacing w:after="20"/>
            </w:pPr>
            <w:r>
              <w:rPr>
                <w:sz w:val="17"/>
              </w:rPr>
              <w:t>4 godziny robocze</w:t>
            </w:r>
          </w:p>
        </w:tc>
        <w:tc>
          <w:tcPr>
            <w:tcW w:type="dxa" w:w="4320"/>
            <w:vAlign w:val="center"/>
            <w:tcMar>
              <w:top w:w="55" w:type="dxa"/>
              <w:bottom w:w="55" w:type="dxa"/>
              <w:start w:w="95" w:type="dxa"/>
              <w:end w:w="95" w:type="dxa"/>
            </w:tcMar>
          </w:tcPr>
          <w:p>
            <w:pPr>
              <w:spacing w:after="20"/>
            </w:pPr>
            <w:r>
              <w:rPr>
                <w:sz w:val="17"/>
              </w:rPr>
              <w:t>Brak działania w co najmniej 4 lokalizacjach</w:t>
            </w:r>
          </w:p>
        </w:tc>
      </w:tr>
      <w:tr>
        <w:tc>
          <w:tcPr>
            <w:tcW w:type="dxa" w:w="2880"/>
            <w:vAlign w:val="center"/>
            <w:tcMar>
              <w:top w:w="55" w:type="dxa"/>
              <w:bottom w:w="55" w:type="dxa"/>
              <w:start w:w="95" w:type="dxa"/>
              <w:end w:w="95" w:type="dxa"/>
            </w:tcMar>
          </w:tcPr>
          <w:p>
            <w:pPr>
              <w:spacing w:after="20"/>
            </w:pPr>
            <w:r>
              <w:rPr>
                <w:sz w:val="17"/>
              </w:rPr>
              <w:t>Wysoki</w:t>
            </w:r>
          </w:p>
        </w:tc>
        <w:tc>
          <w:tcPr>
            <w:tcW w:type="dxa" w:w="2016"/>
            <w:vAlign w:val="center"/>
            <w:tcMar>
              <w:top w:w="55" w:type="dxa"/>
              <w:bottom w:w="55" w:type="dxa"/>
              <w:start w:w="95" w:type="dxa"/>
              <w:end w:w="95" w:type="dxa"/>
            </w:tcMar>
          </w:tcPr>
          <w:p>
            <w:pPr>
              <w:spacing w:after="20"/>
            </w:pPr>
            <w:r>
              <w:rPr>
                <w:sz w:val="17"/>
              </w:rPr>
              <w:t>1 Dzień Roboczy</w:t>
            </w:r>
          </w:p>
        </w:tc>
        <w:tc>
          <w:tcPr>
            <w:tcW w:type="dxa" w:w="4320"/>
            <w:vAlign w:val="center"/>
            <w:tcMar>
              <w:top w:w="55" w:type="dxa"/>
              <w:bottom w:w="55" w:type="dxa"/>
              <w:start w:w="95" w:type="dxa"/>
              <w:end w:w="95" w:type="dxa"/>
            </w:tcMar>
          </w:tcPr>
          <w:p>
            <w:pPr>
              <w:spacing w:after="20"/>
            </w:pPr>
            <w:r>
              <w:rPr>
                <w:sz w:val="17"/>
              </w:rPr>
              <w:t>Brak działania w jednej lokalizacji</w:t>
            </w:r>
          </w:p>
        </w:tc>
      </w:tr>
      <w:tr>
        <w:tc>
          <w:tcPr>
            <w:tcW w:type="dxa" w:w="2880"/>
            <w:vAlign w:val="center"/>
            <w:tcMar>
              <w:top w:w="55" w:type="dxa"/>
              <w:bottom w:w="55" w:type="dxa"/>
              <w:start w:w="95" w:type="dxa"/>
              <w:end w:w="95" w:type="dxa"/>
            </w:tcMar>
          </w:tcPr>
          <w:p>
            <w:pPr>
              <w:spacing w:after="20"/>
            </w:pPr>
            <w:r>
              <w:rPr>
                <w:sz w:val="17"/>
              </w:rPr>
              <w:t>Standardowy</w:t>
            </w:r>
          </w:p>
        </w:tc>
        <w:tc>
          <w:tcPr>
            <w:tcW w:type="dxa" w:w="2016"/>
            <w:vAlign w:val="center"/>
            <w:tcMar>
              <w:top w:w="55" w:type="dxa"/>
              <w:bottom w:w="55" w:type="dxa"/>
              <w:start w:w="95" w:type="dxa"/>
              <w:end w:w="95" w:type="dxa"/>
            </w:tcMar>
          </w:tcPr>
          <w:p>
            <w:pPr>
              <w:spacing w:after="20"/>
            </w:pPr>
            <w:r>
              <w:rPr>
                <w:sz w:val="17"/>
              </w:rPr>
              <w:t>2 Dni Robocze</w:t>
            </w:r>
          </w:p>
        </w:tc>
        <w:tc>
          <w:tcPr>
            <w:tcW w:type="dxa" w:w="4320"/>
            <w:vAlign w:val="center"/>
            <w:tcMar>
              <w:top w:w="55" w:type="dxa"/>
              <w:bottom w:w="55" w:type="dxa"/>
              <w:start w:w="95" w:type="dxa"/>
              <w:end w:w="95" w:type="dxa"/>
            </w:tcMar>
          </w:tcPr>
          <w:p>
            <w:pPr>
              <w:spacing w:after="20"/>
            </w:pPr>
            <w:r>
              <w:rPr>
                <w:sz w:val="17"/>
              </w:rPr>
              <w:t>Pojedynczy błąd obrazu lub dźwięku</w:t>
            </w:r>
          </w:p>
        </w:tc>
      </w:tr>
    </w:tbl>
    <w:p>
      <w:pPr>
        <w:spacing w:before="160"/>
      </w:pPr>
      <w:r>
        <w:rPr>
          <w:i/>
          <w:color w:val="636C6F"/>
          <w:sz w:val="17"/>
        </w:rPr>
        <w:t>Koniec fikcyjnego dokumentu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81" w:bottom="1037" w:left="1181" w:header="461" w:footer="49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36C6F"/>
        <w:sz w:val="16"/>
      </w:rPr>
      <w:t xml:space="preserve">Fikcyjny dokument do ćwiczeń  •  Nie stanowi porady prawnej  •  Strona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36675E"/>
        <w:sz w:val="16"/>
      </w:rPr>
      <w:t>MATERIAŁ SZKOLENIOWY  •  DANE FIKCYJNE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80" w:line="259" w:lineRule="auto"/>
    </w:pPr>
    <w:rPr>
      <w:rFonts w:ascii="Calibri" w:hAnsi="Calibri"/>
      <w:color w:val="242B2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8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24B46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2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32444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/>
      <w:contextualSpacing/>
    </w:pPr>
    <w:rPr>
      <w:rFonts w:asciiTheme="majorHAnsi" w:eastAsiaTheme="majorEastAsia" w:hAnsiTheme="majorHAnsi" w:cstheme="majorBidi" w:ascii="Calibri Light" w:hAnsi="Calibri Light"/>
      <w:b/>
      <w:color w:val="1C2D33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najmu i obsługi wyposażenia multimedialnego — materiał fikcyjny</dc:title>
  <dc:subject>Ćwiczenie szkoleniowe z wyszukiwania i weryfikacji klauzul dotyczących opłat</dc:subject>
  <dc:creator>Materiał szkoleniowy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