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/>
          <w:b/>
          <w:color w:val="000000"/>
          <w:sz w:val="46"/>
        </w:rPr>
        <w:t>Profil klienta BudMax</w:t>
      </w:r>
    </w:p>
    <w:p>
      <w:pPr>
        <w:spacing w:after="160"/>
      </w:pPr>
      <w:r>
        <w:rPr>
          <w:rFonts w:ascii="Arial" w:hAnsi="Arial"/>
          <w:b w:val="0"/>
          <w:color w:val="627181"/>
          <w:sz w:val="20"/>
        </w:rPr>
        <w:t>Karta przygotowawcza do rozmowy o wymianie floty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51"/>
      </w:tblGrid>
      <w:tr>
        <w:tc>
          <w:tcPr>
            <w:tcW w:type="dxa" w:w="9751"/>
            <w:vAlign w:val="center"/>
            <w:shd w:fill="EEF4F5"/>
            <w:tcMar>
              <w:top w:w="130" w:type="dxa"/>
              <w:start w:w="170" w:type="dxa"/>
              <w:bottom w:w="130" w:type="dxa"/>
              <w:end w:w="170" w:type="dxa"/>
            </w:tcMar>
          </w:tcPr>
          <w:p>
            <w:pPr>
              <w:spacing w:after="40"/>
            </w:pPr>
            <w:r>
              <w:rPr>
                <w:rFonts w:ascii="Arial" w:hAnsi="Arial"/>
                <w:b/>
                <w:color w:val="187C80"/>
                <w:sz w:val="19"/>
              </w:rPr>
              <w:t xml:space="preserve">Do wykorzystania  </w:t>
            </w:r>
            <w:r>
              <w:rPr>
                <w:rFonts w:ascii="Arial" w:hAnsi="Arial"/>
                <w:b w:val="0"/>
                <w:color w:val="203044"/>
                <w:sz w:val="19"/>
              </w:rPr>
              <w:t>Oddziel fakty podane przez klienta od założeń. Profil nie potwierdza ceny, dostępności ani terminu dostawy.</w:t>
            </w:r>
          </w:p>
        </w:tc>
      </w:tr>
    </w:tbl>
    <w:p>
      <w:pPr>
        <w:spacing w:after="0"/>
      </w:pPr>
    </w:p>
    <w:p>
      <w:pPr>
        <w:pStyle w:val="Heading1"/>
      </w:pPr>
      <w:r>
        <w:t>Firma i proces decyzyjny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483"/>
      </w:tblGrid>
      <w:tr>
        <w:tc>
          <w:tcPr>
            <w:tcW w:type="dxa" w:w="2268"/>
            <w:vAlign w:val="center"/>
            <w:tcMar>
              <w:top w:w="95" w:type="dxa"/>
              <w:start w:w="120" w:type="dxa"/>
              <w:bottom w:w="95" w:type="dxa"/>
              <w:end w:w="120" w:type="dxa"/>
            </w:tcMar>
            <w:shd w:fill="EEF4F5"/>
          </w:tcPr>
          <w:p>
            <w:pPr>
              <w:spacing w:after="0"/>
            </w:pPr>
            <w:r>
              <w:rPr>
                <w:rFonts w:ascii="Arial" w:hAnsi="Arial"/>
                <w:b/>
                <w:color w:val="187C80"/>
                <w:sz w:val="18"/>
              </w:rPr>
              <w:t>Firma</w:t>
            </w:r>
          </w:p>
        </w:tc>
        <w:tc>
          <w:tcPr>
            <w:tcW w:type="dxa" w:w="7483"/>
            <w:vAlign w:val="center"/>
            <w:tcMar>
              <w:top w:w="95" w:type="dxa"/>
              <w:start w:w="120" w:type="dxa"/>
              <w:bottom w:w="9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203044"/>
                <w:sz w:val="18"/>
              </w:rPr>
              <w:t>BudMax Instalacje Sp. z o.o.</w:t>
            </w:r>
          </w:p>
        </w:tc>
      </w:tr>
      <w:tr>
        <w:tc>
          <w:tcPr>
            <w:tcW w:type="dxa" w:w="2268"/>
            <w:vAlign w:val="center"/>
            <w:tcMar>
              <w:top w:w="95" w:type="dxa"/>
              <w:start w:w="120" w:type="dxa"/>
              <w:bottom w:w="95" w:type="dxa"/>
              <w:end w:w="120" w:type="dxa"/>
            </w:tcMar>
            <w:shd w:fill="EEF4F5"/>
          </w:tcPr>
          <w:p>
            <w:pPr>
              <w:spacing w:after="0"/>
            </w:pPr>
            <w:r>
              <w:rPr>
                <w:rFonts w:ascii="Arial" w:hAnsi="Arial"/>
                <w:b/>
                <w:color w:val="187C80"/>
                <w:sz w:val="18"/>
              </w:rPr>
              <w:t>Branża i zasięg</w:t>
            </w:r>
          </w:p>
        </w:tc>
        <w:tc>
          <w:tcPr>
            <w:tcW w:type="dxa" w:w="7483"/>
            <w:vAlign w:val="center"/>
            <w:tcMar>
              <w:top w:w="95" w:type="dxa"/>
              <w:start w:w="120" w:type="dxa"/>
              <w:bottom w:w="95" w:type="dxa"/>
              <w:end w:w="120" w:type="dxa"/>
            </w:tcMar>
            <w:shd w:fill="F5F7F8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203044"/>
                <w:sz w:val="18"/>
              </w:rPr>
              <w:t>Instalacje HVAC; działalność w całej Polsce.</w:t>
            </w:r>
          </w:p>
        </w:tc>
      </w:tr>
      <w:tr>
        <w:tc>
          <w:tcPr>
            <w:tcW w:type="dxa" w:w="2268"/>
            <w:vAlign w:val="center"/>
            <w:tcMar>
              <w:top w:w="95" w:type="dxa"/>
              <w:start w:w="120" w:type="dxa"/>
              <w:bottom w:w="95" w:type="dxa"/>
              <w:end w:w="120" w:type="dxa"/>
            </w:tcMar>
            <w:shd w:fill="EEF4F5"/>
          </w:tcPr>
          <w:p>
            <w:pPr>
              <w:spacing w:after="0"/>
            </w:pPr>
            <w:r>
              <w:rPr>
                <w:rFonts w:ascii="Arial" w:hAnsi="Arial"/>
                <w:b/>
                <w:color w:val="187C80"/>
                <w:sz w:val="18"/>
              </w:rPr>
              <w:t>Skala i staż</w:t>
            </w:r>
          </w:p>
        </w:tc>
        <w:tc>
          <w:tcPr>
            <w:tcW w:type="dxa" w:w="7483"/>
            <w:vAlign w:val="center"/>
            <w:tcMar>
              <w:top w:w="95" w:type="dxa"/>
              <w:start w:w="120" w:type="dxa"/>
              <w:bottom w:w="9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203044"/>
                <w:sz w:val="18"/>
              </w:rPr>
              <w:t>Około 140 pracowników; firma działa od 3 lat.</w:t>
            </w:r>
          </w:p>
        </w:tc>
      </w:tr>
      <w:tr>
        <w:tc>
          <w:tcPr>
            <w:tcW w:type="dxa" w:w="2268"/>
            <w:vAlign w:val="center"/>
            <w:tcMar>
              <w:top w:w="95" w:type="dxa"/>
              <w:start w:w="120" w:type="dxa"/>
              <w:bottom w:w="95" w:type="dxa"/>
              <w:end w:w="120" w:type="dxa"/>
            </w:tcMar>
            <w:shd w:fill="EEF4F5"/>
          </w:tcPr>
          <w:p>
            <w:pPr>
              <w:spacing w:after="0"/>
            </w:pPr>
            <w:r>
              <w:rPr>
                <w:rFonts w:ascii="Arial" w:hAnsi="Arial"/>
                <w:b/>
                <w:color w:val="187C80"/>
                <w:sz w:val="18"/>
              </w:rPr>
              <w:t>Kontakt</w:t>
            </w:r>
          </w:p>
        </w:tc>
        <w:tc>
          <w:tcPr>
            <w:tcW w:type="dxa" w:w="7483"/>
            <w:vAlign w:val="center"/>
            <w:tcMar>
              <w:top w:w="95" w:type="dxa"/>
              <w:start w:w="120" w:type="dxa"/>
              <w:bottom w:w="95" w:type="dxa"/>
              <w:end w:w="120" w:type="dxa"/>
            </w:tcMar>
            <w:shd w:fill="F5F7F8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203044"/>
                <w:sz w:val="18"/>
              </w:rPr>
              <w:t>Anna Kowalczyk, Office &amp; Fleet Manager. Prowadzi proces.</w:t>
            </w:r>
          </w:p>
        </w:tc>
      </w:tr>
      <w:tr>
        <w:tc>
          <w:tcPr>
            <w:tcW w:type="dxa" w:w="2268"/>
            <w:vAlign w:val="center"/>
            <w:tcMar>
              <w:top w:w="95" w:type="dxa"/>
              <w:start w:w="120" w:type="dxa"/>
              <w:bottom w:w="95" w:type="dxa"/>
              <w:end w:w="120" w:type="dxa"/>
            </w:tcMar>
            <w:shd w:fill="EEF4F5"/>
          </w:tcPr>
          <w:p>
            <w:pPr>
              <w:spacing w:after="0"/>
            </w:pPr>
            <w:r>
              <w:rPr>
                <w:rFonts w:ascii="Arial" w:hAnsi="Arial"/>
                <w:b/>
                <w:color w:val="187C80"/>
                <w:sz w:val="18"/>
              </w:rPr>
              <w:t>Decyzje</w:t>
            </w:r>
          </w:p>
        </w:tc>
        <w:tc>
          <w:tcPr>
            <w:tcW w:type="dxa" w:w="7483"/>
            <w:vAlign w:val="center"/>
            <w:tcMar>
              <w:top w:w="95" w:type="dxa"/>
              <w:start w:w="120" w:type="dxa"/>
              <w:bottom w:w="9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203044"/>
                <w:sz w:val="18"/>
              </w:rPr>
              <w:t>CFO zatwierdza business case. Zarząd opiniuje samochody zarządcze. Nazwiska CFO nie ma w materiałach.</w:t>
            </w:r>
          </w:p>
        </w:tc>
      </w:tr>
      <w:tr>
        <w:tc>
          <w:tcPr>
            <w:tcW w:type="dxa" w:w="2268"/>
            <w:vAlign w:val="center"/>
            <w:tcMar>
              <w:top w:w="95" w:type="dxa"/>
              <w:start w:w="120" w:type="dxa"/>
              <w:bottom w:w="95" w:type="dxa"/>
              <w:end w:w="120" w:type="dxa"/>
            </w:tcMar>
            <w:shd w:fill="EEF4F5"/>
          </w:tcPr>
          <w:p>
            <w:pPr>
              <w:spacing w:after="0"/>
            </w:pPr>
            <w:r>
              <w:rPr>
                <w:rFonts w:ascii="Arial" w:hAnsi="Arial"/>
                <w:b/>
                <w:color w:val="187C80"/>
                <w:sz w:val="18"/>
              </w:rPr>
              <w:t>Obecna flota</w:t>
            </w:r>
          </w:p>
        </w:tc>
        <w:tc>
          <w:tcPr>
            <w:tcW w:type="dxa" w:w="7483"/>
            <w:vAlign w:val="center"/>
            <w:tcMar>
              <w:top w:w="95" w:type="dxa"/>
              <w:start w:w="120" w:type="dxa"/>
              <w:bottom w:w="95" w:type="dxa"/>
              <w:end w:w="120" w:type="dxa"/>
            </w:tcMar>
            <w:shd w:fill="F5F7F8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203044"/>
                <w:sz w:val="18"/>
              </w:rPr>
              <w:t>Samochody są w leasingu; obecna umowa kończy się w lutym. Dokładny termin wydania nowych aut nie został potwierdzony.</w:t>
            </w:r>
          </w:p>
        </w:tc>
      </w:tr>
    </w:tbl>
    <w:p>
      <w:pPr>
        <w:pStyle w:val="Heading1"/>
      </w:pPr>
      <w:r>
        <w:t>Potrzeba i warunki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483"/>
      </w:tblGrid>
      <w:tr>
        <w:tc>
          <w:tcPr>
            <w:tcW w:type="dxa" w:w="2268"/>
            <w:vAlign w:val="center"/>
            <w:tcMar>
              <w:top w:w="95" w:type="dxa"/>
              <w:start w:w="120" w:type="dxa"/>
              <w:bottom w:w="95" w:type="dxa"/>
              <w:end w:w="120" w:type="dxa"/>
            </w:tcMar>
            <w:shd w:fill="EEF4F5"/>
          </w:tcPr>
          <w:p>
            <w:pPr>
              <w:spacing w:after="0"/>
            </w:pPr>
            <w:r>
              <w:rPr>
                <w:rFonts w:ascii="Arial" w:hAnsi="Arial"/>
                <w:b/>
                <w:color w:val="187C80"/>
                <w:sz w:val="18"/>
              </w:rPr>
              <w:t>Liczba aut</w:t>
            </w:r>
          </w:p>
        </w:tc>
        <w:tc>
          <w:tcPr>
            <w:tcW w:type="dxa" w:w="7483"/>
            <w:vAlign w:val="center"/>
            <w:tcMar>
              <w:top w:w="95" w:type="dxa"/>
              <w:start w:w="120" w:type="dxa"/>
              <w:bottom w:w="9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203044"/>
                <w:sz w:val="18"/>
              </w:rPr>
              <w:t>12 dla handlowców oraz 2 dla zarządu.</w:t>
            </w:r>
          </w:p>
        </w:tc>
      </w:tr>
      <w:tr>
        <w:tc>
          <w:tcPr>
            <w:tcW w:type="dxa" w:w="2268"/>
            <w:vAlign w:val="center"/>
            <w:tcMar>
              <w:top w:w="95" w:type="dxa"/>
              <w:start w:w="120" w:type="dxa"/>
              <w:bottom w:w="95" w:type="dxa"/>
              <w:end w:w="120" w:type="dxa"/>
            </w:tcMar>
            <w:shd w:fill="EEF4F5"/>
          </w:tcPr>
          <w:p>
            <w:pPr>
              <w:spacing w:after="0"/>
            </w:pPr>
            <w:r>
              <w:rPr>
                <w:rFonts w:ascii="Arial" w:hAnsi="Arial"/>
                <w:b/>
                <w:color w:val="187C80"/>
                <w:sz w:val="18"/>
              </w:rPr>
              <w:t>Użytkowanie</w:t>
            </w:r>
          </w:p>
        </w:tc>
        <w:tc>
          <w:tcPr>
            <w:tcW w:type="dxa" w:w="7483"/>
            <w:vAlign w:val="center"/>
            <w:tcMar>
              <w:top w:w="95" w:type="dxa"/>
              <w:start w:w="120" w:type="dxa"/>
              <w:bottom w:w="95" w:type="dxa"/>
              <w:end w:w="120" w:type="dxa"/>
            </w:tcMar>
            <w:shd w:fill="F5F7F8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203044"/>
                <w:sz w:val="18"/>
              </w:rPr>
              <w:t>Wstępny szacunek to około 45 tys. km rocznie; nie podano, czy dotyczy każdego auta, czy całej floty.</w:t>
            </w:r>
          </w:p>
        </w:tc>
      </w:tr>
      <w:tr>
        <w:tc>
          <w:tcPr>
            <w:tcW w:type="dxa" w:w="2268"/>
            <w:vAlign w:val="center"/>
            <w:tcMar>
              <w:top w:w="95" w:type="dxa"/>
              <w:start w:w="120" w:type="dxa"/>
              <w:bottom w:w="95" w:type="dxa"/>
              <w:end w:w="120" w:type="dxa"/>
            </w:tcMar>
            <w:shd w:fill="EEF4F5"/>
          </w:tcPr>
          <w:p>
            <w:pPr>
              <w:spacing w:after="0"/>
            </w:pPr>
            <w:r>
              <w:rPr>
                <w:rFonts w:ascii="Arial" w:hAnsi="Arial"/>
                <w:b/>
                <w:color w:val="187C80"/>
                <w:sz w:val="18"/>
              </w:rPr>
              <w:t>Nadwozie i napęd</w:t>
            </w:r>
          </w:p>
        </w:tc>
        <w:tc>
          <w:tcPr>
            <w:tcW w:type="dxa" w:w="7483"/>
            <w:vAlign w:val="center"/>
            <w:tcMar>
              <w:top w:w="95" w:type="dxa"/>
              <w:start w:w="120" w:type="dxa"/>
              <w:bottom w:w="9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203044"/>
                <w:sz w:val="18"/>
              </w:rPr>
              <w:t>Wskazano kombi lub SUV klasy C oraz napęd hybrydowy lub benzynowy. Przed wyceną potwierdź, co jest wymogiem, a co preferencją.</w:t>
            </w:r>
          </w:p>
        </w:tc>
      </w:tr>
      <w:tr>
        <w:tc>
          <w:tcPr>
            <w:tcW w:type="dxa" w:w="2268"/>
            <w:vAlign w:val="center"/>
            <w:tcMar>
              <w:top w:w="95" w:type="dxa"/>
              <w:start w:w="120" w:type="dxa"/>
              <w:bottom w:w="95" w:type="dxa"/>
              <w:end w:w="120" w:type="dxa"/>
            </w:tcMar>
            <w:shd w:fill="EEF4F5"/>
          </w:tcPr>
          <w:p>
            <w:pPr>
              <w:spacing w:after="0"/>
            </w:pPr>
            <w:r>
              <w:rPr>
                <w:rFonts w:ascii="Arial" w:hAnsi="Arial"/>
                <w:b/>
                <w:color w:val="187C80"/>
                <w:sz w:val="18"/>
              </w:rPr>
              <w:t>Praktyczne potrzeby</w:t>
            </w:r>
          </w:p>
        </w:tc>
        <w:tc>
          <w:tcPr>
            <w:tcW w:type="dxa" w:w="7483"/>
            <w:vAlign w:val="center"/>
            <w:tcMar>
              <w:top w:w="95" w:type="dxa"/>
              <w:start w:w="120" w:type="dxa"/>
              <w:bottom w:w="95" w:type="dxa"/>
              <w:end w:w="120" w:type="dxa"/>
            </w:tcMar>
            <w:shd w:fill="F5F7F8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203044"/>
                <w:sz w:val="18"/>
              </w:rPr>
              <w:t>Duży bagażnik jest ważny, ponieważ handlowcy wożą próbki i katalogi. Hak nie jest potrzebny.</w:t>
            </w:r>
          </w:p>
        </w:tc>
      </w:tr>
      <w:tr>
        <w:tc>
          <w:tcPr>
            <w:tcW w:type="dxa" w:w="2268"/>
            <w:vAlign w:val="center"/>
            <w:tcMar>
              <w:top w:w="95" w:type="dxa"/>
              <w:start w:w="120" w:type="dxa"/>
              <w:bottom w:w="95" w:type="dxa"/>
              <w:end w:w="120" w:type="dxa"/>
            </w:tcMar>
            <w:shd w:fill="EEF4F5"/>
          </w:tcPr>
          <w:p>
            <w:pPr>
              <w:spacing w:after="0"/>
            </w:pPr>
            <w:r>
              <w:rPr>
                <w:rFonts w:ascii="Arial" w:hAnsi="Arial"/>
                <w:b/>
                <w:color w:val="187C80"/>
                <w:sz w:val="18"/>
              </w:rPr>
              <w:t>Okres</w:t>
            </w:r>
          </w:p>
        </w:tc>
        <w:tc>
          <w:tcPr>
            <w:tcW w:type="dxa" w:w="7483"/>
            <w:vAlign w:val="center"/>
            <w:tcMar>
              <w:top w:w="95" w:type="dxa"/>
              <w:start w:w="120" w:type="dxa"/>
              <w:bottom w:w="9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203044"/>
                <w:sz w:val="18"/>
              </w:rPr>
              <w:t>48 miesięcy.</w:t>
            </w:r>
          </w:p>
        </w:tc>
      </w:tr>
      <w:tr>
        <w:tc>
          <w:tcPr>
            <w:tcW w:type="dxa" w:w="2268"/>
            <w:vAlign w:val="center"/>
            <w:tcMar>
              <w:top w:w="95" w:type="dxa"/>
              <w:start w:w="120" w:type="dxa"/>
              <w:bottom w:w="95" w:type="dxa"/>
              <w:end w:w="120" w:type="dxa"/>
            </w:tcMar>
            <w:shd w:fill="EEF4F5"/>
          </w:tcPr>
          <w:p>
            <w:pPr>
              <w:spacing w:after="0"/>
            </w:pPr>
            <w:r>
              <w:rPr>
                <w:rFonts w:ascii="Arial" w:hAnsi="Arial"/>
                <w:b/>
                <w:color w:val="187C80"/>
                <w:sz w:val="18"/>
              </w:rPr>
              <w:t>Budżet</w:t>
            </w:r>
          </w:p>
        </w:tc>
        <w:tc>
          <w:tcPr>
            <w:tcW w:type="dxa" w:w="7483"/>
            <w:vAlign w:val="center"/>
            <w:tcMar>
              <w:top w:w="95" w:type="dxa"/>
              <w:start w:w="120" w:type="dxa"/>
              <w:bottom w:w="95" w:type="dxa"/>
              <w:end w:w="120" w:type="dxa"/>
            </w:tcMar>
            <w:shd w:fill="F5F7F8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203044"/>
                <w:sz w:val="18"/>
              </w:rPr>
              <w:t>Do 2 400 zł netto miesięcznie za auto handlowca; do 4 200 zł za auto zarządu. To limity zgłoszone przez klienta, nie potwierdzone ceny. Dla kwoty zarządczej nie podano, czy chodzi o netto czy brutto.</w:t>
            </w:r>
          </w:p>
        </w:tc>
      </w:tr>
      <w:tr>
        <w:tc>
          <w:tcPr>
            <w:tcW w:type="dxa" w:w="2268"/>
            <w:vAlign w:val="center"/>
            <w:tcMar>
              <w:top w:w="95" w:type="dxa"/>
              <w:start w:w="120" w:type="dxa"/>
              <w:bottom w:w="95" w:type="dxa"/>
              <w:end w:w="120" w:type="dxa"/>
            </w:tcMar>
            <w:shd w:fill="EEF4F5"/>
          </w:tcPr>
          <w:p>
            <w:pPr>
              <w:spacing w:after="0"/>
            </w:pPr>
            <w:r>
              <w:rPr>
                <w:rFonts w:ascii="Arial" w:hAnsi="Arial"/>
                <w:b/>
                <w:color w:val="187C80"/>
                <w:sz w:val="18"/>
              </w:rPr>
              <w:t>Prośba</w:t>
            </w:r>
          </w:p>
        </w:tc>
        <w:tc>
          <w:tcPr>
            <w:tcW w:type="dxa" w:w="7483"/>
            <w:vAlign w:val="center"/>
            <w:tcMar>
              <w:top w:w="95" w:type="dxa"/>
              <w:start w:w="120" w:type="dxa"/>
              <w:bottom w:w="9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203044"/>
                <w:sz w:val="18"/>
              </w:rPr>
              <w:t>Klient prosi o propozycję do końca miesiąca.</w:t>
            </w:r>
          </w:p>
        </w:tc>
      </w:tr>
    </w:tbl>
    <w:p>
      <w:pPr>
        <w:pStyle w:val="Heading1"/>
      </w:pPr>
      <w:r>
        <w:t>Pytania przed wyceną</w:t>
      </w:r>
    </w:p>
    <w:p>
      <w:pPr>
        <w:pStyle w:val="ListBullet"/>
        <w:spacing w:after="40"/>
        <w:ind w:left="255" w:hanging="125"/>
      </w:pPr>
      <w:r>
        <w:rPr>
          <w:rFonts w:ascii="Arial" w:hAnsi="Arial"/>
          <w:b w:val="0"/>
          <w:color w:val="203044"/>
          <w:sz w:val="19"/>
        </w:rPr>
        <w:t>Jaki jest oczekiwany termin dostawy i czy wymiana wszystkich aut ma nastąpić jednocześnie?</w:t>
      </w:r>
    </w:p>
    <w:p>
      <w:pPr>
        <w:pStyle w:val="ListBullet"/>
        <w:spacing w:after="40"/>
        <w:ind w:left="255" w:hanging="125"/>
      </w:pPr>
      <w:r>
        <w:rPr>
          <w:rFonts w:ascii="Arial" w:hAnsi="Arial"/>
          <w:b w:val="0"/>
          <w:color w:val="203044"/>
          <w:sz w:val="19"/>
        </w:rPr>
        <w:t>Które nadwozia i napędy są obowiązkowe, a które preferowane?</w:t>
      </w:r>
    </w:p>
    <w:p>
      <w:pPr>
        <w:pStyle w:val="ListBullet"/>
        <w:spacing w:after="40"/>
        <w:ind w:left="255" w:hanging="125"/>
      </w:pPr>
      <w:r>
        <w:rPr>
          <w:rFonts w:ascii="Arial" w:hAnsi="Arial"/>
          <w:b w:val="0"/>
          <w:color w:val="203044"/>
          <w:sz w:val="19"/>
        </w:rPr>
        <w:t>Czy limit 4 200 zł dla aut zarządu jest netto czy brutto?</w:t>
      </w:r>
    </w:p>
    <w:p>
      <w:pPr>
        <w:pStyle w:val="ListBullet"/>
        <w:spacing w:after="40"/>
        <w:ind w:left="255" w:hanging="125"/>
      </w:pPr>
      <w:r>
        <w:rPr>
          <w:rFonts w:ascii="Arial" w:hAnsi="Arial"/>
          <w:b w:val="0"/>
          <w:color w:val="203044"/>
          <w:sz w:val="19"/>
        </w:rPr>
        <w:t>Jakie wyposażenie, zasady serwisu i warunki użytkowania trzeba uwzględnić w porównaniu ofert?</w:t>
      </w:r>
    </w:p>
    <w:p>
      <w:pPr>
        <w:pStyle w:val="Heading1"/>
      </w:pPr>
      <w:r>
        <w:t>Informacje poboczne do selekcji</w:t>
      </w:r>
    </w:p>
    <w:p>
      <w:pPr>
        <w:spacing w:after="0"/>
      </w:pPr>
      <w:r>
        <w:rPr>
          <w:rFonts w:ascii="Arial" w:hAnsi="Arial"/>
          <w:b w:val="0"/>
          <w:i w:val="0"/>
          <w:color w:val="203044"/>
          <w:sz w:val="20"/>
        </w:rPr>
        <w:t>W materiałach organizacyjnych BudMax zapisano także, że centrala mieści się we Wrocławiu, wspólny kalendarz zespołu jest używany do spotkań wewnętrznych, a materiały onboardingowe aktualizowano w maju. Te informacje nie rozstrzygają o doborze ani wycenie floty.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77" w:bottom="992" w:left="1077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Arial" w:hAnsi="Arial"/>
        <w:b/>
        <w:color w:val="627181"/>
        <w:sz w:val="16"/>
      </w:rPr>
      <w:t>MATERIAŁ SZKOLENIOWY – DANE FIKCYJNE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Arial" w:hAnsi="Arial"/>
        <w:b/>
        <w:color w:val="627181"/>
        <w:sz w:val="16"/>
      </w:rPr>
      <w:t>MATERIAŁ SZKOLENIOWY – DANE FIKCYJNE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rial" w:hAnsi="Arial"/>
      <w:color w:val="203044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Arial" w:hAnsi="Arial"/>
      <w:b/>
      <w:bCs/>
      <w:color w:val="187C8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80"/>
      <w:outlineLvl w:val="1"/>
    </w:pPr>
    <w:rPr>
      <w:rFonts w:asciiTheme="majorHAnsi" w:eastAsiaTheme="majorEastAsia" w:hAnsiTheme="majorHAnsi" w:cstheme="majorBidi" w:ascii="Arial" w:hAnsi="Arial"/>
      <w:b/>
      <w:bCs/>
      <w:color w:val="203044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Profil klienta BudMax</dc:title>
  <dc:subject>Materiały do fikcyjnego case'u szkoleniowego</dc:subject>
  <dc:creator>Materiały szkoleniowe</dc:creator>
  <cp:keywords>szkolenie, dane fikcyjne, BudMax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