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526547"/>
          <w:sz w:val="40"/>
        </w:rPr>
        <w:t>Keputusan Integrasi Mekari Jurnal</w:t>
      </w:r>
    </w:p>
    <w:p>
      <w:pPr>
        <w:spacing w:after="40"/>
      </w:pPr>
      <w:r>
        <w:rPr>
          <w:i/>
          <w:color w:val="57655A"/>
          <w:sz w:val="20"/>
        </w:rPr>
        <w:t>Treelogy Regenerative Moringa · Sinkronisasi otomatis pesanan omnichannel ke pembukuan</w:t>
      </w:r>
    </w:p>
    <w:p>
      <w:pPr>
        <w:spacing w:after="200"/>
      </w:pPr>
      <w:r>
        <w:rPr>
          <w:i/>
          <w:color w:val="57655A"/>
          <w:sz w:val="18"/>
        </w:rPr>
        <w:t>Disusun 11 September 2026</w:t>
      </w:r>
    </w:p>
    <w:p>
      <w:pPr>
        <w:spacing w:after="120"/>
      </w:pPr>
      <w:r>
        <w:rPr>
          <w:i w:val="0"/>
          <w:sz w:val="21"/>
        </w:rPr>
        <w:t>Tiga keputusan di bawah ini menentukan bagaimana setiap pesanan dari Tokopedia, TikTok Shop, Shopee dan Shopify dicatat ke Mekari Jurnal. Ketiganya berkonsekuensi pada pelaporan pajak, sehingga diputuskan secara eksplisit, bukan diasumsikan.</w:t>
      </w:r>
    </w:p>
    <w:p>
      <w:pPr>
        <w:spacing w:before="280" w:after="80"/>
      </w:pPr>
      <w:r>
        <w:rPr>
          <w:b/>
          <w:color w:val="2B3C35"/>
          <w:sz w:val="26"/>
        </w:rPr>
        <w:t>1. Nilai yang dicatat sebagai pendapatan</w:t>
      </w:r>
    </w:p>
    <w:p>
      <w:pPr>
        <w:spacing w:after="60"/>
      </w:pPr>
      <w:r>
        <w:rPr>
          <w:b/>
          <w:sz w:val="21"/>
        </w:rPr>
        <w:t xml:space="preserve">Dipilih: </w:t>
      </w:r>
      <w:r>
        <w:rPr>
          <w:b/>
          <w:color w:val="526547"/>
          <w:sz w:val="21"/>
        </w:rPr>
        <w:t>Harga jual bruto, biaya platform dicatat terpisah</w:t>
      </w:r>
    </w:p>
    <w:p>
      <w:pPr>
        <w:spacing w:after="60"/>
      </w:pPr>
      <w:r>
        <w:rPr>
          <w:i w:val="0"/>
          <w:sz w:val="21"/>
        </w:rPr>
        <w:t>Faktur mencatat harga jual penuh (contoh Rp485.000). Komisi, service fee dan biaya proses Shopee dicatat sendiri sebagai beban, tidak dipotong dari omzet.</w:t>
      </w:r>
    </w:p>
    <w:p>
      <w:pPr>
        <w:spacing w:after="120"/>
      </w:pPr>
      <w:r>
        <w:rPr>
          <w:b/>
          <w:sz w:val="20"/>
        </w:rPr>
        <w:t xml:space="preserve">Konsekuensi: </w:t>
      </w:r>
      <w:r>
        <w:rPr>
          <w:sz w:val="20"/>
        </w:rPr>
        <w:t>Omzet tidak terkecilkan oleh potongan platform, sesuai yang lazim diminta akuntan untuk pelaporan pajak. Perlu akun beban khusus biaya marketplace di Jurnal.</w:t>
      </w:r>
    </w:p>
    <w:p>
      <w:pPr>
        <w:spacing w:after="40"/>
      </w:pPr>
      <w:r>
        <w:rPr>
          <w:b/>
          <w:color w:val="57655A"/>
          <w:sz w:val="19"/>
        </w:rPr>
        <w:t>Opsi lain yang dipertimbangkan</w:t>
      </w:r>
    </w:p>
    <w:tbl>
      <w:tblPr>
        <w:tblStyle w:val="LightGrid-Accent1"/>
        <w:tblW w:type="auto" w:w="0"/>
        <w:tblLayout w:type="fixed"/>
        <w:tblLook w:firstColumn="1" w:firstRow="1" w:lastColumn="0" w:lastRow="0" w:noHBand="0" w:noVBand="1" w:val="04A0"/>
      </w:tblPr>
      <w:tblGrid>
        <w:gridCol w:w="4824"/>
        <w:gridCol w:w="4824"/>
      </w:tblGrid>
      <w:tr>
        <w:tc>
          <w:tcPr>
            <w:tcW w:type="dxa" w:w="2880"/>
          </w:tcPr>
          <w:p>
            <w:r>
              <w:rPr>
                <w:b/>
                <w:sz w:val="19"/>
              </w:rPr>
              <w:t>Nilai escrow bersih</w:t>
            </w:r>
          </w:p>
        </w:tc>
        <w:tc>
          <w:tcPr>
            <w:tcW w:type="dxa" w:w="6336"/>
          </w:tcPr>
          <w:p>
            <w:r>
              <w:rPr>
                <w:sz w:val="19"/>
              </w:rPr>
              <w:t>Faktur Rp415.850 sesuai uang masuk. Cocok dengan mutasi bank, tapi omzet tercatat lebih kecil dari penjualan sebenarnya dan biaya platform tidak terlihat di pembukuan.</w:t>
            </w:r>
          </w:p>
        </w:tc>
      </w:tr>
      <w:tr>
        <w:tc>
          <w:tcPr>
            <w:tcW w:type="dxa" w:w="2880"/>
          </w:tcPr>
          <w:p>
            <w:r>
              <w:rPr>
                <w:b/>
                <w:sz w:val="19"/>
              </w:rPr>
              <w:t>Yang dibayar pembeli</w:t>
            </w:r>
          </w:p>
        </w:tc>
        <w:tc>
          <w:tcPr>
            <w:tcW w:type="dxa" w:w="6336"/>
          </w:tcPr>
          <w:p>
            <w:r>
              <w:rPr>
                <w:sz w:val="19"/>
              </w:rPr>
              <w:t>Faktur Rp404.217. Voucher yang ditanggung Shopee akan terlihat seperti diskon penjual, mengecilkan omzet padahal uangnya tetap diterima penuh.</w:t>
            </w:r>
          </w:p>
        </w:tc>
      </w:tr>
    </w:tbl>
    <w:p>
      <w:pPr>
        <w:spacing w:after="0"/>
      </w:pPr>
    </w:p>
    <w:p>
      <w:pPr>
        <w:spacing w:before="280" w:after="80"/>
      </w:pPr>
      <w:r>
        <w:rPr>
          <w:b/>
          <w:color w:val="2B3C35"/>
          <w:sz w:val="26"/>
        </w:rPr>
        <w:t>2. Waktu sinkronisasi</w:t>
      </w:r>
    </w:p>
    <w:p>
      <w:pPr>
        <w:spacing w:after="60"/>
      </w:pPr>
      <w:r>
        <w:rPr>
          <w:b/>
          <w:sz w:val="21"/>
        </w:rPr>
        <w:t xml:space="preserve">Dipilih: </w:t>
      </w:r>
      <w:r>
        <w:rPr>
          <w:b/>
          <w:color w:val="526547"/>
          <w:sz w:val="21"/>
        </w:rPr>
        <w:t>Saat pesanan dibayar</w:t>
      </w:r>
    </w:p>
    <w:p>
      <w:pPr>
        <w:spacing w:after="60"/>
      </w:pPr>
      <w:r>
        <w:rPr>
          <w:i w:val="0"/>
          <w:sz w:val="21"/>
        </w:rPr>
        <w:t>Faktur terbit begitu pembayaran masuk, bukan menunggu barang diterima pembeli.</w:t>
      </w:r>
    </w:p>
    <w:p>
      <w:pPr>
        <w:spacing w:after="120"/>
      </w:pPr>
      <w:r>
        <w:rPr>
          <w:b/>
          <w:sz w:val="20"/>
        </w:rPr>
        <w:t xml:space="preserve">Konsekuensi: </w:t>
      </w:r>
      <w:r>
        <w:rPr>
          <w:sz w:val="20"/>
        </w:rPr>
        <w:t>Pembukuan selalu mutakhir dan arus kas cepat terlihat. Biaya platform saat itu masih estimasi sehingga perlu penyesuaian otomatis ketika pesanan selesai.</w:t>
      </w:r>
    </w:p>
    <w:p>
      <w:pPr>
        <w:spacing w:after="40"/>
      </w:pPr>
      <w:r>
        <w:rPr>
          <w:b/>
          <w:color w:val="57655A"/>
          <w:sz w:val="19"/>
        </w:rPr>
        <w:t>Opsi lain yang dipertimbangkan</w:t>
      </w:r>
    </w:p>
    <w:tbl>
      <w:tblPr>
        <w:tblStyle w:val="LightGrid-Accent1"/>
        <w:tblW w:type="auto" w:w="0"/>
        <w:tblLayout w:type="fixed"/>
        <w:tblLook w:firstColumn="1" w:firstRow="1" w:lastColumn="0" w:lastRow="0" w:noHBand="0" w:noVBand="1" w:val="04A0"/>
      </w:tblPr>
      <w:tblGrid>
        <w:gridCol w:w="4824"/>
        <w:gridCol w:w="4824"/>
      </w:tblGrid>
      <w:tr>
        <w:tc>
          <w:tcPr>
            <w:tcW w:type="dxa" w:w="2880"/>
          </w:tcPr>
          <w:p>
            <w:r>
              <w:rPr>
                <w:b/>
                <w:sz w:val="19"/>
              </w:rPr>
              <w:t>Saat pesanan selesai</w:t>
            </w:r>
          </w:p>
        </w:tc>
        <w:tc>
          <w:tcPr>
            <w:tcW w:type="dxa" w:w="6336"/>
          </w:tcPr>
          <w:p>
            <w:r>
              <w:rPr>
                <w:sz w:val="19"/>
              </w:rPr>
              <w:t>Semua angka sudah final dan tidak perlu revisi, tapi pembukuan tertinggal 7–14 hari dari penjualan sebenarnya.</w:t>
            </w:r>
          </w:p>
        </w:tc>
      </w:tr>
      <w:tr>
        <w:tc>
          <w:tcPr>
            <w:tcW w:type="dxa" w:w="2880"/>
          </w:tcPr>
          <w:p>
            <w:r>
              <w:rPr>
                <w:b/>
                <w:sz w:val="19"/>
              </w:rPr>
              <w:t>Saat barang dikirim</w:t>
            </w:r>
          </w:p>
        </w:tc>
        <w:tc>
          <w:tcPr>
            <w:tcW w:type="dxa" w:w="6336"/>
          </w:tcPr>
          <w:p>
            <w:r>
              <w:rPr>
                <w:sz w:val="19"/>
              </w:rPr>
              <w:t>Paling sesuai prinsip akrual karena pendapatan diakui saat barang berpindah, tapi angka biaya masih dapat berubah sedikit.</w:t>
            </w:r>
          </w:p>
        </w:tc>
      </w:tr>
    </w:tbl>
    <w:p>
      <w:pPr>
        <w:spacing w:after="0"/>
      </w:pPr>
    </w:p>
    <w:p>
      <w:pPr>
        <w:spacing w:before="280" w:after="80"/>
      </w:pPr>
      <w:r>
        <w:rPr>
          <w:b/>
          <w:color w:val="2B3C35"/>
          <w:sz w:val="26"/>
        </w:rPr>
        <w:t>3. Struktur pelanggan di Jurnal</w:t>
      </w:r>
    </w:p>
    <w:p>
      <w:pPr>
        <w:spacing w:after="60"/>
      </w:pPr>
      <w:r>
        <w:rPr>
          <w:b/>
          <w:sz w:val="21"/>
        </w:rPr>
        <w:t xml:space="preserve">Dipilih: </w:t>
      </w:r>
      <w:r>
        <w:rPr>
          <w:b/>
          <w:color w:val="526547"/>
          <w:sz w:val="21"/>
        </w:rPr>
        <w:t>Satu pelanggan per kanal</w:t>
      </w:r>
    </w:p>
    <w:p>
      <w:pPr>
        <w:spacing w:after="60"/>
      </w:pPr>
      <w:r>
        <w:rPr>
          <w:i w:val="0"/>
          <w:sz w:val="21"/>
        </w:rPr>
        <w:t>Dibuat empat kontak: Shopee, Tokopedia, TikTok Shop, dan Shopify. Nama pembeli tetap dicatat pada memo tiap faktur.</w:t>
      </w:r>
    </w:p>
    <w:p>
      <w:pPr>
        <w:spacing w:after="120"/>
      </w:pPr>
      <w:r>
        <w:rPr>
          <w:b/>
          <w:sz w:val="20"/>
        </w:rPr>
        <w:t xml:space="preserve">Konsekuensi: </w:t>
      </w:r>
      <w:r>
        <w:rPr>
          <w:sz w:val="20"/>
        </w:rPr>
        <w:t>Kontribusi tiap kanal langsung terbaca dari laporan pelanggan, dan sesuai kenyataan bahwa pembeli marketplace bersifat anonim.</w:t>
      </w:r>
    </w:p>
    <w:p>
      <w:pPr>
        <w:spacing w:after="40"/>
      </w:pPr>
      <w:r>
        <w:rPr>
          <w:b/>
          <w:color w:val="57655A"/>
          <w:sz w:val="19"/>
        </w:rPr>
        <w:t>Opsi lain yang dipertimbangkan</w:t>
      </w:r>
    </w:p>
    <w:tbl>
      <w:tblPr>
        <w:tblStyle w:val="LightGrid-Accent1"/>
        <w:tblW w:type="auto" w:w="0"/>
        <w:tblLayout w:type="fixed"/>
        <w:tblLook w:firstColumn="1" w:firstRow="1" w:lastColumn="0" w:lastRow="0" w:noHBand="0" w:noVBand="1" w:val="04A0"/>
      </w:tblPr>
      <w:tblGrid>
        <w:gridCol w:w="4824"/>
        <w:gridCol w:w="4824"/>
      </w:tblGrid>
      <w:tr>
        <w:tc>
          <w:tcPr>
            <w:tcW w:type="dxa" w:w="2880"/>
          </w:tcPr>
          <w:p>
            <w:r>
              <w:rPr>
                <w:b/>
                <w:sz w:val="19"/>
              </w:rPr>
              <w:t>Satu pelanggan gabungan</w:t>
            </w:r>
          </w:p>
        </w:tc>
        <w:tc>
          <w:tcPr>
            <w:tcW w:type="dxa" w:w="6336"/>
          </w:tcPr>
          <w:p>
            <w:r>
              <w:rPr>
                <w:sz w:val="19"/>
              </w:rPr>
              <w:t>Paling ringkas, tapi kontribusi tiap kanal tidak dapat dilihat langsung dari laporan pelanggan.</w:t>
            </w:r>
          </w:p>
        </w:tc>
      </w:tr>
      <w:tr>
        <w:tc>
          <w:tcPr>
            <w:tcW w:type="dxa" w:w="2880"/>
          </w:tcPr>
          <w:p>
            <w:r>
              <w:rPr>
                <w:b/>
                <w:sz w:val="19"/>
              </w:rPr>
              <w:t>Per pembeli</w:t>
            </w:r>
          </w:p>
        </w:tc>
        <w:tc>
          <w:tcPr>
            <w:tcW w:type="dxa" w:w="6336"/>
          </w:tcPr>
          <w:p>
            <w:r>
              <w:rPr>
                <w:sz w:val="19"/>
              </w:rPr>
              <w:t>Detail maksimal, tapi marketplace menyamarkan nama pembeli (mis. "D***a") sehingga kontak menjadi ribuan dan tidak berguna.</w:t>
            </w:r>
          </w:p>
        </w:tc>
      </w:tr>
    </w:tbl>
    <w:p>
      <w:pPr>
        <w:spacing w:after="0"/>
      </w:pPr>
    </w:p>
    <w:p>
      <w:pPr>
        <w:spacing w:before="280" w:after="80"/>
      </w:pPr>
      <w:r>
        <w:rPr>
          <w:b/>
          <w:color w:val="2B3C35"/>
          <w:sz w:val="26"/>
        </w:rPr>
        <w:t>Catatan kondisi awal</w:t>
      </w:r>
    </w:p>
    <w:p>
      <w:pPr>
        <w:spacing w:after="120"/>
      </w:pPr>
      <w:r>
        <w:rPr>
          <w:i w:val="0"/>
          <w:sz w:val="21"/>
        </w:rPr>
        <w:t>Akun Mekari Jurnal masih kosong saat keputusan ini diambil: 0 faktur, 0 pelanggan, 0 produk. Yang sudah tersedia hanya 139 akun bagan standar dan satu pajak (PPN). Pelanggan dan produk akan dibuat otomatis oleh proses sinkronisasi.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