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575B" w14:textId="312A1065" w:rsidR="00EF574B" w:rsidRDefault="00B8465B" w:rsidP="00B8465B">
      <w:pPr>
        <w:spacing w:line="480" w:lineRule="auto"/>
        <w:rPr>
          <w:rFonts w:ascii="Times New Roman" w:hAnsi="Times New Roman" w:cs="Times New Roman"/>
        </w:rPr>
      </w:pPr>
      <w:r>
        <w:rPr>
          <w:rFonts w:ascii="Times New Roman" w:hAnsi="Times New Roman" w:cs="Times New Roman"/>
        </w:rPr>
        <w:t xml:space="preserve">Kem Chan </w:t>
      </w:r>
    </w:p>
    <w:p w14:paraId="32737BA0" w14:textId="4BC8B7B3" w:rsidR="00B8465B" w:rsidRDefault="00B8465B" w:rsidP="00B8465B">
      <w:pPr>
        <w:spacing w:line="480" w:lineRule="auto"/>
        <w:rPr>
          <w:rFonts w:ascii="Times New Roman" w:hAnsi="Times New Roman" w:cs="Times New Roman"/>
        </w:rPr>
      </w:pPr>
      <w:r>
        <w:rPr>
          <w:rFonts w:ascii="Times New Roman" w:hAnsi="Times New Roman" w:cs="Times New Roman"/>
        </w:rPr>
        <w:t>CS 405 Secure Coding</w:t>
      </w:r>
    </w:p>
    <w:p w14:paraId="15BB16D9" w14:textId="0466D5C8" w:rsidR="00B8465B" w:rsidRDefault="00B8465B" w:rsidP="00B8465B">
      <w:pPr>
        <w:spacing w:line="480" w:lineRule="auto"/>
        <w:rPr>
          <w:rFonts w:ascii="Times New Roman" w:hAnsi="Times New Roman" w:cs="Times New Roman"/>
        </w:rPr>
      </w:pPr>
      <w:r>
        <w:rPr>
          <w:rFonts w:ascii="Times New Roman" w:hAnsi="Times New Roman" w:cs="Times New Roman"/>
        </w:rPr>
        <w:t>Oct 20, 2026</w:t>
      </w:r>
    </w:p>
    <w:p w14:paraId="1CA8058A" w14:textId="2D9E14EE" w:rsidR="00B8465B" w:rsidRDefault="00B8465B" w:rsidP="00B8465B">
      <w:pPr>
        <w:spacing w:line="480" w:lineRule="auto"/>
        <w:rPr>
          <w:rFonts w:ascii="Times New Roman" w:hAnsi="Times New Roman" w:cs="Times New Roman"/>
        </w:rPr>
      </w:pPr>
      <w:r>
        <w:rPr>
          <w:rFonts w:ascii="Times New Roman" w:hAnsi="Times New Roman" w:cs="Times New Roman"/>
        </w:rPr>
        <w:t>Journal 8-2: Portfolio Reflection</w:t>
      </w:r>
    </w:p>
    <w:p w14:paraId="21828007" w14:textId="77777777" w:rsidR="00B8465B" w:rsidRDefault="00B8465B" w:rsidP="00B8465B">
      <w:pPr>
        <w:spacing w:line="480" w:lineRule="auto"/>
        <w:rPr>
          <w:rFonts w:ascii="Times New Roman" w:hAnsi="Times New Roman" w:cs="Times New Roman"/>
        </w:rPr>
      </w:pPr>
    </w:p>
    <w:p w14:paraId="49615EAC" w14:textId="33F5A4A9" w:rsidR="006B58BC" w:rsidRDefault="006B58BC" w:rsidP="00B8465B">
      <w:pPr>
        <w:spacing w:line="480" w:lineRule="auto"/>
        <w:rPr>
          <w:rFonts w:ascii="Times New Roman" w:hAnsi="Times New Roman" w:cs="Times New Roman"/>
        </w:rPr>
      </w:pPr>
      <w:r>
        <w:rPr>
          <w:rFonts w:ascii="Times New Roman" w:hAnsi="Times New Roman" w:cs="Times New Roman"/>
        </w:rPr>
        <w:tab/>
        <w:t xml:space="preserve">Looking back in the class to comprehensively integrate the fundamental principles of software security, this reflection will synthesize four core pillars of secure system design as adopting a secure coding standard, evaluating risk against mitigation costs, enforcing zero trust architecture, and implemented comprehensive security policies. Going back to the topic of “Don’t Leave Security to the End” as a foundational best practice in secure software to mandate </w:t>
      </w:r>
      <w:r w:rsidR="00A50865">
        <w:rPr>
          <w:rFonts w:ascii="Times New Roman" w:hAnsi="Times New Roman" w:cs="Times New Roman"/>
        </w:rPr>
        <w:t>an</w:t>
      </w:r>
      <w:r>
        <w:rPr>
          <w:rFonts w:ascii="Times New Roman" w:hAnsi="Times New Roman" w:cs="Times New Roman"/>
        </w:rPr>
        <w:t xml:space="preserve"> intrinsically integrate security form the beginning</w:t>
      </w:r>
      <w:r w:rsidR="00A50865">
        <w:rPr>
          <w:rFonts w:ascii="Times New Roman" w:hAnsi="Times New Roman" w:cs="Times New Roman"/>
        </w:rPr>
        <w:t xml:space="preserve"> rather than an afterthought. Relying on penetration testing or patch deployment right before a product release is a fundamentally flawed approach that leaves the software inherently vulnerable. Having the coding standard as a baseline with adopting an industry that recognizes the standard such as SEI CERT C/C++ Coding Standard as an example establishes a predictable, rule-based baseline for development teams. These standards help eliminate common programming traps at the syntax level before the compiled binaries reach a runtime environment. Using a intrinsically secured system</w:t>
      </w:r>
      <w:r w:rsidR="00427957">
        <w:rPr>
          <w:rFonts w:ascii="Times New Roman" w:hAnsi="Times New Roman" w:cs="Times New Roman"/>
        </w:rPr>
        <w:t xml:space="preserve"> uses security that must be treated as a primary functional requirement. By leveraging unit testing, SAST (Static Application Security Testing), and strict compiler warnings during daily development cycles, the vulnerabilities are captured when they are the cheapest and easiest to resolve. </w:t>
      </w:r>
    </w:p>
    <w:p w14:paraId="22BF618D" w14:textId="7AF251A6" w:rsidR="00427957" w:rsidRDefault="00427957" w:rsidP="00B8465B">
      <w:pPr>
        <w:spacing w:line="480" w:lineRule="auto"/>
        <w:rPr>
          <w:rFonts w:ascii="Times New Roman" w:hAnsi="Times New Roman" w:cs="Times New Roman"/>
        </w:rPr>
      </w:pPr>
      <w:r>
        <w:rPr>
          <w:rFonts w:ascii="Times New Roman" w:hAnsi="Times New Roman" w:cs="Times New Roman"/>
        </w:rPr>
        <w:lastRenderedPageBreak/>
        <w:tab/>
        <w:t xml:space="preserve">The second core pillar that contains evaluation and assessment of risk and cost-benefit of mitigation by having a balance against business velocity, operational overhead, and budget realities. Deciding on what vulnerabilities to patch requires a structured methodology to analyze the cost to mitigate the potential loss. Looking at the risk identification framework uses architectural paradigms like </w:t>
      </w:r>
      <w:proofErr w:type="spellStart"/>
      <w:r>
        <w:rPr>
          <w:rFonts w:ascii="Times New Roman" w:hAnsi="Times New Roman" w:cs="Times New Roman"/>
        </w:rPr>
        <w:t>DiD</w:t>
      </w:r>
      <w:proofErr w:type="spellEnd"/>
      <w:r>
        <w:rPr>
          <w:rFonts w:ascii="Times New Roman" w:hAnsi="Times New Roman" w:cs="Times New Roman"/>
        </w:rPr>
        <w:t xml:space="preserve"> (Defense in Depth) and Triple A (Authentication, Authorization, and Accounting) that would allow organizations to map their entire attack surface. </w:t>
      </w:r>
      <w:r w:rsidR="00E75260">
        <w:rPr>
          <w:rFonts w:ascii="Times New Roman" w:hAnsi="Times New Roman" w:cs="Times New Roman"/>
        </w:rPr>
        <w:t xml:space="preserve">This helps identify critical data assets and teams systematically evaluate threat models. By also taking into consideration the cost-benefit equation will mitigate the ones that are driven heavily by compliance standards alongside internal operational metrics. If properly implemented a complex cryptographic control would cost more than the protected assets, which can make the risk tolerated or transferred instead of being mitigated. In contrast, a low-cost mitigation with massive risk-reduction value can represent immediate and mandatory implementations. </w:t>
      </w:r>
    </w:p>
    <w:p w14:paraId="7100EAB3" w14:textId="7434AAAB" w:rsidR="00E75260" w:rsidRDefault="00E75260" w:rsidP="00B8465B">
      <w:pPr>
        <w:spacing w:line="480" w:lineRule="auto"/>
        <w:rPr>
          <w:rFonts w:ascii="Times New Roman" w:hAnsi="Times New Roman" w:cs="Times New Roman"/>
        </w:rPr>
      </w:pPr>
      <w:r>
        <w:rPr>
          <w:rFonts w:ascii="Times New Roman" w:hAnsi="Times New Roman" w:cs="Times New Roman"/>
        </w:rPr>
        <w:tab/>
        <w:t xml:space="preserve">The third pillar is the zero trust philosophy where “No One Is Safe” is used where network perimeters would dissolve due to cloud environments and remote distributed workforces. The </w:t>
      </w:r>
      <w:r w:rsidR="00A37E28">
        <w:rPr>
          <w:rFonts w:ascii="Times New Roman" w:hAnsi="Times New Roman" w:cs="Times New Roman"/>
        </w:rPr>
        <w:t>zero-trust</w:t>
      </w:r>
      <w:r>
        <w:rPr>
          <w:rFonts w:ascii="Times New Roman" w:hAnsi="Times New Roman" w:cs="Times New Roman"/>
        </w:rPr>
        <w:t xml:space="preserve"> architecture mandates an unyielding operational stance to never trust and always verify everything all the time. This can also be seen as </w:t>
      </w:r>
      <w:r w:rsidR="00A37E28">
        <w:rPr>
          <w:rFonts w:ascii="Times New Roman" w:hAnsi="Times New Roman" w:cs="Times New Roman"/>
        </w:rPr>
        <w:t>micro segmentation</w:t>
      </w:r>
      <w:r>
        <w:rPr>
          <w:rFonts w:ascii="Times New Roman" w:hAnsi="Times New Roman" w:cs="Times New Roman"/>
        </w:rPr>
        <w:t xml:space="preserve"> and context will treat every endpoint, API, and custom built microservice will be seen as an active attack vector</w:t>
      </w:r>
      <w:r w:rsidR="00A37E28">
        <w:rPr>
          <w:rFonts w:ascii="Times New Roman" w:hAnsi="Times New Roman" w:cs="Times New Roman"/>
        </w:rPr>
        <w:t xml:space="preserve">. Most networks are heavily segmented, restricting access to a micro-perimeter that is built strictly around individual assets. The other aspect of this is the </w:t>
      </w:r>
      <w:r w:rsidR="00865DCC">
        <w:rPr>
          <w:rFonts w:ascii="Times New Roman" w:hAnsi="Times New Roman" w:cs="Times New Roman"/>
        </w:rPr>
        <w:t>least privilege of</w:t>
      </w:r>
      <w:r w:rsidR="00A37E28">
        <w:rPr>
          <w:rFonts w:ascii="Times New Roman" w:hAnsi="Times New Roman" w:cs="Times New Roman"/>
        </w:rPr>
        <w:t xml:space="preserve"> access where trust is never granted implicitly based on a user’s physical network location. </w:t>
      </w:r>
      <w:r w:rsidR="00865DCC">
        <w:rPr>
          <w:rFonts w:ascii="Times New Roman" w:hAnsi="Times New Roman" w:cs="Times New Roman"/>
        </w:rPr>
        <w:t>Instead,</w:t>
      </w:r>
      <w:r w:rsidR="00A37E28">
        <w:rPr>
          <w:rFonts w:ascii="Times New Roman" w:hAnsi="Times New Roman" w:cs="Times New Roman"/>
        </w:rPr>
        <w:t xml:space="preserve"> the user </w:t>
      </w:r>
      <w:r w:rsidR="00865DCC">
        <w:rPr>
          <w:rFonts w:ascii="Times New Roman" w:hAnsi="Times New Roman" w:cs="Times New Roman"/>
        </w:rPr>
        <w:t xml:space="preserve">requests are continuously authenticated using context-aware metrics to ensure a single compromised developer credential will not be able to escalate into a system-wide breach. </w:t>
      </w:r>
    </w:p>
    <w:p w14:paraId="24B7CA33" w14:textId="14186018" w:rsidR="00865DCC" w:rsidRPr="00B8465B" w:rsidRDefault="00865DCC" w:rsidP="00B8465B">
      <w:pPr>
        <w:spacing w:line="480" w:lineRule="auto"/>
        <w:rPr>
          <w:rFonts w:ascii="Times New Roman" w:hAnsi="Times New Roman" w:cs="Times New Roman"/>
        </w:rPr>
      </w:pPr>
      <w:r>
        <w:rPr>
          <w:rFonts w:ascii="Times New Roman" w:hAnsi="Times New Roman" w:cs="Times New Roman"/>
        </w:rPr>
        <w:lastRenderedPageBreak/>
        <w:tab/>
        <w:t xml:space="preserve">The last and final pillar is the implementation and recommendations of security policies with a high-level of security principles that are only effective as organizational documentation and structural guardrails to enforce them. Security policies help bridge the gap between abstract security philosophy and concrete engineering execution. Having the mapping principles to policy helps put effective policies and translate security principles into clear, non-negotiable operational requirements for the organization. This would include defining data retention schedules, onboarding protocols, password complexities, and formal incident response workflows to handle active threats. </w:t>
      </w:r>
      <w:r w:rsidR="003333B9">
        <w:rPr>
          <w:rFonts w:ascii="Times New Roman" w:hAnsi="Times New Roman" w:cs="Times New Roman"/>
        </w:rPr>
        <w:t>By having enforcement and continuous improvement works when policies</w:t>
      </w:r>
      <w:r w:rsidR="006C7EE9">
        <w:rPr>
          <w:rFonts w:ascii="Times New Roman" w:hAnsi="Times New Roman" w:cs="Times New Roman"/>
        </w:rPr>
        <w:t xml:space="preserve"> are living documents that are integrated into everyday workflows. The recommendation is they should include a periodic simulated attack to help evaluate the workforce readiness, automated policy-compliance audits within the deployment pipelines, and continuous educational loops to keep development aligned with evolving threat vectors. </w:t>
      </w:r>
    </w:p>
    <w:sectPr w:rsidR="00865DCC" w:rsidRPr="00B84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5B"/>
    <w:rsid w:val="002F6A48"/>
    <w:rsid w:val="003333B9"/>
    <w:rsid w:val="00427957"/>
    <w:rsid w:val="004C5A17"/>
    <w:rsid w:val="00660F3D"/>
    <w:rsid w:val="00671A13"/>
    <w:rsid w:val="006B58BC"/>
    <w:rsid w:val="006C7EE9"/>
    <w:rsid w:val="00865DCC"/>
    <w:rsid w:val="00A37E28"/>
    <w:rsid w:val="00A50865"/>
    <w:rsid w:val="00B8465B"/>
    <w:rsid w:val="00E75260"/>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C8A2"/>
  <w15:chartTrackingRefBased/>
  <w15:docId w15:val="{A2A8569B-1F32-48E0-ADBF-D872A612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5B"/>
    <w:rPr>
      <w:rFonts w:eastAsiaTheme="majorEastAsia" w:cstheme="majorBidi"/>
      <w:color w:val="272727" w:themeColor="text1" w:themeTint="D8"/>
    </w:rPr>
  </w:style>
  <w:style w:type="paragraph" w:styleId="Title">
    <w:name w:val="Title"/>
    <w:basedOn w:val="Normal"/>
    <w:next w:val="Normal"/>
    <w:link w:val="TitleChar"/>
    <w:uiPriority w:val="10"/>
    <w:qFormat/>
    <w:rsid w:val="00B84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5B"/>
    <w:pPr>
      <w:spacing w:before="160"/>
      <w:jc w:val="center"/>
    </w:pPr>
    <w:rPr>
      <w:i/>
      <w:iCs/>
      <w:color w:val="404040" w:themeColor="text1" w:themeTint="BF"/>
    </w:rPr>
  </w:style>
  <w:style w:type="character" w:customStyle="1" w:styleId="QuoteChar">
    <w:name w:val="Quote Char"/>
    <w:basedOn w:val="DefaultParagraphFont"/>
    <w:link w:val="Quote"/>
    <w:uiPriority w:val="29"/>
    <w:rsid w:val="00B8465B"/>
    <w:rPr>
      <w:i/>
      <w:iCs/>
      <w:color w:val="404040" w:themeColor="text1" w:themeTint="BF"/>
    </w:rPr>
  </w:style>
  <w:style w:type="paragraph" w:styleId="ListParagraph">
    <w:name w:val="List Paragraph"/>
    <w:basedOn w:val="Normal"/>
    <w:uiPriority w:val="34"/>
    <w:qFormat/>
    <w:rsid w:val="00B8465B"/>
    <w:pPr>
      <w:ind w:left="720"/>
      <w:contextualSpacing/>
    </w:pPr>
  </w:style>
  <w:style w:type="character" w:styleId="IntenseEmphasis">
    <w:name w:val="Intense Emphasis"/>
    <w:basedOn w:val="DefaultParagraphFont"/>
    <w:uiPriority w:val="21"/>
    <w:qFormat/>
    <w:rsid w:val="00B8465B"/>
    <w:rPr>
      <w:i/>
      <w:iCs/>
      <w:color w:val="0F4761" w:themeColor="accent1" w:themeShade="BF"/>
    </w:rPr>
  </w:style>
  <w:style w:type="paragraph" w:styleId="IntenseQuote">
    <w:name w:val="Intense Quote"/>
    <w:basedOn w:val="Normal"/>
    <w:next w:val="Normal"/>
    <w:link w:val="IntenseQuoteChar"/>
    <w:uiPriority w:val="30"/>
    <w:qFormat/>
    <w:rsid w:val="00B84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65B"/>
    <w:rPr>
      <w:i/>
      <w:iCs/>
      <w:color w:val="0F4761" w:themeColor="accent1" w:themeShade="BF"/>
    </w:rPr>
  </w:style>
  <w:style w:type="character" w:styleId="IntenseReference">
    <w:name w:val="Intense Reference"/>
    <w:basedOn w:val="DefaultParagraphFont"/>
    <w:uiPriority w:val="32"/>
    <w:qFormat/>
    <w:rsid w:val="00B84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2026-10-21T05:42:00Z</dcterms:created>
  <dcterms:modified xsi:type="dcterms:W3CDTF">2026-10-21T22:15:00Z</dcterms:modified>
</cp:coreProperties>
</file>