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03A1A" w14:textId="2F96F1DE" w:rsidR="00713AAA" w:rsidRPr="00061EE0" w:rsidRDefault="000B2CA0" w:rsidP="000B2CA0">
      <w:pPr>
        <w:jc w:val="center"/>
        <w:rPr>
          <w:b/>
          <w:bCs/>
          <w:sz w:val="40"/>
          <w:szCs w:val="40"/>
        </w:rPr>
      </w:pPr>
      <w:r w:rsidRPr="00061EE0">
        <w:rPr>
          <w:b/>
          <w:bCs/>
          <w:sz w:val="40"/>
          <w:szCs w:val="40"/>
        </w:rPr>
        <w:t>Product Sales &amp; Performance Analysis</w:t>
      </w:r>
    </w:p>
    <w:p w14:paraId="395D9B78" w14:textId="56EDA1B3" w:rsidR="000B2CA0" w:rsidRPr="00061EE0" w:rsidRDefault="000B2CA0" w:rsidP="000B2CA0">
      <w:pPr>
        <w:jc w:val="center"/>
        <w:rPr>
          <w:b/>
          <w:bCs/>
          <w:sz w:val="40"/>
          <w:szCs w:val="40"/>
        </w:rPr>
      </w:pPr>
      <w:r w:rsidRPr="00061EE0">
        <w:rPr>
          <w:b/>
          <w:bCs/>
          <w:sz w:val="40"/>
          <w:szCs w:val="40"/>
        </w:rPr>
        <w:t>Report</w:t>
      </w:r>
    </w:p>
    <w:p w14:paraId="79A91265" w14:textId="77777777" w:rsidR="00E81326" w:rsidRDefault="00E81326" w:rsidP="000B2CA0">
      <w:pPr>
        <w:rPr>
          <w:b/>
          <w:bCs/>
          <w:sz w:val="32"/>
          <w:szCs w:val="32"/>
        </w:rPr>
      </w:pPr>
    </w:p>
    <w:p w14:paraId="6454E35A" w14:textId="77777777" w:rsidR="00E81326" w:rsidRDefault="00E81326" w:rsidP="000B2CA0">
      <w:pPr>
        <w:rPr>
          <w:b/>
          <w:bCs/>
          <w:sz w:val="32"/>
          <w:szCs w:val="32"/>
        </w:rPr>
      </w:pPr>
    </w:p>
    <w:p w14:paraId="291F7F70" w14:textId="663397D6" w:rsidR="000B2CA0" w:rsidRPr="00061EE0" w:rsidRDefault="000B2CA0" w:rsidP="000B2CA0">
      <w:pPr>
        <w:rPr>
          <w:b/>
          <w:bCs/>
          <w:sz w:val="32"/>
          <w:szCs w:val="32"/>
        </w:rPr>
      </w:pPr>
      <w:r w:rsidRPr="00061EE0">
        <w:rPr>
          <w:b/>
          <w:bCs/>
          <w:sz w:val="32"/>
          <w:szCs w:val="32"/>
        </w:rPr>
        <w:t>Project overview</w:t>
      </w:r>
    </w:p>
    <w:p w14:paraId="22414DD3" w14:textId="3AF1C9BB" w:rsidR="000B2CA0" w:rsidRPr="000B2CA0" w:rsidRDefault="000B2CA0" w:rsidP="000B2CA0">
      <w:r w:rsidRPr="000B2CA0">
        <w:t>Total revenue</w:t>
      </w:r>
      <w:r>
        <w:t xml:space="preserve"> - </w:t>
      </w:r>
      <w:r w:rsidRPr="000B2CA0">
        <w:rPr>
          <w:b/>
          <w:bCs/>
        </w:rPr>
        <w:t>$142.41M</w:t>
      </w:r>
    </w:p>
    <w:p w14:paraId="21EB03CF" w14:textId="2925C4B9" w:rsidR="000B2CA0" w:rsidRPr="000B2CA0" w:rsidRDefault="000B2CA0" w:rsidP="000B2CA0">
      <w:r w:rsidRPr="000B2CA0">
        <w:t>Total profit</w:t>
      </w:r>
      <w:r>
        <w:t xml:space="preserve"> - </w:t>
      </w:r>
      <w:r w:rsidRPr="000B2CA0">
        <w:rPr>
          <w:b/>
          <w:bCs/>
        </w:rPr>
        <w:t>$31.55M</w:t>
      </w:r>
    </w:p>
    <w:p w14:paraId="5B92BDCA" w14:textId="550AD309" w:rsidR="000B2CA0" w:rsidRPr="000B2CA0" w:rsidRDefault="000B2CA0" w:rsidP="000B2CA0">
      <w:r w:rsidRPr="000B2CA0">
        <w:t>Sales records</w:t>
      </w:r>
      <w:r>
        <w:t xml:space="preserve"> - </w:t>
      </w:r>
      <w:r w:rsidRPr="000B2CA0">
        <w:rPr>
          <w:b/>
          <w:bCs/>
        </w:rPr>
        <w:t>200,000</w:t>
      </w:r>
    </w:p>
    <w:p w14:paraId="1F35C317" w14:textId="188B4E01" w:rsidR="000B2CA0" w:rsidRPr="000B2CA0" w:rsidRDefault="000B2CA0" w:rsidP="000B2CA0">
      <w:r w:rsidRPr="000B2CA0">
        <w:t>Profit margin</w:t>
      </w:r>
      <w:r>
        <w:t xml:space="preserve"> - </w:t>
      </w:r>
      <w:r w:rsidRPr="000B2CA0">
        <w:rPr>
          <w:b/>
          <w:bCs/>
        </w:rPr>
        <w:t>22.15%</w:t>
      </w:r>
    </w:p>
    <w:p w14:paraId="0436CEBF" w14:textId="292A1F8F" w:rsidR="000B2CA0" w:rsidRPr="000B2CA0" w:rsidRDefault="000B2CA0" w:rsidP="000B2CA0">
      <w:r w:rsidRPr="000B2CA0">
        <w:t>Units sold</w:t>
      </w:r>
      <w:r>
        <w:t xml:space="preserve"> - </w:t>
      </w:r>
      <w:r w:rsidRPr="000B2CA0">
        <w:rPr>
          <w:b/>
          <w:bCs/>
        </w:rPr>
        <w:t>370,800</w:t>
      </w:r>
    </w:p>
    <w:p w14:paraId="10DC8A95" w14:textId="4A28A446" w:rsidR="000B2CA0" w:rsidRPr="000B2CA0" w:rsidRDefault="000B2CA0" w:rsidP="000B2CA0">
      <w:r w:rsidRPr="000B2CA0">
        <w:t>Analysis period</w:t>
      </w:r>
      <w:r>
        <w:t xml:space="preserve"> - </w:t>
      </w:r>
      <w:r w:rsidRPr="000B2CA0">
        <w:rPr>
          <w:b/>
          <w:bCs/>
        </w:rPr>
        <w:t>2023–2024</w:t>
      </w:r>
    </w:p>
    <w:p w14:paraId="77BD3B23" w14:textId="77777777" w:rsidR="000B2CA0" w:rsidRPr="00061EE0" w:rsidRDefault="000B2CA0" w:rsidP="000B2CA0">
      <w:r w:rsidRPr="00061EE0">
        <w:t>Calculated from the uploaded workbook. Profit margin is total profit divided by total revenue.</w:t>
      </w:r>
    </w:p>
    <w:p w14:paraId="319292B8" w14:textId="77777777" w:rsidR="000B2CA0" w:rsidRPr="000B2CA0" w:rsidRDefault="000B2CA0" w:rsidP="000B2CA0">
      <w:r w:rsidRPr="00061EE0">
        <w:rPr>
          <w:b/>
          <w:bCs/>
        </w:rPr>
        <w:t>Business question:</w:t>
      </w:r>
      <w:r w:rsidRPr="000B2CA0">
        <w:rPr>
          <w:sz w:val="40"/>
          <w:szCs w:val="40"/>
        </w:rPr>
        <w:t xml:space="preserve"> </w:t>
      </w:r>
      <w:r w:rsidRPr="00061EE0">
        <w:t>How can sales data reveal the</w:t>
      </w:r>
      <w:r w:rsidRPr="000B2CA0">
        <w:rPr>
          <w:sz w:val="40"/>
          <w:szCs w:val="40"/>
        </w:rPr>
        <w:t xml:space="preserve"> </w:t>
      </w:r>
      <w:r w:rsidRPr="000B2CA0">
        <w:t>products, categories, regions, customers, and periods that contribute most to revenue and profit, and where can the business improve its performance?</w:t>
      </w:r>
    </w:p>
    <w:p w14:paraId="5F1370FD" w14:textId="77777777" w:rsidR="000B2CA0" w:rsidRPr="000B2CA0" w:rsidRDefault="000B2CA0" w:rsidP="000B2CA0">
      <w:r w:rsidRPr="00061EE0">
        <w:rPr>
          <w:b/>
          <w:bCs/>
        </w:rPr>
        <w:t>Project objective:</w:t>
      </w:r>
      <w:r w:rsidRPr="000B2CA0">
        <w:t xml:space="preserve"> To transform 200,000 sales records into actionable business intelligence that supports product strategy, regional planning, customer retention, and profitability improvement.</w:t>
      </w:r>
    </w:p>
    <w:p w14:paraId="60B66942" w14:textId="574E447C" w:rsidR="00061EE0" w:rsidRPr="00F122FA" w:rsidRDefault="00061EE0" w:rsidP="00061EE0">
      <w:pPr>
        <w:rPr>
          <w:b/>
          <w:bCs/>
          <w:sz w:val="36"/>
          <w:szCs w:val="36"/>
        </w:rPr>
      </w:pPr>
      <w:r w:rsidRPr="00F122FA">
        <w:rPr>
          <w:b/>
          <w:bCs/>
          <w:sz w:val="36"/>
          <w:szCs w:val="36"/>
        </w:rPr>
        <w:t>. Introduction</w:t>
      </w:r>
    </w:p>
    <w:p w14:paraId="50F0E344" w14:textId="057F017F" w:rsidR="00061EE0" w:rsidRPr="00061EE0" w:rsidRDefault="00061EE0" w:rsidP="00061EE0">
      <w:r w:rsidRPr="00061EE0">
        <w:t xml:space="preserve">Product performance analysis is an important part of business decision-making because revenue alone does not fully explain business success. </w:t>
      </w:r>
      <w:r w:rsidRPr="00061EE0">
        <w:t>Organizations</w:t>
      </w:r>
      <w:r w:rsidRPr="00061EE0">
        <w:t xml:space="preserve"> also need to understand profitability, purchasing </w:t>
      </w:r>
      <w:r w:rsidRPr="00061EE0">
        <w:t>behavior</w:t>
      </w:r>
      <w:r w:rsidRPr="00061EE0">
        <w:t>, regional demand, product performance, and changes in sales over time.</w:t>
      </w:r>
    </w:p>
    <w:p w14:paraId="444B7CD2" w14:textId="1E9CA32F" w:rsidR="00061EE0" w:rsidRPr="00061EE0" w:rsidRDefault="00061EE0" w:rsidP="00061EE0">
      <w:r w:rsidRPr="00061EE0">
        <w:t xml:space="preserve">For this project, I </w:t>
      </w:r>
      <w:r w:rsidRPr="00061EE0">
        <w:t>analyzed</w:t>
      </w:r>
      <w:r w:rsidRPr="00061EE0">
        <w:t xml:space="preserve"> a retail product sales dataset covering January 2023 to December 2024. The dataset contains order identifiers, order dates, customer names, </w:t>
      </w:r>
      <w:r w:rsidRPr="00061EE0">
        <w:lastRenderedPageBreak/>
        <w:t>geographical information, product</w:t>
      </w:r>
      <w:r w:rsidRPr="00061EE0">
        <w:rPr>
          <w:sz w:val="40"/>
          <w:szCs w:val="40"/>
        </w:rPr>
        <w:t xml:space="preserve"> </w:t>
      </w:r>
      <w:r w:rsidRPr="00061EE0">
        <w:t>categories, subcategories, product names, quantities, unit prices, revenue, and profit.</w:t>
      </w:r>
    </w:p>
    <w:p w14:paraId="2F97ECE5" w14:textId="77777777" w:rsidR="000B2CA0" w:rsidRDefault="000B2CA0" w:rsidP="000B2CA0"/>
    <w:p w14:paraId="227A5289" w14:textId="77777777" w:rsidR="00061EE0" w:rsidRPr="00061EE0" w:rsidRDefault="00061EE0" w:rsidP="00061EE0">
      <w:r w:rsidRPr="00061EE0">
        <w:t>The analysis examined sales trends across two years, compared product categories and regions, identified high-performing products and customers, and investigated purchasing activity.</w:t>
      </w:r>
    </w:p>
    <w:p w14:paraId="49BD0FA9" w14:textId="77777777" w:rsidR="00061EE0" w:rsidRPr="00061EE0" w:rsidRDefault="00061EE0" w:rsidP="00061EE0">
      <w:r w:rsidRPr="00061EE0">
        <w:t>The ultimate goal was to turn transactional data into a structured analytical story that helps stakeholders understand what is performing well, where performance is concentrated, and which opportunities deserve further investigation.</w:t>
      </w:r>
    </w:p>
    <w:p w14:paraId="16B584F1" w14:textId="77777777" w:rsidR="00061EE0" w:rsidRPr="00F122FA" w:rsidRDefault="00061EE0" w:rsidP="00061EE0">
      <w:pPr>
        <w:rPr>
          <w:b/>
          <w:bCs/>
          <w:sz w:val="32"/>
          <w:szCs w:val="32"/>
        </w:rPr>
      </w:pPr>
      <w:r w:rsidRPr="00F122FA">
        <w:rPr>
          <w:b/>
          <w:bCs/>
          <w:sz w:val="32"/>
          <w:szCs w:val="32"/>
        </w:rPr>
        <w:t>Analytical approach and data story</w:t>
      </w:r>
    </w:p>
    <w:p w14:paraId="4CB9CDDE" w14:textId="77777777" w:rsidR="00061EE0" w:rsidRPr="00061EE0" w:rsidRDefault="00061EE0" w:rsidP="00061EE0">
      <w:r w:rsidRPr="00061EE0">
        <w:t>The project followed a structured, business-focused analytics workflow.</w:t>
      </w:r>
    </w:p>
    <w:p w14:paraId="31D43978" w14:textId="512F9A7B" w:rsidR="00061EE0" w:rsidRPr="00F122FA" w:rsidRDefault="00061EE0" w:rsidP="00061EE0">
      <w:pPr>
        <w:pStyle w:val="ListParagraph"/>
        <w:numPr>
          <w:ilvl w:val="0"/>
          <w:numId w:val="2"/>
        </w:numPr>
        <w:rPr>
          <w:b/>
          <w:bCs/>
        </w:rPr>
      </w:pPr>
      <w:r w:rsidRPr="00F122FA">
        <w:rPr>
          <w:b/>
          <w:bCs/>
        </w:rPr>
        <w:t>Business understanding</w:t>
      </w:r>
    </w:p>
    <w:p w14:paraId="35AD84AA" w14:textId="77777777" w:rsidR="00061EE0" w:rsidRPr="00061EE0" w:rsidRDefault="00061EE0" w:rsidP="00061EE0">
      <w:r w:rsidRPr="00061EE0">
        <w:t>Define the objectives, key questions, and performance measures.</w:t>
      </w:r>
    </w:p>
    <w:p w14:paraId="62ED5771" w14:textId="39484CCD" w:rsidR="00061EE0" w:rsidRPr="00F122FA" w:rsidRDefault="00061EE0" w:rsidP="00061EE0">
      <w:pPr>
        <w:pStyle w:val="ListParagraph"/>
        <w:numPr>
          <w:ilvl w:val="0"/>
          <w:numId w:val="2"/>
        </w:numPr>
        <w:rPr>
          <w:b/>
          <w:bCs/>
        </w:rPr>
      </w:pPr>
      <w:r w:rsidRPr="00F122FA">
        <w:rPr>
          <w:b/>
          <w:bCs/>
        </w:rPr>
        <w:t>Data inspection and preparation</w:t>
      </w:r>
    </w:p>
    <w:p w14:paraId="46408828" w14:textId="77777777" w:rsidR="00061EE0" w:rsidRPr="00061EE0" w:rsidRDefault="00061EE0" w:rsidP="00061EE0">
      <w:r w:rsidRPr="00061EE0">
        <w:t>Review data structure, column names, data types, missing values, and consistency.</w:t>
      </w:r>
    </w:p>
    <w:p w14:paraId="005E81FA" w14:textId="01F01CF8" w:rsidR="00061EE0" w:rsidRPr="00F122FA" w:rsidRDefault="00061EE0" w:rsidP="00061EE0">
      <w:pPr>
        <w:pStyle w:val="ListParagraph"/>
        <w:numPr>
          <w:ilvl w:val="0"/>
          <w:numId w:val="2"/>
        </w:numPr>
        <w:rPr>
          <w:b/>
          <w:bCs/>
        </w:rPr>
      </w:pPr>
      <w:r w:rsidRPr="00F122FA">
        <w:rPr>
          <w:b/>
          <w:bCs/>
        </w:rPr>
        <w:t>Pre-analysis</w:t>
      </w:r>
    </w:p>
    <w:p w14:paraId="44ACF131" w14:textId="77777777" w:rsidR="00061EE0" w:rsidRPr="00061EE0" w:rsidRDefault="00061EE0" w:rsidP="00061EE0">
      <w:r w:rsidRPr="00061EE0">
        <w:t>Establish baseline KPIs and formulate questions to investigate.</w:t>
      </w:r>
    </w:p>
    <w:p w14:paraId="5AA26C2F" w14:textId="406505EC" w:rsidR="00061EE0" w:rsidRPr="00F122FA" w:rsidRDefault="00061EE0" w:rsidP="00061EE0">
      <w:pPr>
        <w:pStyle w:val="ListParagraph"/>
        <w:numPr>
          <w:ilvl w:val="0"/>
          <w:numId w:val="2"/>
        </w:numPr>
        <w:rPr>
          <w:b/>
          <w:bCs/>
        </w:rPr>
      </w:pPr>
      <w:r w:rsidRPr="00F122FA">
        <w:rPr>
          <w:b/>
          <w:bCs/>
        </w:rPr>
        <w:t>Exploratory and comparative analysis</w:t>
      </w:r>
    </w:p>
    <w:p w14:paraId="241D3B71" w14:textId="77777777" w:rsidR="00061EE0" w:rsidRPr="00061EE0" w:rsidRDefault="00061EE0" w:rsidP="00061EE0">
      <w:r w:rsidRPr="00061EE0">
        <w:t>Compare performance by year, category, region, state, product, and customer.</w:t>
      </w:r>
    </w:p>
    <w:p w14:paraId="4FF493E5" w14:textId="335A1625" w:rsidR="00061EE0" w:rsidRPr="00F122FA" w:rsidRDefault="00061EE0" w:rsidP="00061EE0">
      <w:pPr>
        <w:pStyle w:val="ListParagraph"/>
        <w:numPr>
          <w:ilvl w:val="0"/>
          <w:numId w:val="2"/>
        </w:numPr>
        <w:rPr>
          <w:b/>
          <w:bCs/>
        </w:rPr>
      </w:pPr>
      <w:r w:rsidRPr="00F122FA">
        <w:rPr>
          <w:b/>
          <w:bCs/>
        </w:rPr>
        <w:t>Dashboard development</w:t>
      </w:r>
    </w:p>
    <w:p w14:paraId="74DA97F2" w14:textId="4733F879" w:rsidR="00061EE0" w:rsidRPr="00061EE0" w:rsidRDefault="00061EE0" w:rsidP="00061EE0">
      <w:r w:rsidRPr="00061EE0">
        <w:t>Organize</w:t>
      </w:r>
      <w:r w:rsidRPr="00061EE0">
        <w:t xml:space="preserve"> the findings into a visual business intelligence interface.</w:t>
      </w:r>
    </w:p>
    <w:p w14:paraId="16F3CA98" w14:textId="7DCA876C" w:rsidR="00061EE0" w:rsidRPr="00F122FA" w:rsidRDefault="00061EE0" w:rsidP="00061EE0">
      <w:pPr>
        <w:pStyle w:val="ListParagraph"/>
        <w:numPr>
          <w:ilvl w:val="0"/>
          <w:numId w:val="2"/>
        </w:numPr>
        <w:rPr>
          <w:b/>
          <w:bCs/>
        </w:rPr>
      </w:pPr>
      <w:r w:rsidRPr="00F122FA">
        <w:rPr>
          <w:b/>
          <w:bCs/>
        </w:rPr>
        <w:t>Post-analysis and recommendations</w:t>
      </w:r>
    </w:p>
    <w:p w14:paraId="21AFF5A6" w14:textId="77777777" w:rsidR="00061EE0" w:rsidRPr="00061EE0" w:rsidRDefault="00061EE0" w:rsidP="00061EE0">
      <w:r w:rsidRPr="00061EE0">
        <w:t>Interpret the findings and translate them into business actions.</w:t>
      </w:r>
    </w:p>
    <w:p w14:paraId="656A5DC5" w14:textId="77777777" w:rsidR="00F122FA" w:rsidRPr="00F122FA" w:rsidRDefault="00F122FA" w:rsidP="00F122FA">
      <w:r w:rsidRPr="00F122FA">
        <w:t>The central analytical story is that the business generated substantial revenue and profit across the two-year period, but performance varied by product category and geographical region. This makes it important to look beyond total sales and identify where the business earns its revenue, where it generates profit, and how customer purchasing patterns may influence future growth.</w:t>
      </w:r>
    </w:p>
    <w:p w14:paraId="56728767" w14:textId="77777777" w:rsidR="00F122FA" w:rsidRDefault="00F122FA" w:rsidP="00F122FA">
      <w:pPr>
        <w:rPr>
          <w:b/>
          <w:bCs/>
        </w:rPr>
      </w:pPr>
    </w:p>
    <w:p w14:paraId="4E87F11D" w14:textId="77777777" w:rsidR="00F122FA" w:rsidRDefault="00F122FA" w:rsidP="00F122FA">
      <w:pPr>
        <w:rPr>
          <w:b/>
          <w:bCs/>
        </w:rPr>
      </w:pPr>
    </w:p>
    <w:p w14:paraId="51DA3546" w14:textId="77777777" w:rsidR="00F122FA" w:rsidRDefault="00F122FA" w:rsidP="00F122FA">
      <w:pPr>
        <w:rPr>
          <w:b/>
          <w:bCs/>
        </w:rPr>
      </w:pPr>
    </w:p>
    <w:p w14:paraId="3C9C3B96" w14:textId="6D1CE320" w:rsidR="00F122FA" w:rsidRPr="00F122FA" w:rsidRDefault="00F122FA" w:rsidP="00F122FA">
      <w:pPr>
        <w:rPr>
          <w:b/>
          <w:bCs/>
          <w:sz w:val="36"/>
          <w:szCs w:val="36"/>
        </w:rPr>
      </w:pPr>
      <w:r w:rsidRPr="00F122FA">
        <w:rPr>
          <w:b/>
          <w:bCs/>
          <w:sz w:val="36"/>
          <w:szCs w:val="36"/>
        </w:rPr>
        <w:t xml:space="preserve"> Instruments and tools used</w:t>
      </w:r>
    </w:p>
    <w:p w14:paraId="50A6CE58" w14:textId="5E46FCE1" w:rsidR="00F122FA" w:rsidRPr="00F122FA" w:rsidRDefault="00F122FA" w:rsidP="00F122F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6180"/>
      </w:tblGrid>
      <w:tr w:rsidR="00F122FA" w:rsidRPr="00F122FA" w14:paraId="11EA8212" w14:textId="77777777">
        <w:trPr>
          <w:tblCellSpacing w:w="15" w:type="dxa"/>
        </w:trPr>
        <w:tc>
          <w:tcPr>
            <w:tcW w:w="0" w:type="auto"/>
            <w:vAlign w:val="center"/>
            <w:hideMark/>
          </w:tcPr>
          <w:p w14:paraId="2A46F28B" w14:textId="77777777" w:rsidR="00F122FA" w:rsidRPr="00F122FA" w:rsidRDefault="00F122FA" w:rsidP="00F122FA">
            <w:pPr>
              <w:rPr>
                <w:b/>
                <w:bCs/>
              </w:rPr>
            </w:pPr>
            <w:r w:rsidRPr="00F122FA">
              <w:rPr>
                <w:b/>
                <w:bCs/>
              </w:rPr>
              <w:t>Instrument</w:t>
            </w:r>
          </w:p>
        </w:tc>
        <w:tc>
          <w:tcPr>
            <w:tcW w:w="0" w:type="auto"/>
            <w:vAlign w:val="center"/>
            <w:hideMark/>
          </w:tcPr>
          <w:p w14:paraId="7ED37989" w14:textId="77777777" w:rsidR="00F122FA" w:rsidRPr="00F122FA" w:rsidRDefault="00F122FA" w:rsidP="00F122FA">
            <w:pPr>
              <w:rPr>
                <w:b/>
                <w:bCs/>
              </w:rPr>
            </w:pPr>
            <w:r w:rsidRPr="00F122FA">
              <w:rPr>
                <w:b/>
                <w:bCs/>
              </w:rPr>
              <w:t>Purpose</w:t>
            </w:r>
          </w:p>
        </w:tc>
      </w:tr>
      <w:tr w:rsidR="00F122FA" w:rsidRPr="00F122FA" w14:paraId="5D2AEC4A" w14:textId="77777777">
        <w:trPr>
          <w:tblCellSpacing w:w="15" w:type="dxa"/>
        </w:trPr>
        <w:tc>
          <w:tcPr>
            <w:tcW w:w="0" w:type="auto"/>
            <w:vAlign w:val="center"/>
            <w:hideMark/>
          </w:tcPr>
          <w:p w14:paraId="6C8CA568" w14:textId="77777777" w:rsidR="00F122FA" w:rsidRPr="00F122FA" w:rsidRDefault="00F122FA" w:rsidP="00F122FA">
            <w:r w:rsidRPr="00F122FA">
              <w:t>Microsoft Excel</w:t>
            </w:r>
          </w:p>
        </w:tc>
        <w:tc>
          <w:tcPr>
            <w:tcW w:w="0" w:type="auto"/>
            <w:vAlign w:val="center"/>
            <w:hideMark/>
          </w:tcPr>
          <w:p w14:paraId="6AB281D0" w14:textId="77777777" w:rsidR="00F122FA" w:rsidRPr="00F122FA" w:rsidRDefault="00F122FA" w:rsidP="00F122FA">
            <w:r w:rsidRPr="00F122FA">
              <w:t>Data inspection, spreadsheet analysis, aggregation, and reporting</w:t>
            </w:r>
          </w:p>
        </w:tc>
      </w:tr>
      <w:tr w:rsidR="00F122FA" w:rsidRPr="00F122FA" w14:paraId="4B227A60" w14:textId="77777777">
        <w:trPr>
          <w:tblCellSpacing w:w="15" w:type="dxa"/>
        </w:trPr>
        <w:tc>
          <w:tcPr>
            <w:tcW w:w="0" w:type="auto"/>
            <w:vAlign w:val="center"/>
            <w:hideMark/>
          </w:tcPr>
          <w:p w14:paraId="52B7CA05" w14:textId="77777777" w:rsidR="00F122FA" w:rsidRPr="00F122FA" w:rsidRDefault="00F122FA" w:rsidP="00F122FA">
            <w:r w:rsidRPr="00F122FA">
              <w:t>Pivot tables</w:t>
            </w:r>
          </w:p>
        </w:tc>
        <w:tc>
          <w:tcPr>
            <w:tcW w:w="0" w:type="auto"/>
            <w:vAlign w:val="center"/>
            <w:hideMark/>
          </w:tcPr>
          <w:p w14:paraId="6FCDF44F" w14:textId="53E1AA5D" w:rsidR="00F122FA" w:rsidRPr="00F122FA" w:rsidRDefault="00F122FA" w:rsidP="00F122FA">
            <w:r w:rsidRPr="00F122FA">
              <w:t>Summarizing</w:t>
            </w:r>
            <w:r w:rsidRPr="00F122FA">
              <w:t xml:space="preserve"> sales by year, product category, region, state, and customer</w:t>
            </w:r>
          </w:p>
        </w:tc>
      </w:tr>
      <w:tr w:rsidR="00F122FA" w:rsidRPr="00F122FA" w14:paraId="472CE8B1" w14:textId="77777777">
        <w:trPr>
          <w:tblCellSpacing w:w="15" w:type="dxa"/>
        </w:trPr>
        <w:tc>
          <w:tcPr>
            <w:tcW w:w="0" w:type="auto"/>
            <w:vAlign w:val="center"/>
            <w:hideMark/>
          </w:tcPr>
          <w:p w14:paraId="04BDA280" w14:textId="77777777" w:rsidR="00F122FA" w:rsidRPr="00F122FA" w:rsidRDefault="00F122FA" w:rsidP="00F122FA">
            <w:r w:rsidRPr="00F122FA">
              <w:t>Charts and dashboard components</w:t>
            </w:r>
          </w:p>
        </w:tc>
        <w:tc>
          <w:tcPr>
            <w:tcW w:w="0" w:type="auto"/>
            <w:vAlign w:val="center"/>
            <w:hideMark/>
          </w:tcPr>
          <w:p w14:paraId="7A0FB202" w14:textId="77777777" w:rsidR="00F122FA" w:rsidRPr="00F122FA" w:rsidRDefault="00F122FA" w:rsidP="00F122FA">
            <w:r w:rsidRPr="00F122FA">
              <w:t>Communicating trends, comparisons, and performance indicators</w:t>
            </w:r>
          </w:p>
        </w:tc>
      </w:tr>
      <w:tr w:rsidR="00F122FA" w:rsidRPr="00F122FA" w14:paraId="04C4E19E" w14:textId="77777777">
        <w:trPr>
          <w:tblCellSpacing w:w="15" w:type="dxa"/>
        </w:trPr>
        <w:tc>
          <w:tcPr>
            <w:tcW w:w="0" w:type="auto"/>
            <w:vAlign w:val="center"/>
            <w:hideMark/>
          </w:tcPr>
          <w:p w14:paraId="20E7B2C8" w14:textId="77777777" w:rsidR="00F122FA" w:rsidRPr="00F122FA" w:rsidRDefault="00F122FA" w:rsidP="00F122FA">
            <w:r w:rsidRPr="00F122FA">
              <w:t>Business intelligence principles</w:t>
            </w:r>
          </w:p>
        </w:tc>
        <w:tc>
          <w:tcPr>
            <w:tcW w:w="0" w:type="auto"/>
            <w:vAlign w:val="center"/>
            <w:hideMark/>
          </w:tcPr>
          <w:p w14:paraId="73C26C62" w14:textId="77777777" w:rsidR="00F122FA" w:rsidRPr="00F122FA" w:rsidRDefault="00F122FA" w:rsidP="00F122FA">
            <w:r w:rsidRPr="00F122FA">
              <w:t>Connecting analytical findings to operational decisions</w:t>
            </w:r>
          </w:p>
        </w:tc>
      </w:tr>
    </w:tbl>
    <w:p w14:paraId="77969784" w14:textId="77777777" w:rsidR="00061EE0" w:rsidRDefault="00061EE0" w:rsidP="000B2CA0"/>
    <w:p w14:paraId="48D8EC93" w14:textId="77777777" w:rsidR="00F122FA" w:rsidRPr="00F122FA" w:rsidRDefault="00F122FA" w:rsidP="00F122FA">
      <w:pPr>
        <w:rPr>
          <w:b/>
          <w:bCs/>
          <w:sz w:val="36"/>
          <w:szCs w:val="36"/>
        </w:rPr>
      </w:pPr>
      <w:r w:rsidRPr="00F122FA">
        <w:rPr>
          <w:b/>
          <w:bCs/>
          <w:sz w:val="36"/>
          <w:szCs w:val="36"/>
        </w:rPr>
        <w:t>Pre-analysis: defining the business questions</w:t>
      </w:r>
    </w:p>
    <w:p w14:paraId="44F8A4BC" w14:textId="77777777" w:rsidR="00F122FA" w:rsidRPr="00F122FA" w:rsidRDefault="00F122FA" w:rsidP="00F122FA">
      <w:r w:rsidRPr="00F122FA">
        <w:t>Before examining the results, I established the questions the analysis needed to answer.</w:t>
      </w:r>
    </w:p>
    <w:p w14:paraId="11D49844" w14:textId="77777777" w:rsidR="00F122FA" w:rsidRPr="00F122FA" w:rsidRDefault="00F122FA" w:rsidP="00F122FA">
      <w:pPr>
        <w:numPr>
          <w:ilvl w:val="0"/>
          <w:numId w:val="3"/>
        </w:numPr>
      </w:pPr>
      <w:r w:rsidRPr="00F122FA">
        <w:t>How much revenue and profit did the business generate?</w:t>
      </w:r>
    </w:p>
    <w:p w14:paraId="23E2259F" w14:textId="77777777" w:rsidR="00F122FA" w:rsidRPr="00F122FA" w:rsidRDefault="00F122FA" w:rsidP="00F122FA">
      <w:pPr>
        <w:numPr>
          <w:ilvl w:val="0"/>
          <w:numId w:val="3"/>
        </w:numPr>
      </w:pPr>
      <w:r w:rsidRPr="00F122FA">
        <w:t>Did sales improve between 2023 and 2024?</w:t>
      </w:r>
    </w:p>
    <w:p w14:paraId="35CA1217" w14:textId="77777777" w:rsidR="00F122FA" w:rsidRPr="00F122FA" w:rsidRDefault="00F122FA" w:rsidP="00F122FA">
      <w:pPr>
        <w:numPr>
          <w:ilvl w:val="0"/>
          <w:numId w:val="3"/>
        </w:numPr>
      </w:pPr>
      <w:r w:rsidRPr="00F122FA">
        <w:t>Which product categories contributed the most revenue and profit?</w:t>
      </w:r>
    </w:p>
    <w:p w14:paraId="2424C137" w14:textId="77777777" w:rsidR="00F122FA" w:rsidRPr="00F122FA" w:rsidRDefault="00F122FA" w:rsidP="00F122FA">
      <w:pPr>
        <w:numPr>
          <w:ilvl w:val="0"/>
          <w:numId w:val="3"/>
        </w:numPr>
      </w:pPr>
      <w:r w:rsidRPr="00F122FA">
        <w:t>Which geographical regions and states performed best?</w:t>
      </w:r>
    </w:p>
    <w:p w14:paraId="3115320C" w14:textId="77777777" w:rsidR="00F122FA" w:rsidRPr="00F122FA" w:rsidRDefault="00F122FA" w:rsidP="00F122FA">
      <w:pPr>
        <w:numPr>
          <w:ilvl w:val="0"/>
          <w:numId w:val="3"/>
        </w:numPr>
      </w:pPr>
      <w:r w:rsidRPr="00F122FA">
        <w:t>Which individual products generated the highest revenue?</w:t>
      </w:r>
    </w:p>
    <w:p w14:paraId="152DD2C0" w14:textId="77777777" w:rsidR="00F122FA" w:rsidRPr="00F122FA" w:rsidRDefault="00F122FA" w:rsidP="00F122FA">
      <w:pPr>
        <w:numPr>
          <w:ilvl w:val="0"/>
          <w:numId w:val="3"/>
        </w:numPr>
      </w:pPr>
      <w:r w:rsidRPr="00F122FA">
        <w:t>Which customers contributed the most revenue and returned frequently?</w:t>
      </w:r>
    </w:p>
    <w:p w14:paraId="19FAC1CE" w14:textId="77777777" w:rsidR="00F122FA" w:rsidRPr="00F122FA" w:rsidRDefault="00F122FA" w:rsidP="00F122FA">
      <w:pPr>
        <w:numPr>
          <w:ilvl w:val="0"/>
          <w:numId w:val="3"/>
        </w:numPr>
      </w:pPr>
      <w:r w:rsidRPr="00F122FA">
        <w:t>How many units were sold, and what can product-level demand reveal?</w:t>
      </w:r>
    </w:p>
    <w:p w14:paraId="67AC0548" w14:textId="61304288" w:rsidR="00F122FA" w:rsidRDefault="00F122FA" w:rsidP="00F122FA">
      <w:pPr>
        <w:numPr>
          <w:ilvl w:val="0"/>
          <w:numId w:val="3"/>
        </w:numPr>
      </w:pPr>
      <w:r w:rsidRPr="00F122FA">
        <w:t>What opportunities exist to improve profitability and sustainable growth?</w:t>
      </w:r>
    </w:p>
    <w:p w14:paraId="17624BB1" w14:textId="77777777" w:rsidR="00F122FA" w:rsidRDefault="00F122FA" w:rsidP="00F122FA"/>
    <w:p w14:paraId="314F43C2" w14:textId="77777777" w:rsidR="00F122FA" w:rsidRPr="00F122FA" w:rsidRDefault="00F122FA" w:rsidP="00F122FA">
      <w:pPr>
        <w:rPr>
          <w:b/>
          <w:bCs/>
        </w:rPr>
      </w:pPr>
      <w:r w:rsidRPr="00F122FA">
        <w:rPr>
          <w:b/>
          <w:bCs/>
        </w:rPr>
        <w:t>Key performance indicators</w:t>
      </w:r>
    </w:p>
    <w:p w14:paraId="48E7371A" w14:textId="77777777" w:rsidR="00F122FA" w:rsidRPr="00F122FA" w:rsidRDefault="00F122FA" w:rsidP="00F122FA">
      <w:r w:rsidRPr="00F122FA">
        <w:lastRenderedPageBreak/>
        <w:t>The main KPIs selected for the analysis were total revenue, total profit, profit margin, quantity sold, yearly revenue growth, category contribution, regional performance, top-product revenue, and customer purchasing activity.</w:t>
      </w:r>
    </w:p>
    <w:p w14:paraId="6939CCAD" w14:textId="77777777" w:rsidR="00F122FA" w:rsidRPr="00F122FA" w:rsidRDefault="00F122FA" w:rsidP="00F122FA">
      <w:r w:rsidRPr="00F122FA">
        <w:t>These measures provided a balanced view of financial outcomes, demand, and customer contribution.</w:t>
      </w:r>
    </w:p>
    <w:p w14:paraId="25EB8678" w14:textId="77777777" w:rsidR="00F122FA" w:rsidRPr="00F122FA" w:rsidRDefault="00F122FA" w:rsidP="00F122FA">
      <w:pPr>
        <w:rPr>
          <w:b/>
          <w:bCs/>
          <w:sz w:val="36"/>
          <w:szCs w:val="36"/>
        </w:rPr>
      </w:pPr>
      <w:r w:rsidRPr="00F122FA">
        <w:rPr>
          <w:b/>
          <w:bCs/>
          <w:sz w:val="36"/>
          <w:szCs w:val="36"/>
        </w:rPr>
        <w:t>Data story: observations from the dataset</w:t>
      </w:r>
    </w:p>
    <w:p w14:paraId="57926EC0" w14:textId="77777777" w:rsidR="00F122FA" w:rsidRPr="00F122FA" w:rsidRDefault="00F122FA" w:rsidP="00F122FA">
      <w:pPr>
        <w:rPr>
          <w:b/>
          <w:bCs/>
        </w:rPr>
      </w:pPr>
      <w:r w:rsidRPr="00F122FA">
        <w:rPr>
          <w:b/>
          <w:bCs/>
        </w:rPr>
        <w:t>Dataset profile and preparation</w:t>
      </w:r>
    </w:p>
    <w:p w14:paraId="27AFAEB1" w14:textId="77777777" w:rsidR="00F122FA" w:rsidRPr="00F122FA" w:rsidRDefault="00F122FA" w:rsidP="00F122FA">
      <w:r w:rsidRPr="00F122FA">
        <w:t>The primary worksheet contains 200,000 records and 14 columns, covering the period from 1 January 2023 to 31 December 2024.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0"/>
        <w:gridCol w:w="3018"/>
      </w:tblGrid>
      <w:tr w:rsidR="00F122FA" w:rsidRPr="00F122FA" w14:paraId="79CB1379" w14:textId="77777777" w:rsidTr="00F122FA">
        <w:trPr>
          <w:tblCellSpacing w:w="15" w:type="dxa"/>
        </w:trPr>
        <w:tc>
          <w:tcPr>
            <w:tcW w:w="3825" w:type="dxa"/>
            <w:vAlign w:val="center"/>
            <w:hideMark/>
          </w:tcPr>
          <w:p w14:paraId="19CD8835" w14:textId="77777777" w:rsidR="00F122FA" w:rsidRPr="00F122FA" w:rsidRDefault="00F122FA" w:rsidP="00F122FA">
            <w:pPr>
              <w:rPr>
                <w:b/>
                <w:bCs/>
              </w:rPr>
            </w:pPr>
            <w:r w:rsidRPr="00F122FA">
              <w:rPr>
                <w:b/>
                <w:bCs/>
              </w:rPr>
              <w:t>Data characteristic</w:t>
            </w:r>
          </w:p>
        </w:tc>
        <w:tc>
          <w:tcPr>
            <w:tcW w:w="2973" w:type="dxa"/>
            <w:vAlign w:val="center"/>
            <w:hideMark/>
          </w:tcPr>
          <w:p w14:paraId="7CEF0CCD" w14:textId="77777777" w:rsidR="00F122FA" w:rsidRPr="00F122FA" w:rsidRDefault="00F122FA" w:rsidP="00F122FA">
            <w:pPr>
              <w:rPr>
                <w:b/>
                <w:bCs/>
              </w:rPr>
            </w:pPr>
            <w:r w:rsidRPr="00F122FA">
              <w:rPr>
                <w:b/>
                <w:bCs/>
              </w:rPr>
              <w:t>Observation</w:t>
            </w:r>
          </w:p>
        </w:tc>
      </w:tr>
      <w:tr w:rsidR="00F122FA" w:rsidRPr="00F122FA" w14:paraId="3F671192" w14:textId="77777777" w:rsidTr="00F122FA">
        <w:trPr>
          <w:tblCellSpacing w:w="15" w:type="dxa"/>
        </w:trPr>
        <w:tc>
          <w:tcPr>
            <w:tcW w:w="3825" w:type="dxa"/>
            <w:vAlign w:val="center"/>
            <w:hideMark/>
          </w:tcPr>
          <w:p w14:paraId="7EB704A9" w14:textId="77777777" w:rsidR="00F122FA" w:rsidRPr="00F122FA" w:rsidRDefault="00F122FA" w:rsidP="00F122FA">
            <w:r w:rsidRPr="00F122FA">
              <w:t>Records</w:t>
            </w:r>
          </w:p>
        </w:tc>
        <w:tc>
          <w:tcPr>
            <w:tcW w:w="2973" w:type="dxa"/>
            <w:vAlign w:val="center"/>
            <w:hideMark/>
          </w:tcPr>
          <w:p w14:paraId="4E3AC366" w14:textId="77777777" w:rsidR="00F122FA" w:rsidRPr="00F122FA" w:rsidRDefault="00F122FA" w:rsidP="00F122FA">
            <w:r w:rsidRPr="00F122FA">
              <w:t>200,000</w:t>
            </w:r>
          </w:p>
        </w:tc>
      </w:tr>
      <w:tr w:rsidR="00F122FA" w:rsidRPr="00F122FA" w14:paraId="4C5D0539" w14:textId="77777777" w:rsidTr="00F122FA">
        <w:trPr>
          <w:tblCellSpacing w:w="15" w:type="dxa"/>
        </w:trPr>
        <w:tc>
          <w:tcPr>
            <w:tcW w:w="3825" w:type="dxa"/>
            <w:vAlign w:val="center"/>
            <w:hideMark/>
          </w:tcPr>
          <w:p w14:paraId="7019EEFE" w14:textId="77777777" w:rsidR="00F122FA" w:rsidRPr="00F122FA" w:rsidRDefault="00F122FA" w:rsidP="00F122FA">
            <w:r w:rsidRPr="00F122FA">
              <w:t>Columns</w:t>
            </w:r>
          </w:p>
        </w:tc>
        <w:tc>
          <w:tcPr>
            <w:tcW w:w="2973" w:type="dxa"/>
            <w:vAlign w:val="center"/>
            <w:hideMark/>
          </w:tcPr>
          <w:p w14:paraId="2DF28820" w14:textId="77777777" w:rsidR="00F122FA" w:rsidRPr="00F122FA" w:rsidRDefault="00F122FA" w:rsidP="00F122FA">
            <w:r w:rsidRPr="00F122FA">
              <w:t>14</w:t>
            </w:r>
          </w:p>
        </w:tc>
      </w:tr>
      <w:tr w:rsidR="00F122FA" w:rsidRPr="00F122FA" w14:paraId="48CE009F" w14:textId="77777777" w:rsidTr="00F122FA">
        <w:trPr>
          <w:tblCellSpacing w:w="15" w:type="dxa"/>
        </w:trPr>
        <w:tc>
          <w:tcPr>
            <w:tcW w:w="3825" w:type="dxa"/>
            <w:vAlign w:val="center"/>
            <w:hideMark/>
          </w:tcPr>
          <w:p w14:paraId="279E2E21" w14:textId="77777777" w:rsidR="00F122FA" w:rsidRPr="00F122FA" w:rsidRDefault="00F122FA" w:rsidP="00F122FA">
            <w:r w:rsidRPr="00F122FA">
              <w:t>Unique order IDs</w:t>
            </w:r>
          </w:p>
        </w:tc>
        <w:tc>
          <w:tcPr>
            <w:tcW w:w="2973" w:type="dxa"/>
            <w:vAlign w:val="center"/>
            <w:hideMark/>
          </w:tcPr>
          <w:p w14:paraId="7A5C7A55" w14:textId="77777777" w:rsidR="00F122FA" w:rsidRPr="00F122FA" w:rsidRDefault="00F122FA" w:rsidP="00F122FA">
            <w:r w:rsidRPr="00F122FA">
              <w:t>200,000</w:t>
            </w:r>
          </w:p>
        </w:tc>
      </w:tr>
      <w:tr w:rsidR="00F122FA" w:rsidRPr="00F122FA" w14:paraId="084F4BA9" w14:textId="77777777" w:rsidTr="00F122FA">
        <w:trPr>
          <w:tblCellSpacing w:w="15" w:type="dxa"/>
        </w:trPr>
        <w:tc>
          <w:tcPr>
            <w:tcW w:w="3825" w:type="dxa"/>
            <w:vAlign w:val="center"/>
            <w:hideMark/>
          </w:tcPr>
          <w:p w14:paraId="21FAA36A" w14:textId="77777777" w:rsidR="00F122FA" w:rsidRPr="00F122FA" w:rsidRDefault="00F122FA" w:rsidP="00F122FA">
            <w:r w:rsidRPr="00F122FA">
              <w:t>Distinct customer names</w:t>
            </w:r>
          </w:p>
        </w:tc>
        <w:tc>
          <w:tcPr>
            <w:tcW w:w="2973" w:type="dxa"/>
            <w:vAlign w:val="center"/>
            <w:hideMark/>
          </w:tcPr>
          <w:p w14:paraId="275BD035" w14:textId="77777777" w:rsidR="00F122FA" w:rsidRPr="00F122FA" w:rsidRDefault="00F122FA" w:rsidP="00F122FA">
            <w:r w:rsidRPr="00F122FA">
              <w:t>120,230</w:t>
            </w:r>
          </w:p>
        </w:tc>
      </w:tr>
      <w:tr w:rsidR="00F122FA" w:rsidRPr="00F122FA" w14:paraId="0C44394D" w14:textId="77777777" w:rsidTr="00F122FA">
        <w:trPr>
          <w:tblCellSpacing w:w="15" w:type="dxa"/>
        </w:trPr>
        <w:tc>
          <w:tcPr>
            <w:tcW w:w="3825" w:type="dxa"/>
            <w:vAlign w:val="center"/>
            <w:hideMark/>
          </w:tcPr>
          <w:p w14:paraId="65165408" w14:textId="77777777" w:rsidR="00F122FA" w:rsidRPr="00F122FA" w:rsidRDefault="00F122FA" w:rsidP="00F122FA">
            <w:r w:rsidRPr="00F122FA">
              <w:t>Distinct products</w:t>
            </w:r>
          </w:p>
        </w:tc>
        <w:tc>
          <w:tcPr>
            <w:tcW w:w="2973" w:type="dxa"/>
            <w:vAlign w:val="center"/>
            <w:hideMark/>
          </w:tcPr>
          <w:p w14:paraId="24A2953E" w14:textId="77777777" w:rsidR="00F122FA" w:rsidRPr="00F122FA" w:rsidRDefault="00F122FA" w:rsidP="00F122FA">
            <w:r w:rsidRPr="00F122FA">
              <w:t>49</w:t>
            </w:r>
          </w:p>
        </w:tc>
      </w:tr>
      <w:tr w:rsidR="00F122FA" w:rsidRPr="00F122FA" w14:paraId="5E5BCDC5" w14:textId="77777777" w:rsidTr="00F122FA">
        <w:trPr>
          <w:tblCellSpacing w:w="15" w:type="dxa"/>
        </w:trPr>
        <w:tc>
          <w:tcPr>
            <w:tcW w:w="3825" w:type="dxa"/>
            <w:vAlign w:val="center"/>
            <w:hideMark/>
          </w:tcPr>
          <w:p w14:paraId="30570748" w14:textId="77777777" w:rsidR="00F122FA" w:rsidRPr="00F122FA" w:rsidRDefault="00F122FA" w:rsidP="00F122FA">
            <w:r w:rsidRPr="00F122FA">
              <w:t>Product categories</w:t>
            </w:r>
          </w:p>
        </w:tc>
        <w:tc>
          <w:tcPr>
            <w:tcW w:w="2973" w:type="dxa"/>
            <w:vAlign w:val="center"/>
            <w:hideMark/>
          </w:tcPr>
          <w:p w14:paraId="15BF1380" w14:textId="77777777" w:rsidR="00F122FA" w:rsidRPr="00F122FA" w:rsidRDefault="00F122FA" w:rsidP="00F122FA">
            <w:r w:rsidRPr="00F122FA">
              <w:t>4</w:t>
            </w:r>
          </w:p>
        </w:tc>
      </w:tr>
      <w:tr w:rsidR="00F122FA" w:rsidRPr="00F122FA" w14:paraId="141D8577" w14:textId="77777777" w:rsidTr="00F122FA">
        <w:trPr>
          <w:tblCellSpacing w:w="15" w:type="dxa"/>
        </w:trPr>
        <w:tc>
          <w:tcPr>
            <w:tcW w:w="3825" w:type="dxa"/>
            <w:vAlign w:val="center"/>
            <w:hideMark/>
          </w:tcPr>
          <w:p w14:paraId="02F1E838" w14:textId="77777777" w:rsidR="00F122FA" w:rsidRPr="00F122FA" w:rsidRDefault="00F122FA" w:rsidP="00F122FA">
            <w:r w:rsidRPr="00F122FA">
              <w:t>States represented</w:t>
            </w:r>
          </w:p>
        </w:tc>
        <w:tc>
          <w:tcPr>
            <w:tcW w:w="2973" w:type="dxa"/>
            <w:vAlign w:val="center"/>
            <w:hideMark/>
          </w:tcPr>
          <w:p w14:paraId="1566642B" w14:textId="77777777" w:rsidR="00F122FA" w:rsidRPr="00F122FA" w:rsidRDefault="00F122FA" w:rsidP="00F122FA">
            <w:r w:rsidRPr="00F122FA">
              <w:t>47</w:t>
            </w:r>
          </w:p>
        </w:tc>
      </w:tr>
      <w:tr w:rsidR="00F122FA" w:rsidRPr="00F122FA" w14:paraId="1B97CEFB" w14:textId="77777777" w:rsidTr="00F122FA">
        <w:trPr>
          <w:tblCellSpacing w:w="15" w:type="dxa"/>
        </w:trPr>
        <w:tc>
          <w:tcPr>
            <w:tcW w:w="3825" w:type="dxa"/>
            <w:vAlign w:val="center"/>
            <w:hideMark/>
          </w:tcPr>
          <w:p w14:paraId="4B95E76B" w14:textId="77777777" w:rsidR="00F122FA" w:rsidRPr="00F122FA" w:rsidRDefault="00F122FA" w:rsidP="00F122FA">
            <w:r w:rsidRPr="00F122FA">
              <w:t>Missing values</w:t>
            </w:r>
          </w:p>
        </w:tc>
        <w:tc>
          <w:tcPr>
            <w:tcW w:w="2973" w:type="dxa"/>
            <w:vAlign w:val="center"/>
            <w:hideMark/>
          </w:tcPr>
          <w:p w14:paraId="50DBCEC2" w14:textId="77777777" w:rsidR="00F122FA" w:rsidRPr="00F122FA" w:rsidRDefault="00F122FA" w:rsidP="00F122FA">
            <w:r w:rsidRPr="00F122FA">
              <w:t>None detected in the primary worksheet</w:t>
            </w:r>
          </w:p>
        </w:tc>
      </w:tr>
    </w:tbl>
    <w:p w14:paraId="7ED25FB9" w14:textId="77777777" w:rsidR="00F122FA" w:rsidRPr="00F122FA" w:rsidRDefault="00F122FA" w:rsidP="00F122FA"/>
    <w:p w14:paraId="1FA31262" w14:textId="77777777" w:rsidR="00D5391C" w:rsidRPr="00D5391C" w:rsidRDefault="00D5391C" w:rsidP="00D5391C">
      <w:r w:rsidRPr="00D5391C">
        <w:t>The data includes sales quantities, prices, revenue, and profit, making it suitable for descriptive and comparative analysis.</w:t>
      </w:r>
    </w:p>
    <w:p w14:paraId="4E050CEC" w14:textId="3C7323B4" w:rsidR="00D5391C" w:rsidRPr="00D5391C" w:rsidRDefault="00D5391C" w:rsidP="00D5391C">
      <w:r w:rsidRPr="00D5391C">
        <w:t xml:space="preserve">The initial inspection also identified leading and trailing spaces in some financial column names. These should be </w:t>
      </w:r>
      <w:r w:rsidRPr="00D5391C">
        <w:t>standardized</w:t>
      </w:r>
      <w:r w:rsidRPr="00D5391C">
        <w:t xml:space="preserve"> before calculations or importing the dataset into other analytical tools.</w:t>
      </w:r>
    </w:p>
    <w:p w14:paraId="32CD92FA" w14:textId="77777777" w:rsidR="00D5391C" w:rsidRDefault="00D5391C" w:rsidP="00D5391C">
      <w:r w:rsidRPr="00D5391C">
        <w:t xml:space="preserve">No missing values or negative revenue and profit figures were detected in the primary worksheet. However, a complete quality assessment should also test calculation </w:t>
      </w:r>
      <w:r w:rsidRPr="00D5391C">
        <w:lastRenderedPageBreak/>
        <w:t>consistency, duplicate business transactions, category spelling, date validity, and the relationship between quantity, unit price, revenue, and profit.</w:t>
      </w:r>
    </w:p>
    <w:p w14:paraId="751CF69D" w14:textId="77777777" w:rsidR="00D5391C" w:rsidRDefault="00D5391C" w:rsidP="00D5391C"/>
    <w:p w14:paraId="402824B5" w14:textId="75F46203" w:rsidR="00D5391C" w:rsidRDefault="00D5391C" w:rsidP="00D5391C">
      <w:pPr>
        <w:rPr>
          <w:b/>
          <w:bCs/>
        </w:rPr>
      </w:pPr>
      <w:r w:rsidRPr="00D5391C">
        <w:rPr>
          <w:b/>
          <w:bCs/>
        </w:rPr>
        <w:t>Observation 1: Annual sales performance</w:t>
      </w:r>
    </w:p>
    <w:p w14:paraId="295C44B7" w14:textId="77777777" w:rsidR="00EC5B3A" w:rsidRPr="00EC5B3A" w:rsidRDefault="00EC5B3A" w:rsidP="00EC5B3A">
      <w:pPr>
        <w:rPr>
          <w:b/>
          <w:bCs/>
        </w:rPr>
      </w:pPr>
      <w:r w:rsidRPr="00EC5B3A">
        <w:rPr>
          <w:b/>
          <w:bCs/>
        </w:rPr>
        <w:t>Revenue by Year</w:t>
      </w:r>
    </w:p>
    <w:p w14:paraId="53C4D827" w14:textId="77777777" w:rsidR="00EC5B3A" w:rsidRPr="00EC5B3A" w:rsidRDefault="00EC5B3A" w:rsidP="00EC5B3A">
      <w:r w:rsidRPr="00EC5B3A">
        <w:t>Revenue remained broadly stable, with a modest increase in 2024.</w:t>
      </w:r>
    </w:p>
    <w:p w14:paraId="71354DF7" w14:textId="34C0F549" w:rsidR="00EC5B3A" w:rsidRPr="00EC5B3A" w:rsidRDefault="00EC5B3A" w:rsidP="00D5391C">
      <w:r>
        <w:rPr>
          <w:noProof/>
        </w:rPr>
        <w:drawing>
          <wp:inline distT="0" distB="0" distL="0" distR="0" wp14:anchorId="698EB4E1" wp14:editId="057F4D8F">
            <wp:extent cx="5086350" cy="3600450"/>
            <wp:effectExtent l="38100" t="38100" r="95250" b="95250"/>
            <wp:docPr id="1007902256" name="Chart 1">
              <a:extLst xmlns:a="http://schemas.openxmlformats.org/drawingml/2006/main">
                <a:ext uri="{FF2B5EF4-FFF2-40B4-BE49-F238E27FC236}">
                  <a16:creationId xmlns:a16="http://schemas.microsoft.com/office/drawing/2014/main" id="{B4A18D64-FF38-4E4B-8F6F-9D926F7F13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C0FF1EE" w14:textId="77777777" w:rsidR="00EC5B3A" w:rsidRPr="00EC5B3A" w:rsidRDefault="00EC5B3A" w:rsidP="00EC5B3A">
      <w:pPr>
        <w:rPr>
          <w:b/>
          <w:bCs/>
        </w:rPr>
      </w:pPr>
      <w:r w:rsidRPr="00EC5B3A">
        <w:rPr>
          <w:b/>
          <w:bCs/>
        </w:rPr>
        <w:t>Key insight derived</w:t>
      </w:r>
    </w:p>
    <w:p w14:paraId="1AC11F9D" w14:textId="77777777" w:rsidR="00EC5B3A" w:rsidRPr="00EC5B3A" w:rsidRDefault="00EC5B3A" w:rsidP="00EC5B3A">
      <w:r w:rsidRPr="00EC5B3A">
        <w:t>Revenue increased slightly from 2023 to 2024, indicating positive but modest year-over-year growth.</w:t>
      </w:r>
    </w:p>
    <w:p w14:paraId="7DE68FF1" w14:textId="77777777" w:rsidR="00EC5B3A" w:rsidRPr="00EC5B3A" w:rsidRDefault="00EC5B3A" w:rsidP="00EC5B3A">
      <w:pPr>
        <w:rPr>
          <w:b/>
          <w:bCs/>
        </w:rPr>
      </w:pPr>
      <w:r w:rsidRPr="00EC5B3A">
        <w:rPr>
          <w:b/>
          <w:bCs/>
        </w:rPr>
        <w:t>Observed insight</w:t>
      </w:r>
    </w:p>
    <w:p w14:paraId="112CFC73" w14:textId="77777777" w:rsidR="00EC5B3A" w:rsidRPr="00EC5B3A" w:rsidRDefault="00EC5B3A" w:rsidP="00EC5B3A">
      <w:pPr>
        <w:numPr>
          <w:ilvl w:val="0"/>
          <w:numId w:val="4"/>
        </w:numPr>
      </w:pPr>
      <w:r w:rsidRPr="00EC5B3A">
        <w:t>2023 revenue: $70,755,372.66.</w:t>
      </w:r>
    </w:p>
    <w:p w14:paraId="05DD90D6" w14:textId="77777777" w:rsidR="00EC5B3A" w:rsidRPr="00EC5B3A" w:rsidRDefault="00EC5B3A" w:rsidP="00EC5B3A">
      <w:pPr>
        <w:numPr>
          <w:ilvl w:val="0"/>
          <w:numId w:val="4"/>
        </w:numPr>
      </w:pPr>
      <w:r w:rsidRPr="00EC5B3A">
        <w:t>2024 revenue: $71,652,372.27.</w:t>
      </w:r>
    </w:p>
    <w:p w14:paraId="200A190B" w14:textId="77777777" w:rsidR="00EC5B3A" w:rsidRPr="00EC5B3A" w:rsidRDefault="00EC5B3A" w:rsidP="00EC5B3A">
      <w:pPr>
        <w:numPr>
          <w:ilvl w:val="0"/>
          <w:numId w:val="4"/>
        </w:numPr>
      </w:pPr>
      <w:r w:rsidRPr="00EC5B3A">
        <w:t>Revenue increased by approximately $897,000, or 1.27%.</w:t>
      </w:r>
    </w:p>
    <w:p w14:paraId="3E6F706C" w14:textId="77777777" w:rsidR="00EC5B3A" w:rsidRPr="00EC5B3A" w:rsidRDefault="00EC5B3A" w:rsidP="00EC5B3A">
      <w:pPr>
        <w:numPr>
          <w:ilvl w:val="0"/>
          <w:numId w:val="4"/>
        </w:numPr>
      </w:pPr>
      <w:r w:rsidRPr="00EC5B3A">
        <w:t>Profit increased from $15,678,961.99 to $15,869,646.14, approximately 1.22%.</w:t>
      </w:r>
    </w:p>
    <w:p w14:paraId="5438A644" w14:textId="77777777" w:rsidR="00EC5B3A" w:rsidRPr="00EC5B3A" w:rsidRDefault="00EC5B3A" w:rsidP="00EC5B3A">
      <w:pPr>
        <w:rPr>
          <w:b/>
          <w:bCs/>
        </w:rPr>
      </w:pPr>
      <w:r w:rsidRPr="00EC5B3A">
        <w:rPr>
          <w:b/>
          <w:bCs/>
        </w:rPr>
        <w:lastRenderedPageBreak/>
        <w:t>Analytical interpretation</w:t>
      </w:r>
    </w:p>
    <w:p w14:paraId="1C4F600A" w14:textId="77777777" w:rsidR="00EC5B3A" w:rsidRPr="00EC5B3A" w:rsidRDefault="00EC5B3A" w:rsidP="00EC5B3A">
      <w:r w:rsidRPr="00EC5B3A">
        <w:t>The business maintained a relatively stable sales base, with a small improvement in both revenue and profit. The growth rate suggests that management should investigate whether the increase resulted from higher sales volumes, product pricing, product mix, or changes in customer demand.</w:t>
      </w:r>
    </w:p>
    <w:p w14:paraId="2C24113D" w14:textId="77777777" w:rsidR="00EC5B3A" w:rsidRPr="00EC5B3A" w:rsidRDefault="00EC5B3A" w:rsidP="00EC5B3A">
      <w:pPr>
        <w:rPr>
          <w:b/>
          <w:bCs/>
        </w:rPr>
      </w:pPr>
      <w:r w:rsidRPr="00EC5B3A">
        <w:rPr>
          <w:b/>
          <w:bCs/>
        </w:rPr>
        <w:t>Actionable recommendation</w:t>
      </w:r>
    </w:p>
    <w:p w14:paraId="7EB60E13" w14:textId="77777777" w:rsidR="00EC5B3A" w:rsidRPr="00EC5B3A" w:rsidRDefault="00EC5B3A" w:rsidP="00EC5B3A">
      <w:r w:rsidRPr="00EC5B3A">
        <w:t>Review monthly sales and year-over-year performance by product and region. Identify which segments generated the increase and set targeted growth objectives for underperforming areas.</w:t>
      </w:r>
    </w:p>
    <w:p w14:paraId="79D14FC6" w14:textId="77777777" w:rsidR="00EC5B3A" w:rsidRDefault="00EC5B3A" w:rsidP="00EC5B3A">
      <w:pPr>
        <w:rPr>
          <w:b/>
          <w:bCs/>
        </w:rPr>
      </w:pPr>
    </w:p>
    <w:p w14:paraId="186A1EE3" w14:textId="3F8559C2" w:rsidR="00EC5B3A" w:rsidRPr="00EC5B3A" w:rsidRDefault="00EC5B3A" w:rsidP="00EC5B3A">
      <w:pPr>
        <w:rPr>
          <w:b/>
          <w:bCs/>
        </w:rPr>
      </w:pPr>
      <w:r w:rsidRPr="00EC5B3A">
        <w:rPr>
          <w:b/>
          <w:bCs/>
        </w:rPr>
        <w:t>Observation 2: Product category performance</w:t>
      </w:r>
    </w:p>
    <w:p w14:paraId="3A2FA655" w14:textId="77777777" w:rsidR="00EC5B3A" w:rsidRPr="00EC5B3A" w:rsidRDefault="00EC5B3A" w:rsidP="00EC5B3A">
      <w:pPr>
        <w:rPr>
          <w:b/>
          <w:bCs/>
        </w:rPr>
      </w:pPr>
      <w:r w:rsidRPr="00EC5B3A">
        <w:rPr>
          <w:b/>
          <w:bCs/>
        </w:rPr>
        <w:t>Revenue by Product Category</w:t>
      </w:r>
    </w:p>
    <w:p w14:paraId="510CE9BD" w14:textId="77777777" w:rsidR="00EC5B3A" w:rsidRPr="00EC5B3A" w:rsidRDefault="00EC5B3A" w:rsidP="00EC5B3A">
      <w:r w:rsidRPr="00EC5B3A">
        <w:t>Electronics leads revenue, while Home &amp; Furniture leads total profit</w:t>
      </w:r>
    </w:p>
    <w:p w14:paraId="6E26BF7F" w14:textId="085F530C" w:rsidR="00EC5B3A" w:rsidRDefault="00EC5B3A" w:rsidP="000B2CA0">
      <w:r>
        <w:rPr>
          <w:noProof/>
        </w:rPr>
        <w:drawing>
          <wp:inline distT="0" distB="0" distL="0" distR="0" wp14:anchorId="585B6AB5" wp14:editId="120296C9">
            <wp:extent cx="5181600" cy="3295650"/>
            <wp:effectExtent l="38100" t="38100" r="95250" b="95250"/>
            <wp:docPr id="356239568" name="Chart 1">
              <a:extLst xmlns:a="http://schemas.openxmlformats.org/drawingml/2006/main">
                <a:ext uri="{FF2B5EF4-FFF2-40B4-BE49-F238E27FC236}">
                  <a16:creationId xmlns:a16="http://schemas.microsoft.com/office/drawing/2014/main" id="{66FC207E-BBA6-24C6-9FBE-35D48D7BA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F20C394" w14:textId="77777777" w:rsidR="00922701" w:rsidRPr="0031427D" w:rsidRDefault="00922701" w:rsidP="000B2CA0">
      <w:pPr>
        <w:rPr>
          <w:b/>
          <w:bCs/>
        </w:rPr>
      </w:pPr>
    </w:p>
    <w:p w14:paraId="360095A6" w14:textId="77777777" w:rsidR="0031427D" w:rsidRPr="0031427D" w:rsidRDefault="0031427D" w:rsidP="0031427D">
      <w:pPr>
        <w:rPr>
          <w:b/>
          <w:bCs/>
        </w:rPr>
      </w:pPr>
      <w:r w:rsidRPr="0031427D">
        <w:rPr>
          <w:b/>
          <w:bCs/>
        </w:rPr>
        <w:t>Key insight derived</w:t>
      </w:r>
    </w:p>
    <w:p w14:paraId="4F79CF4E" w14:textId="77777777" w:rsidR="0031427D" w:rsidRPr="0031427D" w:rsidRDefault="0031427D" w:rsidP="0031427D">
      <w:r w:rsidRPr="0031427D">
        <w:t>Electronics is the leading revenue category, but the category with the highest revenue is not necessarily the category with the highest profit.</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2880"/>
        <w:gridCol w:w="1800"/>
      </w:tblGrid>
      <w:tr w:rsidR="0031427D" w:rsidRPr="0031427D" w14:paraId="61D72E9A" w14:textId="77777777" w:rsidTr="00A55075">
        <w:trPr>
          <w:tblCellSpacing w:w="15" w:type="dxa"/>
        </w:trPr>
        <w:tc>
          <w:tcPr>
            <w:tcW w:w="2925" w:type="dxa"/>
            <w:vAlign w:val="center"/>
            <w:hideMark/>
          </w:tcPr>
          <w:p w14:paraId="0F12C08D" w14:textId="77777777" w:rsidR="0031427D" w:rsidRPr="0031427D" w:rsidRDefault="0031427D" w:rsidP="00A55075">
            <w:pPr>
              <w:rPr>
                <w:b/>
                <w:bCs/>
              </w:rPr>
            </w:pPr>
            <w:r w:rsidRPr="0031427D">
              <w:rPr>
                <w:b/>
                <w:bCs/>
              </w:rPr>
              <w:lastRenderedPageBreak/>
              <w:t>Category</w:t>
            </w:r>
          </w:p>
        </w:tc>
        <w:tc>
          <w:tcPr>
            <w:tcW w:w="2850" w:type="dxa"/>
            <w:vAlign w:val="center"/>
            <w:hideMark/>
          </w:tcPr>
          <w:p w14:paraId="5D719333" w14:textId="77777777" w:rsidR="0031427D" w:rsidRPr="0031427D" w:rsidRDefault="0031427D" w:rsidP="00A55075">
            <w:pPr>
              <w:rPr>
                <w:b/>
                <w:bCs/>
              </w:rPr>
            </w:pPr>
            <w:r w:rsidRPr="0031427D">
              <w:rPr>
                <w:b/>
                <w:bCs/>
              </w:rPr>
              <w:t>Revenue</w:t>
            </w:r>
          </w:p>
        </w:tc>
        <w:tc>
          <w:tcPr>
            <w:tcW w:w="1755" w:type="dxa"/>
            <w:vAlign w:val="center"/>
            <w:hideMark/>
          </w:tcPr>
          <w:p w14:paraId="6928EB49" w14:textId="77777777" w:rsidR="0031427D" w:rsidRPr="0031427D" w:rsidRDefault="0031427D" w:rsidP="00A55075">
            <w:pPr>
              <w:rPr>
                <w:b/>
                <w:bCs/>
              </w:rPr>
            </w:pPr>
            <w:r w:rsidRPr="0031427D">
              <w:rPr>
                <w:b/>
                <w:bCs/>
              </w:rPr>
              <w:t>Profit</w:t>
            </w:r>
          </w:p>
        </w:tc>
      </w:tr>
      <w:tr w:rsidR="0031427D" w:rsidRPr="0031427D" w14:paraId="5C1BFAA3" w14:textId="77777777" w:rsidTr="00A55075">
        <w:trPr>
          <w:tblCellSpacing w:w="15" w:type="dxa"/>
        </w:trPr>
        <w:tc>
          <w:tcPr>
            <w:tcW w:w="2925" w:type="dxa"/>
            <w:vAlign w:val="center"/>
            <w:hideMark/>
          </w:tcPr>
          <w:p w14:paraId="1723B70B" w14:textId="77777777" w:rsidR="0031427D" w:rsidRPr="0031427D" w:rsidRDefault="0031427D" w:rsidP="00A55075">
            <w:r w:rsidRPr="0031427D">
              <w:t>Electronics</w:t>
            </w:r>
          </w:p>
        </w:tc>
        <w:tc>
          <w:tcPr>
            <w:tcW w:w="2850" w:type="dxa"/>
            <w:vAlign w:val="center"/>
            <w:hideMark/>
          </w:tcPr>
          <w:p w14:paraId="5031E674" w14:textId="77777777" w:rsidR="0031427D" w:rsidRPr="0031427D" w:rsidRDefault="0031427D" w:rsidP="00A55075">
            <w:r w:rsidRPr="0031427D">
              <w:t>$57,485,698.06</w:t>
            </w:r>
          </w:p>
        </w:tc>
        <w:tc>
          <w:tcPr>
            <w:tcW w:w="1755" w:type="dxa"/>
            <w:vAlign w:val="center"/>
            <w:hideMark/>
          </w:tcPr>
          <w:p w14:paraId="2562D898" w14:textId="77777777" w:rsidR="0031427D" w:rsidRPr="0031427D" w:rsidRDefault="0031427D" w:rsidP="00A55075">
            <w:r w:rsidRPr="0031427D">
              <w:t>$8,065,113.92</w:t>
            </w:r>
          </w:p>
        </w:tc>
      </w:tr>
      <w:tr w:rsidR="0031427D" w:rsidRPr="0031427D" w14:paraId="2FA43D48" w14:textId="77777777" w:rsidTr="00A55075">
        <w:trPr>
          <w:tblCellSpacing w:w="15" w:type="dxa"/>
        </w:trPr>
        <w:tc>
          <w:tcPr>
            <w:tcW w:w="2925" w:type="dxa"/>
            <w:vAlign w:val="center"/>
            <w:hideMark/>
          </w:tcPr>
          <w:p w14:paraId="386B1AA1" w14:textId="77777777" w:rsidR="0031427D" w:rsidRPr="0031427D" w:rsidRDefault="0031427D" w:rsidP="00A55075">
            <w:r w:rsidRPr="0031427D">
              <w:t>Home &amp; Furniture</w:t>
            </w:r>
          </w:p>
        </w:tc>
        <w:tc>
          <w:tcPr>
            <w:tcW w:w="2850" w:type="dxa"/>
            <w:vAlign w:val="center"/>
            <w:hideMark/>
          </w:tcPr>
          <w:p w14:paraId="7FE95D0A" w14:textId="77777777" w:rsidR="0031427D" w:rsidRPr="0031427D" w:rsidRDefault="0031427D" w:rsidP="00A55075">
            <w:r w:rsidRPr="0031427D">
              <w:t>$47,674,426.96</w:t>
            </w:r>
          </w:p>
        </w:tc>
        <w:tc>
          <w:tcPr>
            <w:tcW w:w="1755" w:type="dxa"/>
            <w:vAlign w:val="center"/>
            <w:hideMark/>
          </w:tcPr>
          <w:p w14:paraId="36A33E92" w14:textId="77777777" w:rsidR="0031427D" w:rsidRPr="0031427D" w:rsidRDefault="0031427D" w:rsidP="00A55075">
            <w:r w:rsidRPr="0031427D">
              <w:t>$11,218,596.44</w:t>
            </w:r>
          </w:p>
        </w:tc>
      </w:tr>
      <w:tr w:rsidR="0031427D" w:rsidRPr="0031427D" w14:paraId="01FF6BAE" w14:textId="77777777" w:rsidTr="00A55075">
        <w:trPr>
          <w:tblCellSpacing w:w="15" w:type="dxa"/>
        </w:trPr>
        <w:tc>
          <w:tcPr>
            <w:tcW w:w="2925" w:type="dxa"/>
            <w:vAlign w:val="center"/>
            <w:hideMark/>
          </w:tcPr>
          <w:p w14:paraId="4ACFCF9E" w14:textId="77777777" w:rsidR="0031427D" w:rsidRPr="0031427D" w:rsidRDefault="0031427D" w:rsidP="00A55075">
            <w:r w:rsidRPr="0031427D">
              <w:t>Clothing &amp; Apparel</w:t>
            </w:r>
          </w:p>
        </w:tc>
        <w:tc>
          <w:tcPr>
            <w:tcW w:w="2850" w:type="dxa"/>
            <w:vAlign w:val="center"/>
            <w:hideMark/>
          </w:tcPr>
          <w:p w14:paraId="215CBFC9" w14:textId="77777777" w:rsidR="0031427D" w:rsidRPr="0031427D" w:rsidRDefault="0031427D" w:rsidP="00A55075">
            <w:r w:rsidRPr="0031427D">
              <w:t>$27,134,365.30</w:t>
            </w:r>
          </w:p>
        </w:tc>
        <w:tc>
          <w:tcPr>
            <w:tcW w:w="1755" w:type="dxa"/>
            <w:vAlign w:val="center"/>
            <w:hideMark/>
          </w:tcPr>
          <w:p w14:paraId="7E363E42" w14:textId="77777777" w:rsidR="0031427D" w:rsidRPr="0031427D" w:rsidRDefault="0031427D" w:rsidP="00A55075">
            <w:r w:rsidRPr="0031427D">
              <w:t>$8,826,851.49</w:t>
            </w:r>
          </w:p>
        </w:tc>
      </w:tr>
      <w:tr w:rsidR="0031427D" w:rsidRPr="0031427D" w14:paraId="3DA21C22" w14:textId="77777777" w:rsidTr="00A55075">
        <w:trPr>
          <w:tblCellSpacing w:w="15" w:type="dxa"/>
        </w:trPr>
        <w:tc>
          <w:tcPr>
            <w:tcW w:w="2925" w:type="dxa"/>
            <w:vAlign w:val="center"/>
            <w:hideMark/>
          </w:tcPr>
          <w:p w14:paraId="3ED2B5DF" w14:textId="77777777" w:rsidR="0031427D" w:rsidRPr="0031427D" w:rsidRDefault="0031427D" w:rsidP="00A55075">
            <w:r w:rsidRPr="0031427D">
              <w:t>Accessories</w:t>
            </w:r>
          </w:p>
        </w:tc>
        <w:tc>
          <w:tcPr>
            <w:tcW w:w="2850" w:type="dxa"/>
            <w:vAlign w:val="center"/>
            <w:hideMark/>
          </w:tcPr>
          <w:p w14:paraId="349806AE" w14:textId="77777777" w:rsidR="0031427D" w:rsidRPr="0031427D" w:rsidRDefault="0031427D" w:rsidP="00A55075">
            <w:r w:rsidRPr="0031427D">
              <w:t>$10,113,254.61</w:t>
            </w:r>
          </w:p>
        </w:tc>
        <w:tc>
          <w:tcPr>
            <w:tcW w:w="1755" w:type="dxa"/>
            <w:vAlign w:val="center"/>
            <w:hideMark/>
          </w:tcPr>
          <w:p w14:paraId="47450373" w14:textId="77777777" w:rsidR="0031427D" w:rsidRPr="0031427D" w:rsidRDefault="0031427D" w:rsidP="00A55075">
            <w:r w:rsidRPr="0031427D">
              <w:t>$3,438,046.28</w:t>
            </w:r>
          </w:p>
        </w:tc>
      </w:tr>
    </w:tbl>
    <w:p w14:paraId="0F1E1786" w14:textId="22D621FF" w:rsidR="0031427D" w:rsidRPr="00A55075" w:rsidRDefault="00A55075" w:rsidP="0031427D">
      <w:pPr>
        <w:rPr>
          <w:b/>
          <w:bCs/>
        </w:rPr>
      </w:pPr>
      <w:r>
        <w:br w:type="textWrapping" w:clear="all"/>
      </w:r>
      <w:r w:rsidR="0031427D" w:rsidRPr="00A55075">
        <w:rPr>
          <w:b/>
          <w:bCs/>
        </w:rPr>
        <w:t>Observed insight</w:t>
      </w:r>
    </w:p>
    <w:p w14:paraId="10793AFC" w14:textId="77777777" w:rsidR="0031427D" w:rsidRPr="0031427D" w:rsidRDefault="0031427D" w:rsidP="0031427D">
      <w:pPr>
        <w:numPr>
          <w:ilvl w:val="0"/>
          <w:numId w:val="5"/>
        </w:numPr>
      </w:pPr>
      <w:r w:rsidRPr="0031427D">
        <w:t>Electronics contributed approximately 40.4% of total revenue.</w:t>
      </w:r>
    </w:p>
    <w:p w14:paraId="15D89E15" w14:textId="77777777" w:rsidR="0031427D" w:rsidRPr="0031427D" w:rsidRDefault="0031427D" w:rsidP="0031427D">
      <w:pPr>
        <w:numPr>
          <w:ilvl w:val="0"/>
          <w:numId w:val="5"/>
        </w:numPr>
      </w:pPr>
      <w:r w:rsidRPr="0031427D">
        <w:t>Home &amp; Furniture contributed approximately 33.5% of revenue.</w:t>
      </w:r>
    </w:p>
    <w:p w14:paraId="32353883" w14:textId="77777777" w:rsidR="0031427D" w:rsidRPr="0031427D" w:rsidRDefault="0031427D" w:rsidP="0031427D">
      <w:pPr>
        <w:numPr>
          <w:ilvl w:val="0"/>
          <w:numId w:val="5"/>
        </w:numPr>
      </w:pPr>
      <w:r w:rsidRPr="0031427D">
        <w:t>Home &amp; Furniture generated the highest total profit, at approximately $11.22 million.</w:t>
      </w:r>
    </w:p>
    <w:p w14:paraId="3EC5CBDD" w14:textId="77777777" w:rsidR="0031427D" w:rsidRPr="0031427D" w:rsidRDefault="0031427D" w:rsidP="0031427D">
      <w:pPr>
        <w:numPr>
          <w:ilvl w:val="0"/>
          <w:numId w:val="5"/>
        </w:numPr>
      </w:pPr>
      <w:r w:rsidRPr="0031427D">
        <w:t>Accessories had the lowest revenue, at approximately $10.11 million.</w:t>
      </w:r>
    </w:p>
    <w:p w14:paraId="452AA1B2" w14:textId="77777777" w:rsidR="0031427D" w:rsidRPr="00A55075" w:rsidRDefault="0031427D" w:rsidP="0031427D">
      <w:pPr>
        <w:rPr>
          <w:b/>
          <w:bCs/>
        </w:rPr>
      </w:pPr>
      <w:r w:rsidRPr="00A55075">
        <w:rPr>
          <w:b/>
          <w:bCs/>
        </w:rPr>
        <w:t>Analytical interpretation</w:t>
      </w:r>
    </w:p>
    <w:p w14:paraId="0F89FD4A" w14:textId="77777777" w:rsidR="0031427D" w:rsidRPr="0031427D" w:rsidRDefault="0031427D" w:rsidP="0031427D">
      <w:r w:rsidRPr="0031427D">
        <w:t>Electronics is the largest revenue driver, while Home &amp; Furniture is the strongest category by total profit. This distinction matters because a revenue-focused strategy could overlook the importance of product margins and cost structures.</w:t>
      </w:r>
    </w:p>
    <w:p w14:paraId="3BC6A845" w14:textId="77777777" w:rsidR="0031427D" w:rsidRPr="00A55075" w:rsidRDefault="0031427D" w:rsidP="0031427D">
      <w:pPr>
        <w:rPr>
          <w:b/>
          <w:bCs/>
        </w:rPr>
      </w:pPr>
      <w:r w:rsidRPr="00A55075">
        <w:rPr>
          <w:b/>
          <w:bCs/>
        </w:rPr>
        <w:t>Actionable recommendation</w:t>
      </w:r>
    </w:p>
    <w:p w14:paraId="4F32353C" w14:textId="77777777" w:rsidR="0031427D" w:rsidRDefault="0031427D" w:rsidP="0031427D">
      <w:r w:rsidRPr="0031427D">
        <w:t>Maintain appropriate stock levels for high-demand electronics while examining procurement costs, pricing, and product-level margins. Investigate the factors behind Home &amp; Furniture's profit contribution and determine whether its successful practices can be applied to other categories. Evaluate Accessories for cross-selling, bundling, and targeted promotions rather than automatically increasing inventory.</w:t>
      </w:r>
    </w:p>
    <w:p w14:paraId="3059C7DF" w14:textId="77777777" w:rsidR="0068506C" w:rsidRDefault="0068506C" w:rsidP="0031427D"/>
    <w:p w14:paraId="0EDD3194" w14:textId="77777777" w:rsidR="00F00E94" w:rsidRPr="00F00E94" w:rsidRDefault="00F00E94" w:rsidP="00F00E94">
      <w:pPr>
        <w:rPr>
          <w:b/>
          <w:bCs/>
        </w:rPr>
      </w:pPr>
      <w:r w:rsidRPr="00F00E94">
        <w:rPr>
          <w:b/>
          <w:bCs/>
        </w:rPr>
        <w:t>Observation 3: Regional sales performance</w:t>
      </w:r>
    </w:p>
    <w:p w14:paraId="56C3B210" w14:textId="77777777" w:rsidR="00F00E94" w:rsidRPr="00F00E94" w:rsidRDefault="00F00E94" w:rsidP="00F00E94">
      <w:pPr>
        <w:rPr>
          <w:b/>
          <w:bCs/>
        </w:rPr>
      </w:pPr>
      <w:r w:rsidRPr="00F00E94">
        <w:rPr>
          <w:b/>
          <w:bCs/>
        </w:rPr>
        <w:t>Revenue by Region</w:t>
      </w:r>
    </w:p>
    <w:p w14:paraId="2C92EB9A" w14:textId="77777777" w:rsidR="00F00E94" w:rsidRPr="00F00E94" w:rsidRDefault="00F00E94" w:rsidP="00F00E94">
      <w:r w:rsidRPr="00F00E94">
        <w:t>The East leads revenue, while the South has the lowest regional total.</w:t>
      </w:r>
    </w:p>
    <w:p w14:paraId="0C26E1CA" w14:textId="77777777" w:rsidR="0068506C" w:rsidRDefault="0068506C" w:rsidP="0031427D"/>
    <w:p w14:paraId="236B1CD2" w14:textId="3A0BB795" w:rsidR="00F00E94" w:rsidRDefault="00C527D1" w:rsidP="0031427D">
      <w:r>
        <w:rPr>
          <w:noProof/>
        </w:rPr>
        <w:lastRenderedPageBreak/>
        <w:drawing>
          <wp:inline distT="0" distB="0" distL="0" distR="0" wp14:anchorId="6E8E9855" wp14:editId="183C993F">
            <wp:extent cx="5181600" cy="3108960"/>
            <wp:effectExtent l="38100" t="38100" r="95250" b="91440"/>
            <wp:docPr id="1586576052" name="Chart 1">
              <a:extLst xmlns:a="http://schemas.openxmlformats.org/drawingml/2006/main">
                <a:ext uri="{FF2B5EF4-FFF2-40B4-BE49-F238E27FC236}">
                  <a16:creationId xmlns:a16="http://schemas.microsoft.com/office/drawing/2014/main" id="{2CEE9B40-AF51-4D3E-B8A9-0660B42605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0D287C8" w14:textId="77777777" w:rsidR="00710A3F" w:rsidRPr="00722705" w:rsidRDefault="00710A3F" w:rsidP="0031427D">
      <w:pPr>
        <w:rPr>
          <w:b/>
          <w:bCs/>
        </w:rPr>
      </w:pPr>
    </w:p>
    <w:p w14:paraId="6D343528" w14:textId="77777777" w:rsidR="00722705" w:rsidRPr="00722705" w:rsidRDefault="00722705" w:rsidP="00722705">
      <w:pPr>
        <w:rPr>
          <w:b/>
          <w:bCs/>
        </w:rPr>
      </w:pPr>
      <w:r w:rsidRPr="00722705">
        <w:rPr>
          <w:b/>
          <w:bCs/>
        </w:rPr>
        <w:t>Key insight derived</w:t>
      </w:r>
    </w:p>
    <w:p w14:paraId="06E82656" w14:textId="77777777" w:rsidR="00722705" w:rsidRPr="00722705" w:rsidRDefault="00722705" w:rsidP="00722705">
      <w:r w:rsidRPr="00722705">
        <w:t>Revenue is unevenly distributed across the four regions, creating opportunities for differentiated regional strategies.</w:t>
      </w:r>
    </w:p>
    <w:p w14:paraId="13136CD0" w14:textId="77777777" w:rsidR="00722705" w:rsidRPr="00722705" w:rsidRDefault="00722705" w:rsidP="00722705">
      <w:pPr>
        <w:rPr>
          <w:b/>
          <w:bCs/>
        </w:rPr>
      </w:pPr>
      <w:r w:rsidRPr="00722705">
        <w:rPr>
          <w:b/>
          <w:bCs/>
        </w:rPr>
        <w:t>Observed insight</w:t>
      </w:r>
    </w:p>
    <w:p w14:paraId="6B422A8C" w14:textId="77777777" w:rsidR="00722705" w:rsidRPr="00722705" w:rsidRDefault="00722705" w:rsidP="00722705">
      <w:pPr>
        <w:numPr>
          <w:ilvl w:val="0"/>
          <w:numId w:val="6"/>
        </w:numPr>
      </w:pPr>
      <w:r w:rsidRPr="00722705">
        <w:t>East: $44,980,048.22 — highest revenue.</w:t>
      </w:r>
    </w:p>
    <w:p w14:paraId="64672588" w14:textId="77777777" w:rsidR="00722705" w:rsidRPr="00722705" w:rsidRDefault="00722705" w:rsidP="00722705">
      <w:pPr>
        <w:numPr>
          <w:ilvl w:val="0"/>
          <w:numId w:val="6"/>
        </w:numPr>
      </w:pPr>
      <w:r w:rsidRPr="00722705">
        <w:t>West: $36,242,841.73.</w:t>
      </w:r>
    </w:p>
    <w:p w14:paraId="6417C92A" w14:textId="77777777" w:rsidR="00722705" w:rsidRPr="00722705" w:rsidRDefault="00722705" w:rsidP="00722705">
      <w:pPr>
        <w:numPr>
          <w:ilvl w:val="0"/>
          <w:numId w:val="6"/>
        </w:numPr>
      </w:pPr>
      <w:r w:rsidRPr="00722705">
        <w:t>Centre: $36,081,894.34.</w:t>
      </w:r>
    </w:p>
    <w:p w14:paraId="7F8D4CA3" w14:textId="77777777" w:rsidR="00722705" w:rsidRPr="00722705" w:rsidRDefault="00722705" w:rsidP="00722705">
      <w:pPr>
        <w:numPr>
          <w:ilvl w:val="0"/>
          <w:numId w:val="6"/>
        </w:numPr>
      </w:pPr>
      <w:r w:rsidRPr="00722705">
        <w:t>South: $25,102,960.64 — lowest revenue.</w:t>
      </w:r>
    </w:p>
    <w:p w14:paraId="6AC1F722" w14:textId="77777777" w:rsidR="00722705" w:rsidRPr="00722705" w:rsidRDefault="00722705" w:rsidP="00722705">
      <w:r w:rsidRPr="00722705">
        <w:t>The East generated approximately 31.6% of total revenue, while the South contributed approximately 17.6%.</w:t>
      </w:r>
    </w:p>
    <w:p w14:paraId="2E32BF2D" w14:textId="77777777" w:rsidR="00722705" w:rsidRPr="00722705" w:rsidRDefault="00722705" w:rsidP="00722705">
      <w:pPr>
        <w:rPr>
          <w:b/>
          <w:bCs/>
        </w:rPr>
      </w:pPr>
      <w:r w:rsidRPr="00722705">
        <w:rPr>
          <w:b/>
          <w:bCs/>
        </w:rPr>
        <w:t>Analytical interpretation</w:t>
      </w:r>
    </w:p>
    <w:p w14:paraId="6BDCE36F" w14:textId="77777777" w:rsidR="00722705" w:rsidRPr="00722705" w:rsidRDefault="00722705" w:rsidP="00722705">
      <w:r w:rsidRPr="00722705">
        <w:t>The East is the strongest revenue-generating region. The South's lower revenue may indicate differences in demand, customer reach, product availability, market size, or purchasing power. Revenue totals alone cannot establish which factor explains the gap.</w:t>
      </w:r>
    </w:p>
    <w:p w14:paraId="140DFB1C" w14:textId="77777777" w:rsidR="00722705" w:rsidRPr="00722705" w:rsidRDefault="00722705" w:rsidP="00722705">
      <w:pPr>
        <w:rPr>
          <w:b/>
          <w:bCs/>
        </w:rPr>
      </w:pPr>
      <w:r w:rsidRPr="00722705">
        <w:rPr>
          <w:b/>
          <w:bCs/>
        </w:rPr>
        <w:t>Actionable recommendation</w:t>
      </w:r>
    </w:p>
    <w:p w14:paraId="7767164B" w14:textId="77777777" w:rsidR="00722705" w:rsidRDefault="00722705" w:rsidP="00722705">
      <w:r w:rsidRPr="00722705">
        <w:lastRenderedPageBreak/>
        <w:t>Protect the East's performance through effective stock planning and customer retention. Investigate the South's sales volume, product mix, number of active customers, and distribution coverage before deciding whether to expand marketing or adjust inventory.</w:t>
      </w:r>
    </w:p>
    <w:p w14:paraId="2EE848C8" w14:textId="77777777" w:rsidR="00D903C7" w:rsidRDefault="00D903C7" w:rsidP="00722705"/>
    <w:p w14:paraId="7BD141BA" w14:textId="77777777" w:rsidR="00D903C7" w:rsidRPr="00D903C7" w:rsidRDefault="00D903C7" w:rsidP="00D903C7">
      <w:pPr>
        <w:rPr>
          <w:b/>
          <w:bCs/>
        </w:rPr>
      </w:pPr>
      <w:r w:rsidRPr="00D903C7">
        <w:rPr>
          <w:b/>
          <w:bCs/>
        </w:rPr>
        <w:t>Observation 4: State performance</w:t>
      </w:r>
    </w:p>
    <w:p w14:paraId="25D37249" w14:textId="77777777" w:rsidR="00D903C7" w:rsidRDefault="00D903C7" w:rsidP="00D903C7">
      <w:r w:rsidRPr="00D903C7">
        <w:t>The state-level analysis indicates that California generated approximately $6.77 million in revenue, making it the leading state in the workbook's summary.</w:t>
      </w:r>
    </w:p>
    <w:p w14:paraId="3BD41BC8" w14:textId="77777777" w:rsidR="00D903C7" w:rsidRPr="00350263" w:rsidRDefault="00D903C7" w:rsidP="00D903C7">
      <w:pPr>
        <w:rPr>
          <w:b/>
          <w:bCs/>
        </w:rPr>
      </w:pPr>
      <w:r w:rsidRPr="00350263">
        <w:rPr>
          <w:b/>
          <w:bCs/>
        </w:rPr>
        <w:t>Key insight derived</w:t>
      </w:r>
    </w:p>
    <w:p w14:paraId="533AA983" w14:textId="77777777" w:rsidR="00D903C7" w:rsidRPr="00D903C7" w:rsidRDefault="00D903C7" w:rsidP="00D903C7">
      <w:r w:rsidRPr="00D903C7">
        <w:t>State-level analysis can reveal local markets that may be hidden within regional totals.</w:t>
      </w:r>
    </w:p>
    <w:p w14:paraId="0C85E8F9" w14:textId="77777777" w:rsidR="00D903C7" w:rsidRPr="00350263" w:rsidRDefault="00D903C7" w:rsidP="00D903C7">
      <w:pPr>
        <w:rPr>
          <w:b/>
          <w:bCs/>
        </w:rPr>
      </w:pPr>
      <w:r w:rsidRPr="00350263">
        <w:rPr>
          <w:b/>
          <w:bCs/>
        </w:rPr>
        <w:t>Observed insight</w:t>
      </w:r>
    </w:p>
    <w:p w14:paraId="08475EE5" w14:textId="77777777" w:rsidR="00D903C7" w:rsidRPr="00D903C7" w:rsidRDefault="00D903C7" w:rsidP="00D903C7">
      <w:r w:rsidRPr="00D903C7">
        <w:t>California led the state summary, followed by Arizona at approximately $6.67 million. New Jersey and Vermont each generated approximately $4.55 million.</w:t>
      </w:r>
    </w:p>
    <w:p w14:paraId="351020C7" w14:textId="77777777" w:rsidR="00D903C7" w:rsidRPr="00350263" w:rsidRDefault="00D903C7" w:rsidP="00D903C7">
      <w:pPr>
        <w:rPr>
          <w:b/>
          <w:bCs/>
        </w:rPr>
      </w:pPr>
      <w:r w:rsidRPr="00350263">
        <w:rPr>
          <w:b/>
          <w:bCs/>
        </w:rPr>
        <w:t>Analytical interpretation</w:t>
      </w:r>
    </w:p>
    <w:p w14:paraId="46C644DD" w14:textId="77777777" w:rsidR="00D903C7" w:rsidRPr="00D903C7" w:rsidRDefault="00D903C7" w:rsidP="00D903C7">
      <w:r w:rsidRPr="00D903C7">
        <w:t>Strong performance in California and Arizona suggests that these markets deserve closer examination. However, state revenue rankings alone do not indicate which locations are the most profitable or have the greatest potential for growth.</w:t>
      </w:r>
    </w:p>
    <w:p w14:paraId="3F4CB292" w14:textId="77777777" w:rsidR="00D903C7" w:rsidRPr="00350263" w:rsidRDefault="00D903C7" w:rsidP="00D903C7">
      <w:pPr>
        <w:rPr>
          <w:b/>
          <w:bCs/>
        </w:rPr>
      </w:pPr>
      <w:r w:rsidRPr="00350263">
        <w:rPr>
          <w:b/>
          <w:bCs/>
        </w:rPr>
        <w:t>Actionable recommendation</w:t>
      </w:r>
    </w:p>
    <w:p w14:paraId="7C6B4E2C" w14:textId="77777777" w:rsidR="00D903C7" w:rsidRDefault="00D903C7" w:rsidP="00D903C7">
      <w:r w:rsidRPr="00D903C7">
        <w:t>Compare state-level profit, revenue per order, units sold, and customer counts. Use these measures to identify whether high revenue reflects stronger demand, higher-value products, or a larger customer base.</w:t>
      </w:r>
    </w:p>
    <w:p w14:paraId="1AC506B9" w14:textId="77777777" w:rsidR="00350263" w:rsidRDefault="00350263" w:rsidP="00D903C7"/>
    <w:p w14:paraId="136F98EF" w14:textId="77777777" w:rsidR="003D4849" w:rsidRPr="003D4849" w:rsidRDefault="003D4849" w:rsidP="003D4849">
      <w:pPr>
        <w:rPr>
          <w:b/>
          <w:bCs/>
        </w:rPr>
      </w:pPr>
      <w:r w:rsidRPr="003D4849">
        <w:rPr>
          <w:b/>
          <w:bCs/>
        </w:rPr>
        <w:t>Observation 5: Top-performing products</w:t>
      </w:r>
    </w:p>
    <w:p w14:paraId="3B4AB46F" w14:textId="77777777" w:rsidR="003D4849" w:rsidRPr="003D4849" w:rsidRDefault="003D4849" w:rsidP="003D4849">
      <w:r w:rsidRPr="003D4849">
        <w:t>The workbook's product summary identifies Tempur-Pedic Mattress as the highest-revenue product, generating approximately $9.06 million.</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880"/>
        <w:gridCol w:w="1710"/>
      </w:tblGrid>
      <w:tr w:rsidR="003D4849" w:rsidRPr="003D4849" w14:paraId="56E92BD0" w14:textId="77777777" w:rsidTr="003D4849">
        <w:trPr>
          <w:tblCellSpacing w:w="15" w:type="dxa"/>
        </w:trPr>
        <w:tc>
          <w:tcPr>
            <w:tcW w:w="2835" w:type="dxa"/>
            <w:vAlign w:val="center"/>
            <w:hideMark/>
          </w:tcPr>
          <w:p w14:paraId="3BF8D539" w14:textId="77777777" w:rsidR="003D4849" w:rsidRPr="003D4849" w:rsidRDefault="003D4849" w:rsidP="003D4849">
            <w:pPr>
              <w:rPr>
                <w:b/>
                <w:bCs/>
              </w:rPr>
            </w:pPr>
            <w:r w:rsidRPr="003D4849">
              <w:rPr>
                <w:b/>
                <w:bCs/>
              </w:rPr>
              <w:t>Product</w:t>
            </w:r>
          </w:p>
        </w:tc>
        <w:tc>
          <w:tcPr>
            <w:tcW w:w="1665" w:type="dxa"/>
            <w:vAlign w:val="center"/>
            <w:hideMark/>
          </w:tcPr>
          <w:p w14:paraId="5418CFCF" w14:textId="77777777" w:rsidR="003D4849" w:rsidRPr="003D4849" w:rsidRDefault="003D4849" w:rsidP="003D4849">
            <w:pPr>
              <w:rPr>
                <w:b/>
                <w:bCs/>
              </w:rPr>
            </w:pPr>
            <w:r w:rsidRPr="003D4849">
              <w:rPr>
                <w:b/>
                <w:bCs/>
              </w:rPr>
              <w:t>Revenue</w:t>
            </w:r>
          </w:p>
        </w:tc>
      </w:tr>
      <w:tr w:rsidR="003D4849" w:rsidRPr="003D4849" w14:paraId="639C2B8C" w14:textId="77777777" w:rsidTr="003D4849">
        <w:trPr>
          <w:tblCellSpacing w:w="15" w:type="dxa"/>
        </w:trPr>
        <w:tc>
          <w:tcPr>
            <w:tcW w:w="2835" w:type="dxa"/>
            <w:vAlign w:val="center"/>
            <w:hideMark/>
          </w:tcPr>
          <w:p w14:paraId="4A42AED1" w14:textId="77777777" w:rsidR="003D4849" w:rsidRPr="003D4849" w:rsidRDefault="003D4849" w:rsidP="003D4849">
            <w:r w:rsidRPr="003D4849">
              <w:t>Tempur-Pedic Mattress</w:t>
            </w:r>
          </w:p>
        </w:tc>
        <w:tc>
          <w:tcPr>
            <w:tcW w:w="1665" w:type="dxa"/>
            <w:vAlign w:val="center"/>
            <w:hideMark/>
          </w:tcPr>
          <w:p w14:paraId="7B39631C" w14:textId="77777777" w:rsidR="003D4849" w:rsidRPr="003D4849" w:rsidRDefault="003D4849" w:rsidP="003D4849">
            <w:r w:rsidRPr="003D4849">
              <w:t>$9,061,755.86</w:t>
            </w:r>
          </w:p>
        </w:tc>
      </w:tr>
      <w:tr w:rsidR="003D4849" w:rsidRPr="003D4849" w14:paraId="42522081" w14:textId="77777777" w:rsidTr="003D4849">
        <w:trPr>
          <w:tblCellSpacing w:w="15" w:type="dxa"/>
        </w:trPr>
        <w:tc>
          <w:tcPr>
            <w:tcW w:w="2835" w:type="dxa"/>
            <w:vAlign w:val="center"/>
            <w:hideMark/>
          </w:tcPr>
          <w:p w14:paraId="793F75CB" w14:textId="77777777" w:rsidR="003D4849" w:rsidRPr="003D4849" w:rsidRDefault="003D4849" w:rsidP="003D4849">
            <w:r w:rsidRPr="003D4849">
              <w:t>Instant Pot</w:t>
            </w:r>
          </w:p>
        </w:tc>
        <w:tc>
          <w:tcPr>
            <w:tcW w:w="1665" w:type="dxa"/>
            <w:vAlign w:val="center"/>
            <w:hideMark/>
          </w:tcPr>
          <w:p w14:paraId="1296E815" w14:textId="77777777" w:rsidR="003D4849" w:rsidRPr="003D4849" w:rsidRDefault="003D4849" w:rsidP="003D4849">
            <w:r w:rsidRPr="003D4849">
              <w:t>$8,903,475.26</w:t>
            </w:r>
          </w:p>
        </w:tc>
      </w:tr>
      <w:tr w:rsidR="003D4849" w:rsidRPr="003D4849" w14:paraId="3E837781" w14:textId="77777777" w:rsidTr="003D4849">
        <w:trPr>
          <w:tblCellSpacing w:w="15" w:type="dxa"/>
        </w:trPr>
        <w:tc>
          <w:tcPr>
            <w:tcW w:w="2835" w:type="dxa"/>
            <w:vAlign w:val="center"/>
            <w:hideMark/>
          </w:tcPr>
          <w:p w14:paraId="63B5DB83" w14:textId="77777777" w:rsidR="003D4849" w:rsidRPr="003D4849" w:rsidRDefault="003D4849" w:rsidP="003D4849">
            <w:r w:rsidRPr="003D4849">
              <w:t>MacBook Air</w:t>
            </w:r>
          </w:p>
        </w:tc>
        <w:tc>
          <w:tcPr>
            <w:tcW w:w="1665" w:type="dxa"/>
            <w:vAlign w:val="center"/>
            <w:hideMark/>
          </w:tcPr>
          <w:p w14:paraId="52B32AF2" w14:textId="77777777" w:rsidR="003D4849" w:rsidRPr="003D4849" w:rsidRDefault="003D4849" w:rsidP="003D4849">
            <w:r w:rsidRPr="003D4849">
              <w:t>$7,362,516.81</w:t>
            </w:r>
          </w:p>
        </w:tc>
      </w:tr>
      <w:tr w:rsidR="003D4849" w:rsidRPr="003D4849" w14:paraId="3F1F32A6" w14:textId="77777777" w:rsidTr="003D4849">
        <w:trPr>
          <w:tblCellSpacing w:w="15" w:type="dxa"/>
        </w:trPr>
        <w:tc>
          <w:tcPr>
            <w:tcW w:w="2835" w:type="dxa"/>
            <w:vAlign w:val="center"/>
            <w:hideMark/>
          </w:tcPr>
          <w:p w14:paraId="548C77CA" w14:textId="77777777" w:rsidR="003D4849" w:rsidRPr="003D4849" w:rsidRDefault="003D4849" w:rsidP="003D4849">
            <w:r w:rsidRPr="003D4849">
              <w:lastRenderedPageBreak/>
              <w:t>Apple Watch</w:t>
            </w:r>
          </w:p>
        </w:tc>
        <w:tc>
          <w:tcPr>
            <w:tcW w:w="1665" w:type="dxa"/>
            <w:vAlign w:val="center"/>
            <w:hideMark/>
          </w:tcPr>
          <w:p w14:paraId="2BDC57C0" w14:textId="77777777" w:rsidR="003D4849" w:rsidRPr="003D4849" w:rsidRDefault="003D4849" w:rsidP="003D4849">
            <w:r w:rsidRPr="003D4849">
              <w:t>$6,834,472.35</w:t>
            </w:r>
          </w:p>
        </w:tc>
      </w:tr>
      <w:tr w:rsidR="003D4849" w:rsidRPr="003D4849" w14:paraId="786B230E" w14:textId="77777777" w:rsidTr="003D4849">
        <w:trPr>
          <w:tblCellSpacing w:w="15" w:type="dxa"/>
        </w:trPr>
        <w:tc>
          <w:tcPr>
            <w:tcW w:w="2835" w:type="dxa"/>
            <w:vAlign w:val="center"/>
            <w:hideMark/>
          </w:tcPr>
          <w:p w14:paraId="2AE6D23D" w14:textId="77777777" w:rsidR="003D4849" w:rsidRPr="003D4849" w:rsidRDefault="003D4849" w:rsidP="003D4849">
            <w:r w:rsidRPr="003D4849">
              <w:t>Apple iPhone 14</w:t>
            </w:r>
          </w:p>
        </w:tc>
        <w:tc>
          <w:tcPr>
            <w:tcW w:w="1665" w:type="dxa"/>
            <w:vAlign w:val="center"/>
            <w:hideMark/>
          </w:tcPr>
          <w:p w14:paraId="741C3005" w14:textId="77777777" w:rsidR="003D4849" w:rsidRPr="003D4849" w:rsidRDefault="003D4849" w:rsidP="003D4849">
            <w:r w:rsidRPr="003D4849">
              <w:t>$5,740,819.18</w:t>
            </w:r>
          </w:p>
        </w:tc>
      </w:tr>
    </w:tbl>
    <w:p w14:paraId="412CB803" w14:textId="77777777" w:rsidR="003D4849" w:rsidRPr="003D4849" w:rsidRDefault="003D4849" w:rsidP="003D4849">
      <w:pPr>
        <w:rPr>
          <w:b/>
          <w:bCs/>
        </w:rPr>
      </w:pPr>
      <w:r w:rsidRPr="003D4849">
        <w:rPr>
          <w:b/>
          <w:bCs/>
        </w:rPr>
        <w:t>Key insight derived</w:t>
      </w:r>
    </w:p>
    <w:p w14:paraId="6B9C2287" w14:textId="77777777" w:rsidR="003D4849" w:rsidRPr="003D4849" w:rsidRDefault="003D4849" w:rsidP="003D4849">
      <w:r w:rsidRPr="003D4849">
        <w:t>The highest-revenue products span home goods and electronics, suggesting that the business's revenue base depends on multiple product types rather than a single category.</w:t>
      </w:r>
    </w:p>
    <w:p w14:paraId="5FE59445" w14:textId="77777777" w:rsidR="003D4849" w:rsidRPr="003D4849" w:rsidRDefault="003D4849" w:rsidP="003D4849">
      <w:pPr>
        <w:rPr>
          <w:b/>
          <w:bCs/>
        </w:rPr>
      </w:pPr>
      <w:r w:rsidRPr="003D4849">
        <w:rPr>
          <w:b/>
          <w:bCs/>
        </w:rPr>
        <w:t>Observed insight</w:t>
      </w:r>
    </w:p>
    <w:p w14:paraId="05760565" w14:textId="77777777" w:rsidR="003D4849" w:rsidRPr="003D4849" w:rsidRDefault="003D4849" w:rsidP="003D4849">
      <w:pPr>
        <w:rPr>
          <w:b/>
          <w:bCs/>
        </w:rPr>
      </w:pPr>
      <w:r w:rsidRPr="003D4849">
        <w:t xml:space="preserve">Tempur-Pedic Mattress and Instant Pot are the top two products by revenue in the workbook summary. Their performance should be assessed alongside their respective </w:t>
      </w:r>
      <w:r w:rsidRPr="003D4849">
        <w:rPr>
          <w:b/>
          <w:bCs/>
        </w:rPr>
        <w:t>profits and units sold.</w:t>
      </w:r>
    </w:p>
    <w:p w14:paraId="1BB99D81" w14:textId="77777777" w:rsidR="003D4849" w:rsidRPr="003D4849" w:rsidRDefault="003D4849" w:rsidP="003D4849">
      <w:pPr>
        <w:rPr>
          <w:b/>
          <w:bCs/>
        </w:rPr>
      </w:pPr>
      <w:r w:rsidRPr="003D4849">
        <w:rPr>
          <w:b/>
          <w:bCs/>
        </w:rPr>
        <w:t>Analytical interpretation</w:t>
      </w:r>
    </w:p>
    <w:p w14:paraId="3ADC1EFA" w14:textId="77777777" w:rsidR="003D4849" w:rsidRPr="003D4849" w:rsidRDefault="003D4849" w:rsidP="003D4849">
      <w:r w:rsidRPr="003D4849">
        <w:t>High revenue may result from a higher unit price, a larger number of units sold, or a combination of both. Revenue rankings alone are insufficient to determine which products offer the best margins or the most efficient use of inventory.</w:t>
      </w:r>
    </w:p>
    <w:p w14:paraId="299D30BE" w14:textId="77777777" w:rsidR="003D4849" w:rsidRPr="003D4849" w:rsidRDefault="003D4849" w:rsidP="003D4849">
      <w:pPr>
        <w:rPr>
          <w:b/>
          <w:bCs/>
        </w:rPr>
      </w:pPr>
      <w:r w:rsidRPr="003D4849">
        <w:rPr>
          <w:b/>
          <w:bCs/>
        </w:rPr>
        <w:t>Actionable recommendation</w:t>
      </w:r>
    </w:p>
    <w:p w14:paraId="0E63AD49" w14:textId="5CF95636" w:rsidR="003D4849" w:rsidRDefault="003D4849" w:rsidP="003D4849">
      <w:r w:rsidRPr="003D4849">
        <w:t xml:space="preserve">Create a product performance matrix using revenue, profit, profit margin, and quantity sold. </w:t>
      </w:r>
      <w:r w:rsidRPr="003D4849">
        <w:t>Prioritize</w:t>
      </w:r>
      <w:r w:rsidRPr="003D4849">
        <w:t xml:space="preserve"> products that combine strong demand with attractive profitability, and investigate low-margin products even when their revenue is high.</w:t>
      </w:r>
    </w:p>
    <w:p w14:paraId="4CF03F99" w14:textId="77777777" w:rsidR="003D4849" w:rsidRDefault="003D4849" w:rsidP="003D4849"/>
    <w:p w14:paraId="0C8D467D" w14:textId="77777777" w:rsidR="00641467" w:rsidRPr="00641467" w:rsidRDefault="00641467" w:rsidP="00641467">
      <w:pPr>
        <w:rPr>
          <w:b/>
          <w:bCs/>
        </w:rPr>
      </w:pPr>
      <w:r w:rsidRPr="00641467">
        <w:rPr>
          <w:b/>
          <w:bCs/>
        </w:rPr>
        <w:t>Observation 6: Customer performance and loyalty</w:t>
      </w:r>
    </w:p>
    <w:p w14:paraId="22D5F34B" w14:textId="77777777" w:rsidR="00641467" w:rsidRPr="00641467" w:rsidRDefault="00641467" w:rsidP="00641467">
      <w:pPr>
        <w:rPr>
          <w:b/>
          <w:bCs/>
        </w:rPr>
      </w:pPr>
      <w:r w:rsidRPr="00641467">
        <w:rPr>
          <w:b/>
          <w:bCs/>
        </w:rPr>
        <w:t>Top Five Customers by Revenue</w:t>
      </w:r>
    </w:p>
    <w:p w14:paraId="04E33B79" w14:textId="77777777" w:rsidR="00641467" w:rsidRDefault="00641467" w:rsidP="00641467">
      <w:r w:rsidRPr="00641467">
        <w:t>Michael Smith leads the customer revenue ranking.</w:t>
      </w:r>
    </w:p>
    <w:p w14:paraId="21609313" w14:textId="77777777" w:rsidR="00267D94" w:rsidRDefault="00267D94" w:rsidP="00641467"/>
    <w:p w14:paraId="6D341E49" w14:textId="4ECA1A95" w:rsidR="00267D94" w:rsidRDefault="00267D94" w:rsidP="00641467">
      <w:r>
        <w:rPr>
          <w:noProof/>
        </w:rPr>
        <w:lastRenderedPageBreak/>
        <w:drawing>
          <wp:inline distT="0" distB="0" distL="0" distR="0" wp14:anchorId="3A6AB52C" wp14:editId="2AB53A2B">
            <wp:extent cx="4838700" cy="3548062"/>
            <wp:effectExtent l="38100" t="38100" r="95250" b="90805"/>
            <wp:docPr id="1154681499" name="Chart 1">
              <a:extLst xmlns:a="http://schemas.openxmlformats.org/drawingml/2006/main">
                <a:ext uri="{FF2B5EF4-FFF2-40B4-BE49-F238E27FC236}">
                  <a16:creationId xmlns:a16="http://schemas.microsoft.com/office/drawing/2014/main" id="{36756ADD-EB77-DA47-9DC6-1A3BEA5F75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6F5EEDC" w14:textId="77777777" w:rsidR="00267D94" w:rsidRDefault="00267D94" w:rsidP="00641467"/>
    <w:p w14:paraId="63FDA0B2" w14:textId="77777777" w:rsidR="00F20857" w:rsidRPr="00F20857" w:rsidRDefault="00F20857" w:rsidP="00F20857">
      <w:pPr>
        <w:rPr>
          <w:b/>
          <w:bCs/>
        </w:rPr>
      </w:pPr>
      <w:r w:rsidRPr="00F20857">
        <w:rPr>
          <w:b/>
          <w:bCs/>
        </w:rPr>
        <w:t>Key insight derived</w:t>
      </w:r>
    </w:p>
    <w:p w14:paraId="140AC65A" w14:textId="77777777" w:rsidR="00F20857" w:rsidRPr="00F20857" w:rsidRDefault="00F20857" w:rsidP="00F20857">
      <w:r w:rsidRPr="00F20857">
        <w:t>A small group of identifiable customer names contributes substantial individual revenue, while the full dataset contains a broad customer base.</w:t>
      </w:r>
    </w:p>
    <w:p w14:paraId="7C681D91" w14:textId="77777777" w:rsidR="00F20857" w:rsidRPr="00F20857" w:rsidRDefault="00F20857" w:rsidP="00F20857">
      <w:r w:rsidRPr="00F20857">
        <w:t>Observed insight</w:t>
      </w:r>
    </w:p>
    <w:p w14:paraId="414350B1" w14:textId="77777777" w:rsidR="00F20857" w:rsidRPr="00F20857" w:rsidRDefault="00F20857" w:rsidP="00F20857">
      <w:pPr>
        <w:numPr>
          <w:ilvl w:val="0"/>
          <w:numId w:val="7"/>
        </w:numPr>
      </w:pPr>
      <w:r w:rsidRPr="00F20857">
        <w:t>Michael Smith led the customer revenue ranking at $76,415.21.</w:t>
      </w:r>
    </w:p>
    <w:p w14:paraId="4E7B6A72" w14:textId="77777777" w:rsidR="00F20857" w:rsidRPr="00F20857" w:rsidRDefault="00F20857" w:rsidP="00F20857">
      <w:pPr>
        <w:numPr>
          <w:ilvl w:val="0"/>
          <w:numId w:val="7"/>
        </w:numPr>
      </w:pPr>
      <w:r w:rsidRPr="00F20857">
        <w:t>The workbook's returning-customer summary lists Michael Smith with 102 order dates.</w:t>
      </w:r>
    </w:p>
    <w:p w14:paraId="6FAF7093" w14:textId="77777777" w:rsidR="00F20857" w:rsidRPr="00F20857" w:rsidRDefault="00F20857" w:rsidP="00F20857">
      <w:pPr>
        <w:numPr>
          <w:ilvl w:val="0"/>
          <w:numId w:val="7"/>
        </w:numPr>
      </w:pPr>
      <w:r w:rsidRPr="00F20857">
        <w:t>Michael Johnson and Michael Williams also appear prominently in both customer revenue and order-frequency summaries.</w:t>
      </w:r>
    </w:p>
    <w:p w14:paraId="387EBD73" w14:textId="77777777" w:rsidR="00F20857" w:rsidRPr="00F20857" w:rsidRDefault="00F20857" w:rsidP="00F20857">
      <w:pPr>
        <w:rPr>
          <w:b/>
          <w:bCs/>
        </w:rPr>
      </w:pPr>
      <w:r w:rsidRPr="00F20857">
        <w:rPr>
          <w:b/>
          <w:bCs/>
        </w:rPr>
        <w:t>Analytical interpretation</w:t>
      </w:r>
    </w:p>
    <w:p w14:paraId="7136BCF7" w14:textId="77777777" w:rsidR="00F20857" w:rsidRPr="00F20857" w:rsidRDefault="00F20857" w:rsidP="00F20857">
      <w:r w:rsidRPr="00F20857">
        <w:t>These customers may represent opportunities for retention and relationship-building. However, the 120,230 distinct customer names do not necessarily represent 120,230 verified individuals: customer names are not unique identifiers, and different people can share the same name.</w:t>
      </w:r>
    </w:p>
    <w:p w14:paraId="5BFC47EA" w14:textId="77777777" w:rsidR="00F20857" w:rsidRPr="00F20857" w:rsidRDefault="00F20857" w:rsidP="00F20857">
      <w:r w:rsidRPr="00F20857">
        <w:lastRenderedPageBreak/>
        <w:t>Similarly, repeat purchasing should be measured using a reliable customer identifier and distinct orders rather than assuming that repeated names always represent the same person.</w:t>
      </w:r>
    </w:p>
    <w:p w14:paraId="785FC355" w14:textId="77777777" w:rsidR="00F20857" w:rsidRPr="00F20857" w:rsidRDefault="00F20857" w:rsidP="00F20857">
      <w:pPr>
        <w:rPr>
          <w:b/>
          <w:bCs/>
        </w:rPr>
      </w:pPr>
      <w:r w:rsidRPr="00F20857">
        <w:rPr>
          <w:b/>
          <w:bCs/>
        </w:rPr>
        <w:t>Actionable recommendation</w:t>
      </w:r>
    </w:p>
    <w:p w14:paraId="0CD5803B" w14:textId="77777777" w:rsidR="00F20857" w:rsidRDefault="00F20857" w:rsidP="00F20857">
      <w:r w:rsidRPr="00F20857">
        <w:t>Where reliable customer IDs are available, segment customers by recency, frequency, and monetary value (RFM). Use the results to design loyalty campaigns, targeted recommendations, and retention strategies while measuring repeat-purchase rate and customer lifetime value.</w:t>
      </w:r>
    </w:p>
    <w:p w14:paraId="23D14FB3" w14:textId="77777777" w:rsidR="00F20857" w:rsidRDefault="00F20857" w:rsidP="00F20857"/>
    <w:p w14:paraId="3BE4CA8D" w14:textId="77777777" w:rsidR="006D29F6" w:rsidRPr="006D29F6" w:rsidRDefault="006D29F6" w:rsidP="006D29F6">
      <w:pPr>
        <w:rPr>
          <w:b/>
          <w:bCs/>
          <w:sz w:val="36"/>
          <w:szCs w:val="36"/>
        </w:rPr>
      </w:pPr>
      <w:r w:rsidRPr="006D29F6">
        <w:rPr>
          <w:b/>
          <w:bCs/>
          <w:sz w:val="36"/>
          <w:szCs w:val="36"/>
        </w:rPr>
        <w:t>In-analysis: connecting the findings</w:t>
      </w:r>
    </w:p>
    <w:p w14:paraId="533B4CF4" w14:textId="44E72CA8" w:rsidR="006D29F6" w:rsidRPr="006D29F6" w:rsidRDefault="006D29F6" w:rsidP="006D29F6">
      <w:r w:rsidRPr="006D29F6">
        <w:t xml:space="preserve">The in-analysis stage brought the individual observations together to understand the relationship between sales, profitability, product demand, geography, and customer </w:t>
      </w:r>
      <w:r w:rsidRPr="006D29F6">
        <w:t>behavior</w:t>
      </w:r>
      <w:r w:rsidRPr="006D29F6">
        <w:t>.</w:t>
      </w:r>
    </w:p>
    <w:p w14:paraId="2503FC4B" w14:textId="77777777" w:rsidR="006D29F6" w:rsidRPr="006D29F6" w:rsidRDefault="006D29F6" w:rsidP="006D29F6">
      <w:pPr>
        <w:rPr>
          <w:b/>
          <w:bCs/>
        </w:rPr>
      </w:pPr>
      <w:r w:rsidRPr="006D29F6">
        <w:rPr>
          <w:b/>
          <w:bCs/>
        </w:rPr>
        <w:t>Overall financial performance</w:t>
      </w:r>
    </w:p>
    <w:p w14:paraId="06233152" w14:textId="0BFA8FFE" w:rsidR="006D29F6" w:rsidRPr="006D29F6" w:rsidRDefault="006D29F6" w:rsidP="006D29F6">
      <w:r w:rsidRPr="006D29F6">
        <w:t>Total revenue</w:t>
      </w:r>
      <w:r>
        <w:t xml:space="preserve"> - </w:t>
      </w:r>
      <w:r w:rsidRPr="006D29F6">
        <w:rPr>
          <w:b/>
          <w:bCs/>
        </w:rPr>
        <w:t>$142.41M</w:t>
      </w:r>
    </w:p>
    <w:p w14:paraId="06A6ABF0" w14:textId="07C2D89C" w:rsidR="006D29F6" w:rsidRPr="006D29F6" w:rsidRDefault="006D29F6" w:rsidP="006D29F6">
      <w:r w:rsidRPr="006D29F6">
        <w:t>Total profit</w:t>
      </w:r>
      <w:r>
        <w:t xml:space="preserve"> - </w:t>
      </w:r>
      <w:r w:rsidRPr="006D29F6">
        <w:rPr>
          <w:b/>
          <w:bCs/>
        </w:rPr>
        <w:t>$31.55M</w:t>
      </w:r>
    </w:p>
    <w:p w14:paraId="6AB780DA" w14:textId="77777777" w:rsidR="00DD2C8D" w:rsidRDefault="00DD2C8D" w:rsidP="006D29F6">
      <w:pPr>
        <w:rPr>
          <w:b/>
          <w:bCs/>
        </w:rPr>
      </w:pPr>
    </w:p>
    <w:p w14:paraId="431EBD9A" w14:textId="4D12F115" w:rsidR="006D29F6" w:rsidRPr="00DD2C8D" w:rsidRDefault="006D29F6" w:rsidP="006D29F6">
      <w:pPr>
        <w:rPr>
          <w:b/>
          <w:bCs/>
        </w:rPr>
      </w:pPr>
      <w:r w:rsidRPr="00DD2C8D">
        <w:rPr>
          <w:b/>
          <w:bCs/>
        </w:rPr>
        <w:t>Profit margin by category</w:t>
      </w:r>
    </w:p>
    <w:p w14:paraId="3170CCF4" w14:textId="4EA8E806" w:rsidR="006D29F6" w:rsidRPr="006D29F6" w:rsidRDefault="006D29F6" w:rsidP="006D29F6">
      <w:r w:rsidRPr="006D29F6">
        <w:t>Home &amp; Furniture</w:t>
      </w:r>
      <w:r w:rsidR="00DD2C8D">
        <w:t xml:space="preserve"> - </w:t>
      </w:r>
      <w:r w:rsidRPr="006D29F6">
        <w:t>23.53%</w:t>
      </w:r>
    </w:p>
    <w:p w14:paraId="1EB2E615" w14:textId="4E4B9372" w:rsidR="006D29F6" w:rsidRPr="006D29F6" w:rsidRDefault="006D29F6" w:rsidP="006D29F6">
      <w:r w:rsidRPr="006D29F6">
        <w:t>Clothing &amp; Apparel</w:t>
      </w:r>
      <w:r w:rsidR="00DD2C8D">
        <w:t xml:space="preserve"> - </w:t>
      </w:r>
      <w:r w:rsidRPr="006D29F6">
        <w:t>32.53%</w:t>
      </w:r>
    </w:p>
    <w:p w14:paraId="12F400FC" w14:textId="384B2DB5" w:rsidR="006D29F6" w:rsidRPr="006D29F6" w:rsidRDefault="006D29F6" w:rsidP="006D29F6">
      <w:r w:rsidRPr="006D29F6">
        <w:t>Accessories</w:t>
      </w:r>
      <w:r w:rsidR="00DD2C8D">
        <w:t xml:space="preserve"> - </w:t>
      </w:r>
      <w:r w:rsidRPr="006D29F6">
        <w:t>34.00%</w:t>
      </w:r>
    </w:p>
    <w:p w14:paraId="7E3C82E2" w14:textId="2AD1CB6F" w:rsidR="006D29F6" w:rsidRPr="006D29F6" w:rsidRDefault="006D29F6" w:rsidP="006D29F6">
      <w:r w:rsidRPr="006D29F6">
        <w:t>Electronics</w:t>
      </w:r>
      <w:r w:rsidR="00DD2C8D">
        <w:t xml:space="preserve"> - </w:t>
      </w:r>
      <w:r w:rsidRPr="006D29F6">
        <w:t>14.03%</w:t>
      </w:r>
    </w:p>
    <w:p w14:paraId="72762424" w14:textId="77777777" w:rsidR="006D29F6" w:rsidRPr="006D29F6" w:rsidRDefault="006D29F6" w:rsidP="006D29F6">
      <w:r w:rsidRPr="006D29F6">
        <w:t>Profit margin calculated as category profit divided by category revenue.</w:t>
      </w:r>
    </w:p>
    <w:p w14:paraId="51ED6F8E" w14:textId="77777777" w:rsidR="000D0C1F" w:rsidRDefault="000D0C1F" w:rsidP="006D29F6"/>
    <w:p w14:paraId="395565A6" w14:textId="4446245A" w:rsidR="006D29F6" w:rsidRPr="006D29F6" w:rsidRDefault="006D29F6" w:rsidP="006D29F6">
      <w:r w:rsidRPr="006D29F6">
        <w:t>An important finding emerges from comparing category revenue and profit margin: Electronics generated the most revenue but had the lowest category profit margin, at approximately 14.03%. Accessories generated the highest category margin, at approximately 34.00%, despite having the lowest revenue.</w:t>
      </w:r>
    </w:p>
    <w:p w14:paraId="1C2972CA" w14:textId="77777777" w:rsidR="006D29F6" w:rsidRPr="006D29F6" w:rsidRDefault="006D29F6" w:rsidP="006D29F6">
      <w:r w:rsidRPr="006D29F6">
        <w:lastRenderedPageBreak/>
        <w:t>This does not automatically mean that Accessories should receive the largest investment. The business must also consider category size, demand, stock availability, operating expenses, and the sustainability of these margins.</w:t>
      </w:r>
    </w:p>
    <w:p w14:paraId="7D256EEB" w14:textId="77777777" w:rsidR="006D29F6" w:rsidRPr="006D29F6" w:rsidRDefault="006D29F6" w:rsidP="006D29F6">
      <w:pPr>
        <w:rPr>
          <w:b/>
          <w:bCs/>
        </w:rPr>
      </w:pPr>
      <w:r w:rsidRPr="006D29F6">
        <w:rPr>
          <w:b/>
          <w:bCs/>
        </w:rPr>
        <w:t>Quantity sold and customer activity</w:t>
      </w:r>
    </w:p>
    <w:p w14:paraId="201D2EC6" w14:textId="77777777" w:rsidR="006D29F6" w:rsidRPr="006D29F6" w:rsidRDefault="006D29F6" w:rsidP="006D29F6">
      <w:r w:rsidRPr="006D29F6">
        <w:t>The dataset recorded 370,800 units sold across 200,000 sales records. This gives an average of approximately 1.85 units per record.</w:t>
      </w:r>
    </w:p>
    <w:p w14:paraId="1A983015" w14:textId="77777777" w:rsidR="006D29F6" w:rsidRPr="006D29F6" w:rsidRDefault="006D29F6" w:rsidP="006D29F6">
      <w:r w:rsidRPr="006D29F6">
        <w:t>However, because the workbook uses one order ID per record, the average should be interpreted as units per recorded transaction, not necessarily units per customer visit or shopping basket in a multi-line order system.</w:t>
      </w:r>
    </w:p>
    <w:p w14:paraId="5B795A69" w14:textId="77777777" w:rsidR="006D29F6" w:rsidRPr="006D29F6" w:rsidRDefault="006D29F6" w:rsidP="006D29F6">
      <w:r w:rsidRPr="006D29F6">
        <w:t>The customer analysis also shows why transaction frequency and revenue should be evaluated together. A customer who purchases frequently may have a different business value from one who makes fewer but higher-value purchases.</w:t>
      </w:r>
    </w:p>
    <w:p w14:paraId="598E649B" w14:textId="77777777" w:rsidR="006D29F6" w:rsidRPr="006D29F6" w:rsidRDefault="006D29F6" w:rsidP="006D29F6">
      <w:pPr>
        <w:rPr>
          <w:b/>
          <w:bCs/>
        </w:rPr>
      </w:pPr>
      <w:r w:rsidRPr="006D29F6">
        <w:rPr>
          <w:b/>
          <w:bCs/>
        </w:rPr>
        <w:t>What the combined findings tell us</w:t>
      </w:r>
    </w:p>
    <w:p w14:paraId="46B66ED1" w14:textId="77777777" w:rsidR="006D29F6" w:rsidRPr="006D29F6" w:rsidRDefault="006D29F6" w:rsidP="006D29F6">
      <w:pPr>
        <w:numPr>
          <w:ilvl w:val="0"/>
          <w:numId w:val="8"/>
        </w:numPr>
      </w:pPr>
      <w:r w:rsidRPr="006D29F6">
        <w:t>Growth is positive but modest. Revenue grew by 1.27% between 2023 and 2024, so identifying the sources of growth is more useful than assuming broad-based expansion.</w:t>
      </w:r>
    </w:p>
    <w:p w14:paraId="5FC61FF7" w14:textId="77777777" w:rsidR="006D29F6" w:rsidRPr="006D29F6" w:rsidRDefault="006D29F6" w:rsidP="006D29F6">
      <w:pPr>
        <w:numPr>
          <w:ilvl w:val="0"/>
          <w:numId w:val="8"/>
        </w:numPr>
      </w:pPr>
      <w:r w:rsidRPr="006D29F6">
        <w:t>Revenue and profitability tell different stories. Electronics leads in revenue, whereas Home &amp; Furniture leads in total profit.</w:t>
      </w:r>
    </w:p>
    <w:p w14:paraId="4EC530FA" w14:textId="77777777" w:rsidR="006D29F6" w:rsidRPr="006D29F6" w:rsidRDefault="006D29F6" w:rsidP="006D29F6">
      <w:pPr>
        <w:numPr>
          <w:ilvl w:val="0"/>
          <w:numId w:val="8"/>
        </w:numPr>
      </w:pPr>
      <w:r w:rsidRPr="006D29F6">
        <w:t>Geographical performance is uneven. The East is the largest revenue contributor, while the South warrants further investigation.</w:t>
      </w:r>
    </w:p>
    <w:p w14:paraId="7DF4D663" w14:textId="77777777" w:rsidR="006D29F6" w:rsidRPr="006D29F6" w:rsidRDefault="006D29F6" w:rsidP="006D29F6">
      <w:pPr>
        <w:numPr>
          <w:ilvl w:val="0"/>
          <w:numId w:val="8"/>
        </w:numPr>
      </w:pPr>
      <w:r w:rsidRPr="006D29F6">
        <w:t>Product performance should be measured comprehensively. High-revenue products should also be assessed for unit sales, profit, margin, and inventory requirements.</w:t>
      </w:r>
    </w:p>
    <w:p w14:paraId="34D17F90" w14:textId="1ECF1598" w:rsidR="006D29F6" w:rsidRDefault="006D29F6" w:rsidP="006D29F6">
      <w:pPr>
        <w:numPr>
          <w:ilvl w:val="0"/>
          <w:numId w:val="8"/>
        </w:numPr>
      </w:pPr>
      <w:r w:rsidRPr="006D29F6">
        <w:t>Customer analytics needs reliable identification. Repeat-purchase and loyalty strategies should be based on validated customer IDs and order histories</w:t>
      </w:r>
      <w:r w:rsidR="0009370D">
        <w:t>.</w:t>
      </w:r>
    </w:p>
    <w:p w14:paraId="03EBD3AB" w14:textId="77777777" w:rsidR="0009370D" w:rsidRDefault="0009370D" w:rsidP="0009370D"/>
    <w:p w14:paraId="693C2279" w14:textId="355EFE7A" w:rsidR="00677CD1" w:rsidRPr="00677CD1" w:rsidRDefault="00677CD1" w:rsidP="00677CD1">
      <w:pPr>
        <w:rPr>
          <w:b/>
          <w:bCs/>
        </w:rPr>
      </w:pPr>
      <w:r w:rsidRPr="00677CD1">
        <w:rPr>
          <w:b/>
          <w:bCs/>
        </w:rPr>
        <w:t xml:space="preserve">My dashboard: communicating </w:t>
      </w:r>
      <w:r w:rsidR="00FA2796">
        <w:rPr>
          <w:b/>
          <w:bCs/>
        </w:rPr>
        <w:t>product</w:t>
      </w:r>
      <w:r w:rsidRPr="00677CD1">
        <w:rPr>
          <w:b/>
          <w:bCs/>
        </w:rPr>
        <w:t xml:space="preserve"> </w:t>
      </w:r>
      <w:r w:rsidR="005D67D2">
        <w:rPr>
          <w:b/>
          <w:bCs/>
        </w:rPr>
        <w:t xml:space="preserve">sales &amp; </w:t>
      </w:r>
      <w:r w:rsidRPr="00677CD1">
        <w:rPr>
          <w:b/>
          <w:bCs/>
        </w:rPr>
        <w:t>performance</w:t>
      </w:r>
    </w:p>
    <w:p w14:paraId="4303684E" w14:textId="77777777" w:rsidR="00677CD1" w:rsidRDefault="00677CD1" w:rsidP="00677CD1">
      <w:r w:rsidRPr="00677CD1">
        <w:t>The dashboard component of this project is intended to convert detailed transactional data into an accessible management view</w:t>
      </w:r>
    </w:p>
    <w:p w14:paraId="2485F029" w14:textId="77777777" w:rsidR="00DA5D81" w:rsidRDefault="00DA5D81" w:rsidP="00677CD1"/>
    <w:p w14:paraId="610E8020" w14:textId="5636F54C" w:rsidR="00DA5D81" w:rsidRDefault="005D67D2" w:rsidP="00677CD1">
      <w:r>
        <w:rPr>
          <w:noProof/>
        </w:rPr>
        <w:lastRenderedPageBreak/>
        <w:drawing>
          <wp:inline distT="0" distB="0" distL="0" distR="0" wp14:anchorId="3F26F342" wp14:editId="18556C95">
            <wp:extent cx="5943600" cy="2635250"/>
            <wp:effectExtent l="0" t="0" r="0" b="0"/>
            <wp:docPr id="154609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35250"/>
                    </a:xfrm>
                    <a:prstGeom prst="rect">
                      <a:avLst/>
                    </a:prstGeom>
                    <a:noFill/>
                    <a:ln>
                      <a:noFill/>
                    </a:ln>
                  </pic:spPr>
                </pic:pic>
              </a:graphicData>
            </a:graphic>
          </wp:inline>
        </w:drawing>
      </w:r>
    </w:p>
    <w:p w14:paraId="6C7D5CFF" w14:textId="77777777" w:rsidR="00C02112" w:rsidRDefault="00C02112" w:rsidP="00677CD1"/>
    <w:p w14:paraId="1DFD81D4" w14:textId="2F37B2F0" w:rsidR="007679B9" w:rsidRPr="007679B9" w:rsidRDefault="007679B9" w:rsidP="007679B9">
      <w:pPr>
        <w:rPr>
          <w:b/>
          <w:bCs/>
          <w:sz w:val="36"/>
          <w:szCs w:val="36"/>
        </w:rPr>
      </w:pPr>
      <w:r w:rsidRPr="007679B9">
        <w:rPr>
          <w:b/>
          <w:bCs/>
          <w:sz w:val="36"/>
          <w:szCs w:val="36"/>
        </w:rPr>
        <w:t xml:space="preserve">Who this analysis matters to </w:t>
      </w:r>
      <w:r>
        <w:rPr>
          <w:b/>
          <w:bCs/>
          <w:sz w:val="36"/>
          <w:szCs w:val="36"/>
        </w:rPr>
        <w:t>-</w:t>
      </w:r>
      <w:r w:rsidRPr="007679B9">
        <w:rPr>
          <w:b/>
          <w:bCs/>
          <w:sz w:val="36"/>
          <w:szCs w:val="36"/>
        </w:rPr>
        <w:t xml:space="preserve"> and why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0"/>
        <w:gridCol w:w="5580"/>
      </w:tblGrid>
      <w:tr w:rsidR="007679B9" w:rsidRPr="007679B9" w14:paraId="5A0D430F" w14:textId="77777777" w:rsidTr="007679B9">
        <w:trPr>
          <w:tblCellSpacing w:w="15" w:type="dxa"/>
        </w:trPr>
        <w:tc>
          <w:tcPr>
            <w:tcW w:w="3735" w:type="dxa"/>
            <w:vAlign w:val="center"/>
            <w:hideMark/>
          </w:tcPr>
          <w:p w14:paraId="216A6049" w14:textId="77777777" w:rsidR="007679B9" w:rsidRPr="007679B9" w:rsidRDefault="007679B9" w:rsidP="007679B9">
            <w:pPr>
              <w:rPr>
                <w:b/>
                <w:bCs/>
              </w:rPr>
            </w:pPr>
            <w:r w:rsidRPr="007679B9">
              <w:rPr>
                <w:b/>
                <w:bCs/>
              </w:rPr>
              <w:t>Stakeholder</w:t>
            </w:r>
          </w:p>
        </w:tc>
        <w:tc>
          <w:tcPr>
            <w:tcW w:w="5535" w:type="dxa"/>
            <w:vAlign w:val="center"/>
            <w:hideMark/>
          </w:tcPr>
          <w:p w14:paraId="08FC81D3" w14:textId="77777777" w:rsidR="007679B9" w:rsidRPr="007679B9" w:rsidRDefault="007679B9" w:rsidP="007679B9">
            <w:pPr>
              <w:rPr>
                <w:b/>
                <w:bCs/>
              </w:rPr>
            </w:pPr>
            <w:r w:rsidRPr="007679B9">
              <w:rPr>
                <w:b/>
                <w:bCs/>
              </w:rPr>
              <w:t>Why the analysis matters</w:t>
            </w:r>
          </w:p>
        </w:tc>
      </w:tr>
      <w:tr w:rsidR="007679B9" w:rsidRPr="007679B9" w14:paraId="36BF452E" w14:textId="77777777" w:rsidTr="007679B9">
        <w:trPr>
          <w:tblCellSpacing w:w="15" w:type="dxa"/>
        </w:trPr>
        <w:tc>
          <w:tcPr>
            <w:tcW w:w="3735" w:type="dxa"/>
            <w:vAlign w:val="center"/>
            <w:hideMark/>
          </w:tcPr>
          <w:p w14:paraId="49D27442" w14:textId="77777777" w:rsidR="007679B9" w:rsidRPr="007679B9" w:rsidRDefault="007679B9" w:rsidP="007679B9">
            <w:r w:rsidRPr="007679B9">
              <w:t>Business owners and executives</w:t>
            </w:r>
          </w:p>
        </w:tc>
        <w:tc>
          <w:tcPr>
            <w:tcW w:w="5535" w:type="dxa"/>
            <w:vAlign w:val="center"/>
            <w:hideMark/>
          </w:tcPr>
          <w:p w14:paraId="29C2F1B4" w14:textId="37B5A715" w:rsidR="007679B9" w:rsidRPr="007679B9" w:rsidRDefault="007679B9" w:rsidP="007679B9">
            <w:r w:rsidRPr="007679B9">
              <w:t xml:space="preserve">Understand overall performance and </w:t>
            </w:r>
            <w:r w:rsidRPr="007679B9">
              <w:t>prioritize</w:t>
            </w:r>
            <w:r w:rsidRPr="007679B9">
              <w:t xml:space="preserve"> growth opportunities.</w:t>
            </w:r>
          </w:p>
        </w:tc>
      </w:tr>
      <w:tr w:rsidR="007679B9" w:rsidRPr="007679B9" w14:paraId="591C1B8D" w14:textId="77777777" w:rsidTr="007679B9">
        <w:trPr>
          <w:tblCellSpacing w:w="15" w:type="dxa"/>
        </w:trPr>
        <w:tc>
          <w:tcPr>
            <w:tcW w:w="3735" w:type="dxa"/>
            <w:vAlign w:val="center"/>
            <w:hideMark/>
          </w:tcPr>
          <w:p w14:paraId="62CDD7CA" w14:textId="77777777" w:rsidR="007679B9" w:rsidRPr="007679B9" w:rsidRDefault="007679B9" w:rsidP="007679B9">
            <w:r w:rsidRPr="007679B9">
              <w:t>Sales managers</w:t>
            </w:r>
          </w:p>
        </w:tc>
        <w:tc>
          <w:tcPr>
            <w:tcW w:w="5535" w:type="dxa"/>
            <w:vAlign w:val="center"/>
            <w:hideMark/>
          </w:tcPr>
          <w:p w14:paraId="0DDC57AC" w14:textId="77777777" w:rsidR="007679B9" w:rsidRPr="007679B9" w:rsidRDefault="007679B9" w:rsidP="007679B9">
            <w:r w:rsidRPr="007679B9">
              <w:t>Identify high-performing regions, products, and customer segments.</w:t>
            </w:r>
          </w:p>
        </w:tc>
      </w:tr>
      <w:tr w:rsidR="007679B9" w:rsidRPr="007679B9" w14:paraId="7517663F" w14:textId="77777777" w:rsidTr="007679B9">
        <w:trPr>
          <w:tblCellSpacing w:w="15" w:type="dxa"/>
        </w:trPr>
        <w:tc>
          <w:tcPr>
            <w:tcW w:w="3735" w:type="dxa"/>
            <w:vAlign w:val="center"/>
            <w:hideMark/>
          </w:tcPr>
          <w:p w14:paraId="2659E7A9" w14:textId="77777777" w:rsidR="007679B9" w:rsidRPr="007679B9" w:rsidRDefault="007679B9" w:rsidP="007679B9">
            <w:r w:rsidRPr="007679B9">
              <w:t>Marketing teams</w:t>
            </w:r>
          </w:p>
        </w:tc>
        <w:tc>
          <w:tcPr>
            <w:tcW w:w="5535" w:type="dxa"/>
            <w:vAlign w:val="center"/>
            <w:hideMark/>
          </w:tcPr>
          <w:p w14:paraId="62190666" w14:textId="3FAB722F" w:rsidR="007679B9" w:rsidRPr="007679B9" w:rsidRDefault="007679B9" w:rsidP="007679B9">
            <w:r w:rsidRPr="007679B9">
              <w:t xml:space="preserve">Design campaigns around product demand, customer </w:t>
            </w:r>
            <w:r w:rsidRPr="007679B9">
              <w:t>behavior</w:t>
            </w:r>
            <w:r w:rsidRPr="007679B9">
              <w:t>, and regional opportunities.</w:t>
            </w:r>
          </w:p>
        </w:tc>
      </w:tr>
      <w:tr w:rsidR="007679B9" w:rsidRPr="007679B9" w14:paraId="6B8BE1BB" w14:textId="77777777" w:rsidTr="007679B9">
        <w:trPr>
          <w:tblCellSpacing w:w="15" w:type="dxa"/>
        </w:trPr>
        <w:tc>
          <w:tcPr>
            <w:tcW w:w="3735" w:type="dxa"/>
            <w:vAlign w:val="center"/>
            <w:hideMark/>
          </w:tcPr>
          <w:p w14:paraId="1DBA6E02" w14:textId="77777777" w:rsidR="007679B9" w:rsidRPr="007679B9" w:rsidRDefault="007679B9" w:rsidP="007679B9">
            <w:r w:rsidRPr="007679B9">
              <w:t>Product managers</w:t>
            </w:r>
          </w:p>
        </w:tc>
        <w:tc>
          <w:tcPr>
            <w:tcW w:w="5535" w:type="dxa"/>
            <w:vAlign w:val="center"/>
            <w:hideMark/>
          </w:tcPr>
          <w:p w14:paraId="141B0497" w14:textId="77777777" w:rsidR="007679B9" w:rsidRPr="007679B9" w:rsidRDefault="007679B9" w:rsidP="007679B9">
            <w:r w:rsidRPr="007679B9">
              <w:t>Compare product revenue, quantity sold, and profit to support product strategy.</w:t>
            </w:r>
          </w:p>
        </w:tc>
      </w:tr>
      <w:tr w:rsidR="007679B9" w:rsidRPr="007679B9" w14:paraId="1C8AA1F2" w14:textId="77777777" w:rsidTr="007679B9">
        <w:trPr>
          <w:tblCellSpacing w:w="15" w:type="dxa"/>
        </w:trPr>
        <w:tc>
          <w:tcPr>
            <w:tcW w:w="3735" w:type="dxa"/>
            <w:vAlign w:val="center"/>
            <w:hideMark/>
          </w:tcPr>
          <w:p w14:paraId="705FAAB5" w14:textId="77777777" w:rsidR="007679B9" w:rsidRPr="007679B9" w:rsidRDefault="007679B9" w:rsidP="007679B9">
            <w:r w:rsidRPr="007679B9">
              <w:t>Inventory and operations teams</w:t>
            </w:r>
          </w:p>
        </w:tc>
        <w:tc>
          <w:tcPr>
            <w:tcW w:w="5535" w:type="dxa"/>
            <w:vAlign w:val="center"/>
            <w:hideMark/>
          </w:tcPr>
          <w:p w14:paraId="2124D1A0" w14:textId="77777777" w:rsidR="007679B9" w:rsidRPr="007679B9" w:rsidRDefault="007679B9" w:rsidP="007679B9">
            <w:r w:rsidRPr="007679B9">
              <w:t>Use sales patterns to improve replenishment and reduce the risk of overstocking or stockouts.</w:t>
            </w:r>
          </w:p>
        </w:tc>
      </w:tr>
      <w:tr w:rsidR="007679B9" w:rsidRPr="007679B9" w14:paraId="15CF447B" w14:textId="77777777" w:rsidTr="007679B9">
        <w:trPr>
          <w:tblCellSpacing w:w="15" w:type="dxa"/>
        </w:trPr>
        <w:tc>
          <w:tcPr>
            <w:tcW w:w="3735" w:type="dxa"/>
            <w:vAlign w:val="center"/>
            <w:hideMark/>
          </w:tcPr>
          <w:p w14:paraId="0D738AF2" w14:textId="77777777" w:rsidR="007679B9" w:rsidRPr="007679B9" w:rsidRDefault="007679B9" w:rsidP="007679B9">
            <w:r w:rsidRPr="007679B9">
              <w:t>Finance teams</w:t>
            </w:r>
          </w:p>
        </w:tc>
        <w:tc>
          <w:tcPr>
            <w:tcW w:w="5535" w:type="dxa"/>
            <w:vAlign w:val="center"/>
            <w:hideMark/>
          </w:tcPr>
          <w:p w14:paraId="24A62B13" w14:textId="77777777" w:rsidR="007679B9" w:rsidRPr="007679B9" w:rsidRDefault="007679B9" w:rsidP="007679B9">
            <w:r w:rsidRPr="007679B9">
              <w:t>Monitor revenue, profit, and margins to support budgeting and performance management.</w:t>
            </w:r>
          </w:p>
        </w:tc>
      </w:tr>
      <w:tr w:rsidR="007679B9" w:rsidRPr="007679B9" w14:paraId="3AECD06C" w14:textId="77777777" w:rsidTr="007679B9">
        <w:trPr>
          <w:tblCellSpacing w:w="15" w:type="dxa"/>
        </w:trPr>
        <w:tc>
          <w:tcPr>
            <w:tcW w:w="3735" w:type="dxa"/>
            <w:vAlign w:val="center"/>
            <w:hideMark/>
          </w:tcPr>
          <w:p w14:paraId="4B82EE96" w14:textId="77777777" w:rsidR="007679B9" w:rsidRPr="007679B9" w:rsidRDefault="007679B9" w:rsidP="007679B9">
            <w:r w:rsidRPr="007679B9">
              <w:t>Data analysts</w:t>
            </w:r>
          </w:p>
        </w:tc>
        <w:tc>
          <w:tcPr>
            <w:tcW w:w="5535" w:type="dxa"/>
            <w:vAlign w:val="center"/>
            <w:hideMark/>
          </w:tcPr>
          <w:p w14:paraId="7907CA67" w14:textId="77777777" w:rsidR="007679B9" w:rsidRPr="007679B9" w:rsidRDefault="007679B9" w:rsidP="007679B9">
            <w:r w:rsidRPr="007679B9">
              <w:t>Demonstrate how raw transactional records can be transformed into business insights.</w:t>
            </w:r>
          </w:p>
        </w:tc>
      </w:tr>
    </w:tbl>
    <w:p w14:paraId="2A049494" w14:textId="77777777" w:rsidR="007679B9" w:rsidRDefault="007679B9" w:rsidP="007679B9">
      <w:r w:rsidRPr="007679B9">
        <w:lastRenderedPageBreak/>
        <w:t>The analysis is valuable because it provides a shared evidence base for commercial decisions. Rather than relying solely on assumptions, stakeholders can use measurable performance indicators to identify where deeper investigation or intervention is warranted.</w:t>
      </w:r>
    </w:p>
    <w:p w14:paraId="21A78726" w14:textId="77777777" w:rsidR="001653F0" w:rsidRDefault="001653F0" w:rsidP="007679B9"/>
    <w:p w14:paraId="5EC595AF" w14:textId="77777777" w:rsidR="00E12C22" w:rsidRPr="00E12C22" w:rsidRDefault="00E12C22" w:rsidP="00E12C22">
      <w:pPr>
        <w:rPr>
          <w:b/>
          <w:bCs/>
          <w:sz w:val="36"/>
          <w:szCs w:val="36"/>
        </w:rPr>
      </w:pPr>
      <w:r w:rsidRPr="00E12C22">
        <w:rPr>
          <w:b/>
          <w:bCs/>
          <w:sz w:val="36"/>
          <w:szCs w:val="36"/>
        </w:rPr>
        <w:t>Post-analysis: insights and overall recommendations</w:t>
      </w:r>
    </w:p>
    <w:p w14:paraId="5D0C3E27" w14:textId="77777777" w:rsidR="00E12C22" w:rsidRPr="00E12C22" w:rsidRDefault="00E12C22" w:rsidP="00E12C22">
      <w:r w:rsidRPr="00E12C22">
        <w:t>The post-analysis stage translates the results into priorities for the business.</w:t>
      </w:r>
    </w:p>
    <w:p w14:paraId="39B9475E" w14:textId="77777777" w:rsidR="00E12C22" w:rsidRPr="00E12C22" w:rsidRDefault="00E12C22" w:rsidP="00E12C22">
      <w:r w:rsidRPr="00E12C22">
        <w:rPr>
          <w:b/>
          <w:bCs/>
        </w:rPr>
        <w:t>Recommendation 1:</w:t>
      </w:r>
      <w:r w:rsidRPr="00E12C22">
        <w:t xml:space="preserve"> Improve sustainable sales growth</w:t>
      </w:r>
    </w:p>
    <w:p w14:paraId="13F3BBE4" w14:textId="77777777" w:rsidR="00E12C22" w:rsidRPr="00E12C22" w:rsidRDefault="00E12C22" w:rsidP="00E12C22">
      <w:r w:rsidRPr="00E12C22">
        <w:t>Establish monthly and quarterly revenue targets and compare actual results against prior periods. Investigate the specific products and regions responsible for the 1.27% annual revenue increase.</w:t>
      </w:r>
    </w:p>
    <w:p w14:paraId="087BCC09" w14:textId="77777777" w:rsidR="00E12C22" w:rsidRPr="00E12C22" w:rsidRDefault="00E12C22" w:rsidP="00E12C22">
      <w:r w:rsidRPr="00E12C22">
        <w:rPr>
          <w:b/>
          <w:bCs/>
        </w:rPr>
        <w:t>Recommendation 2:</w:t>
      </w:r>
      <w:r w:rsidRPr="00E12C22">
        <w:t xml:space="preserve"> Manage product profitability</w:t>
      </w:r>
    </w:p>
    <w:p w14:paraId="104F1D36" w14:textId="77777777" w:rsidR="00E12C22" w:rsidRPr="00E12C22" w:rsidRDefault="00E12C22" w:rsidP="00E12C22">
      <w:r w:rsidRPr="00E12C22">
        <w:t>Investigate the relatively low Electronics margin and the strong margins in Accessories and Clothing &amp; Apparel. Review procurement costs, discounts, pricing, and product mix before changing prices or investment levels.</w:t>
      </w:r>
    </w:p>
    <w:p w14:paraId="46204CFA" w14:textId="77777777" w:rsidR="00E12C22" w:rsidRPr="00E12C22" w:rsidRDefault="00E12C22" w:rsidP="00E12C22">
      <w:r w:rsidRPr="00E12C22">
        <w:rPr>
          <w:b/>
          <w:bCs/>
        </w:rPr>
        <w:t>Recommendation 3:</w:t>
      </w:r>
      <w:r w:rsidRPr="00E12C22">
        <w:t xml:space="preserve"> Develop region-specific strategies</w:t>
      </w:r>
    </w:p>
    <w:p w14:paraId="6035DAAD" w14:textId="77777777" w:rsidR="00E12C22" w:rsidRPr="00E12C22" w:rsidRDefault="00E12C22" w:rsidP="00E12C22">
      <w:r w:rsidRPr="00E12C22">
        <w:t>Examine the South's lower revenue alongside customer counts, order volumes, and product availability. Expand marketing or distribution only where additional analysis confirms a viable opportunity.</w:t>
      </w:r>
    </w:p>
    <w:p w14:paraId="0D13001C" w14:textId="18634D78" w:rsidR="00E12C22" w:rsidRPr="00E12C22" w:rsidRDefault="00E12C22" w:rsidP="00E12C22">
      <w:r w:rsidRPr="00E12C22">
        <w:rPr>
          <w:b/>
          <w:bCs/>
        </w:rPr>
        <w:t>Recommendation 4:</w:t>
      </w:r>
      <w:r w:rsidRPr="00E12C22">
        <w:t xml:space="preserve"> </w:t>
      </w:r>
      <w:r w:rsidRPr="00E12C22">
        <w:t>Optimize</w:t>
      </w:r>
      <w:r w:rsidRPr="00E12C22">
        <w:t xml:space="preserve"> inventory decisions</w:t>
      </w:r>
    </w:p>
    <w:p w14:paraId="2CF7DCCF" w14:textId="6EBFCC86" w:rsidR="00E12C22" w:rsidRPr="00E12C22" w:rsidRDefault="00E12C22" w:rsidP="00E12C22">
      <w:r w:rsidRPr="00E12C22">
        <w:t xml:space="preserve">Combine product demand, seasonality, stock availability, and profit contribution to </w:t>
      </w:r>
      <w:r w:rsidRPr="00E12C22">
        <w:t>prioritize</w:t>
      </w:r>
      <w:r w:rsidRPr="00E12C22">
        <w:t xml:space="preserve"> replenishment. High revenue alone should not determine inventory allocation.</w:t>
      </w:r>
    </w:p>
    <w:p w14:paraId="3BDEB23D" w14:textId="77777777" w:rsidR="00E12C22" w:rsidRPr="00E12C22" w:rsidRDefault="00E12C22" w:rsidP="00E12C22">
      <w:r w:rsidRPr="00E12C22">
        <w:rPr>
          <w:b/>
          <w:bCs/>
        </w:rPr>
        <w:t>Recommendation 5:</w:t>
      </w:r>
      <w:r w:rsidRPr="00E12C22">
        <w:t xml:space="preserve"> Strengthen customer retention</w:t>
      </w:r>
    </w:p>
    <w:p w14:paraId="69689B1C" w14:textId="77777777" w:rsidR="00E12C22" w:rsidRPr="00E12C22" w:rsidRDefault="00E12C22" w:rsidP="00E12C22">
      <w:r w:rsidRPr="00E12C22">
        <w:t>Validate customer identifiers, distinguish unique customers from repeated names, and measure repeat-purchase rates. Use these metrics to identify valuable customers and evaluate targeted retention campaigns.</w:t>
      </w:r>
    </w:p>
    <w:p w14:paraId="6D136FEA" w14:textId="77777777" w:rsidR="00E12C22" w:rsidRPr="00E12C22" w:rsidRDefault="00E12C22" w:rsidP="00E12C22">
      <w:r w:rsidRPr="00E12C22">
        <w:rPr>
          <w:b/>
          <w:bCs/>
        </w:rPr>
        <w:t>Recommendation 6:</w:t>
      </w:r>
      <w:r w:rsidRPr="00E12C22">
        <w:t xml:space="preserve"> Strengthen data quality and monitoring</w:t>
      </w:r>
    </w:p>
    <w:p w14:paraId="1DB94FAF" w14:textId="3037CF7A" w:rsidR="00E12C22" w:rsidRDefault="00E12C22" w:rsidP="00E12C22">
      <w:r w:rsidRPr="00E12C22">
        <w:t>Standardize</w:t>
      </w:r>
      <w:r w:rsidRPr="00E12C22">
        <w:t xml:space="preserve"> field names and category labels, validate revenue calculations, and introduce checks for duplicate transactions and invalid records. Est</w:t>
      </w:r>
      <w:r w:rsidR="00521A55" w:rsidRPr="00521A55">
        <w:t>ablish a repeatable reporting process to keep the dashboard reliable.</w:t>
      </w:r>
    </w:p>
    <w:p w14:paraId="2CD209C3" w14:textId="77777777" w:rsidR="0030689F" w:rsidRPr="0030689F" w:rsidRDefault="0030689F" w:rsidP="0030689F">
      <w:pPr>
        <w:rPr>
          <w:b/>
          <w:bCs/>
        </w:rPr>
      </w:pPr>
      <w:r w:rsidRPr="0030689F">
        <w:rPr>
          <w:b/>
          <w:bCs/>
        </w:rPr>
        <w:t>Proposed action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4275"/>
        <w:gridCol w:w="4219"/>
      </w:tblGrid>
      <w:tr w:rsidR="0030689F" w:rsidRPr="0030689F" w14:paraId="4BFF37C9" w14:textId="77777777">
        <w:trPr>
          <w:tblCellSpacing w:w="15" w:type="dxa"/>
        </w:trPr>
        <w:tc>
          <w:tcPr>
            <w:tcW w:w="0" w:type="auto"/>
            <w:vAlign w:val="center"/>
            <w:hideMark/>
          </w:tcPr>
          <w:p w14:paraId="10CD3C42" w14:textId="77777777" w:rsidR="0030689F" w:rsidRPr="0030689F" w:rsidRDefault="0030689F" w:rsidP="0030689F">
            <w:pPr>
              <w:rPr>
                <w:b/>
                <w:bCs/>
              </w:rPr>
            </w:pPr>
            <w:r w:rsidRPr="0030689F">
              <w:rPr>
                <w:b/>
                <w:bCs/>
              </w:rPr>
              <w:lastRenderedPageBreak/>
              <w:t>Priority</w:t>
            </w:r>
          </w:p>
        </w:tc>
        <w:tc>
          <w:tcPr>
            <w:tcW w:w="0" w:type="auto"/>
            <w:vAlign w:val="center"/>
            <w:hideMark/>
          </w:tcPr>
          <w:p w14:paraId="2C8D6F38" w14:textId="77777777" w:rsidR="0030689F" w:rsidRPr="0030689F" w:rsidRDefault="0030689F" w:rsidP="0030689F">
            <w:pPr>
              <w:rPr>
                <w:b/>
                <w:bCs/>
              </w:rPr>
            </w:pPr>
            <w:r w:rsidRPr="0030689F">
              <w:rPr>
                <w:b/>
                <w:bCs/>
              </w:rPr>
              <w:t>Action</w:t>
            </w:r>
          </w:p>
        </w:tc>
        <w:tc>
          <w:tcPr>
            <w:tcW w:w="0" w:type="auto"/>
            <w:vAlign w:val="center"/>
            <w:hideMark/>
          </w:tcPr>
          <w:p w14:paraId="48F07682" w14:textId="77777777" w:rsidR="0030689F" w:rsidRPr="0030689F" w:rsidRDefault="0030689F" w:rsidP="0030689F">
            <w:pPr>
              <w:rPr>
                <w:b/>
                <w:bCs/>
              </w:rPr>
            </w:pPr>
            <w:r w:rsidRPr="0030689F">
              <w:rPr>
                <w:b/>
                <w:bCs/>
              </w:rPr>
              <w:t>Success measure</w:t>
            </w:r>
          </w:p>
        </w:tc>
      </w:tr>
      <w:tr w:rsidR="0030689F" w:rsidRPr="0030689F" w14:paraId="7D6DD6E5" w14:textId="77777777">
        <w:trPr>
          <w:tblCellSpacing w:w="15" w:type="dxa"/>
        </w:trPr>
        <w:tc>
          <w:tcPr>
            <w:tcW w:w="0" w:type="auto"/>
            <w:vAlign w:val="center"/>
            <w:hideMark/>
          </w:tcPr>
          <w:p w14:paraId="190BFCB4" w14:textId="77777777" w:rsidR="0030689F" w:rsidRPr="0030689F" w:rsidRDefault="0030689F" w:rsidP="0030689F">
            <w:r w:rsidRPr="0030689F">
              <w:t>1</w:t>
            </w:r>
          </w:p>
        </w:tc>
        <w:tc>
          <w:tcPr>
            <w:tcW w:w="0" w:type="auto"/>
            <w:vAlign w:val="center"/>
            <w:hideMark/>
          </w:tcPr>
          <w:p w14:paraId="7BEA4154" w14:textId="77777777" w:rsidR="0030689F" w:rsidRPr="0030689F" w:rsidRDefault="0030689F" w:rsidP="0030689F">
            <w:r w:rsidRPr="0030689F">
              <w:t>Investigate category-level profitability</w:t>
            </w:r>
          </w:p>
        </w:tc>
        <w:tc>
          <w:tcPr>
            <w:tcW w:w="0" w:type="auto"/>
            <w:vAlign w:val="center"/>
            <w:hideMark/>
          </w:tcPr>
          <w:p w14:paraId="64D93FB4" w14:textId="77777777" w:rsidR="0030689F" w:rsidRPr="0030689F" w:rsidRDefault="0030689F" w:rsidP="0030689F">
            <w:r w:rsidRPr="0030689F">
              <w:t>Improvement in overall profit margin</w:t>
            </w:r>
          </w:p>
        </w:tc>
      </w:tr>
      <w:tr w:rsidR="0030689F" w:rsidRPr="0030689F" w14:paraId="3E965266" w14:textId="77777777">
        <w:trPr>
          <w:tblCellSpacing w:w="15" w:type="dxa"/>
        </w:trPr>
        <w:tc>
          <w:tcPr>
            <w:tcW w:w="0" w:type="auto"/>
            <w:vAlign w:val="center"/>
            <w:hideMark/>
          </w:tcPr>
          <w:p w14:paraId="79DA0EB7" w14:textId="77777777" w:rsidR="0030689F" w:rsidRPr="0030689F" w:rsidRDefault="0030689F" w:rsidP="0030689F">
            <w:r w:rsidRPr="0030689F">
              <w:t>2</w:t>
            </w:r>
          </w:p>
        </w:tc>
        <w:tc>
          <w:tcPr>
            <w:tcW w:w="0" w:type="auto"/>
            <w:vAlign w:val="center"/>
            <w:hideMark/>
          </w:tcPr>
          <w:p w14:paraId="3D7388AD" w14:textId="1EDED33B" w:rsidR="0030689F" w:rsidRPr="0030689F" w:rsidRDefault="0030689F" w:rsidP="0030689F">
            <w:r w:rsidRPr="0030689F">
              <w:t>Analyze</w:t>
            </w:r>
            <w:r w:rsidRPr="0030689F">
              <w:t xml:space="preserve"> the causes of regional revenue differences</w:t>
            </w:r>
          </w:p>
        </w:tc>
        <w:tc>
          <w:tcPr>
            <w:tcW w:w="0" w:type="auto"/>
            <w:vAlign w:val="center"/>
            <w:hideMark/>
          </w:tcPr>
          <w:p w14:paraId="144F3AFA" w14:textId="77777777" w:rsidR="0030689F" w:rsidRPr="0030689F" w:rsidRDefault="0030689F" w:rsidP="0030689F">
            <w:r w:rsidRPr="0030689F">
              <w:t>Revenue and profit growth in targeted markets</w:t>
            </w:r>
          </w:p>
        </w:tc>
      </w:tr>
      <w:tr w:rsidR="0030689F" w:rsidRPr="0030689F" w14:paraId="1E164AAD" w14:textId="77777777">
        <w:trPr>
          <w:tblCellSpacing w:w="15" w:type="dxa"/>
        </w:trPr>
        <w:tc>
          <w:tcPr>
            <w:tcW w:w="0" w:type="auto"/>
            <w:vAlign w:val="center"/>
            <w:hideMark/>
          </w:tcPr>
          <w:p w14:paraId="27E3FB22" w14:textId="77777777" w:rsidR="0030689F" w:rsidRPr="0030689F" w:rsidRDefault="0030689F" w:rsidP="0030689F">
            <w:r w:rsidRPr="0030689F">
              <w:t>3</w:t>
            </w:r>
          </w:p>
        </w:tc>
        <w:tc>
          <w:tcPr>
            <w:tcW w:w="0" w:type="auto"/>
            <w:vAlign w:val="center"/>
            <w:hideMark/>
          </w:tcPr>
          <w:p w14:paraId="7026064A" w14:textId="77777777" w:rsidR="0030689F" w:rsidRPr="0030689F" w:rsidRDefault="0030689F" w:rsidP="0030689F">
            <w:r w:rsidRPr="0030689F">
              <w:t>Develop a product-level demand and stock plan</w:t>
            </w:r>
          </w:p>
        </w:tc>
        <w:tc>
          <w:tcPr>
            <w:tcW w:w="0" w:type="auto"/>
            <w:vAlign w:val="center"/>
            <w:hideMark/>
          </w:tcPr>
          <w:p w14:paraId="7DCC34E6" w14:textId="77777777" w:rsidR="0030689F" w:rsidRPr="0030689F" w:rsidRDefault="0030689F" w:rsidP="0030689F">
            <w:r w:rsidRPr="0030689F">
              <w:t>Better product availability and inventory efficiency</w:t>
            </w:r>
          </w:p>
        </w:tc>
      </w:tr>
      <w:tr w:rsidR="0030689F" w:rsidRPr="0030689F" w14:paraId="54CCC627" w14:textId="77777777">
        <w:trPr>
          <w:tblCellSpacing w:w="15" w:type="dxa"/>
        </w:trPr>
        <w:tc>
          <w:tcPr>
            <w:tcW w:w="0" w:type="auto"/>
            <w:vAlign w:val="center"/>
            <w:hideMark/>
          </w:tcPr>
          <w:p w14:paraId="583B90B5" w14:textId="77777777" w:rsidR="0030689F" w:rsidRPr="0030689F" w:rsidRDefault="0030689F" w:rsidP="0030689F">
            <w:r w:rsidRPr="0030689F">
              <w:t>4</w:t>
            </w:r>
          </w:p>
        </w:tc>
        <w:tc>
          <w:tcPr>
            <w:tcW w:w="0" w:type="auto"/>
            <w:vAlign w:val="center"/>
            <w:hideMark/>
          </w:tcPr>
          <w:p w14:paraId="002B62FF" w14:textId="77777777" w:rsidR="0030689F" w:rsidRPr="0030689F" w:rsidRDefault="0030689F" w:rsidP="0030689F">
            <w:r w:rsidRPr="0030689F">
              <w:t>Validate customer identity and purchasing patterns</w:t>
            </w:r>
          </w:p>
        </w:tc>
        <w:tc>
          <w:tcPr>
            <w:tcW w:w="0" w:type="auto"/>
            <w:vAlign w:val="center"/>
            <w:hideMark/>
          </w:tcPr>
          <w:p w14:paraId="1B81920D" w14:textId="77777777" w:rsidR="0030689F" w:rsidRPr="0030689F" w:rsidRDefault="0030689F" w:rsidP="0030689F">
            <w:r w:rsidRPr="0030689F">
              <w:t>Measurable improvement in repeat-purchase rate</w:t>
            </w:r>
          </w:p>
        </w:tc>
      </w:tr>
      <w:tr w:rsidR="0030689F" w:rsidRPr="0030689F" w14:paraId="2D875362" w14:textId="77777777">
        <w:trPr>
          <w:tblCellSpacing w:w="15" w:type="dxa"/>
        </w:trPr>
        <w:tc>
          <w:tcPr>
            <w:tcW w:w="0" w:type="auto"/>
            <w:vAlign w:val="center"/>
            <w:hideMark/>
          </w:tcPr>
          <w:p w14:paraId="4EDAAEB1" w14:textId="77777777" w:rsidR="0030689F" w:rsidRPr="0030689F" w:rsidRDefault="0030689F" w:rsidP="0030689F">
            <w:r w:rsidRPr="0030689F">
              <w:t>5</w:t>
            </w:r>
          </w:p>
        </w:tc>
        <w:tc>
          <w:tcPr>
            <w:tcW w:w="0" w:type="auto"/>
            <w:vAlign w:val="center"/>
            <w:hideMark/>
          </w:tcPr>
          <w:p w14:paraId="366CA50D" w14:textId="77777777" w:rsidR="0030689F" w:rsidRPr="0030689F" w:rsidRDefault="0030689F" w:rsidP="0030689F">
            <w:r w:rsidRPr="0030689F">
              <w:t>Monitor performance monthly</w:t>
            </w:r>
          </w:p>
        </w:tc>
        <w:tc>
          <w:tcPr>
            <w:tcW w:w="0" w:type="auto"/>
            <w:vAlign w:val="center"/>
            <w:hideMark/>
          </w:tcPr>
          <w:p w14:paraId="0104BB05" w14:textId="77777777" w:rsidR="0030689F" w:rsidRPr="0030689F" w:rsidRDefault="0030689F" w:rsidP="0030689F">
            <w:r w:rsidRPr="0030689F">
              <w:t>Consistent tracking of revenue, profit, and growth</w:t>
            </w:r>
          </w:p>
        </w:tc>
      </w:tr>
    </w:tbl>
    <w:p w14:paraId="247A2C6D" w14:textId="476BAE8F" w:rsidR="00410F78" w:rsidRDefault="00410F78" w:rsidP="00E12C22">
      <w:r w:rsidRPr="00410F78">
        <w:t>These are proposed actions, not results already achieved. Their impact should be measured after implementation.</w:t>
      </w:r>
    </w:p>
    <w:p w14:paraId="1D7A3839" w14:textId="77777777" w:rsidR="00410F78" w:rsidRDefault="00410F78" w:rsidP="00E12C22"/>
    <w:p w14:paraId="5C888C9C" w14:textId="77777777" w:rsidR="00DF1AAC" w:rsidRPr="00DF1AAC" w:rsidRDefault="00DF1AAC" w:rsidP="00DF1AAC">
      <w:pPr>
        <w:rPr>
          <w:b/>
          <w:bCs/>
          <w:sz w:val="36"/>
          <w:szCs w:val="36"/>
        </w:rPr>
      </w:pPr>
      <w:r w:rsidRPr="00DF1AAC">
        <w:rPr>
          <w:b/>
          <w:bCs/>
          <w:sz w:val="36"/>
          <w:szCs w:val="36"/>
        </w:rPr>
        <w:t>Conclusion</w:t>
      </w:r>
    </w:p>
    <w:p w14:paraId="7D873707" w14:textId="77777777" w:rsidR="00DF1AAC" w:rsidRPr="00DF1AAC" w:rsidRDefault="00DF1AAC" w:rsidP="00DF1AAC">
      <w:r w:rsidRPr="00DF1AAC">
        <w:t>This Product Sales &amp; Performance Analysis demonstrates how a large transactional dataset can be transformed into a structured business intelligence narrative.</w:t>
      </w:r>
    </w:p>
    <w:p w14:paraId="4756F922" w14:textId="77777777" w:rsidR="00DF1AAC" w:rsidRPr="00DF1AAC" w:rsidRDefault="00DF1AAC" w:rsidP="00DF1AAC">
      <w:r w:rsidRPr="00DF1AAC">
        <w:t>Across 200,000 records, the business generated $142.41 million in revenue and $31.55 million in profit, with an overall profit margin of 22.15%. Revenue increased by approximately 1.27% from 2023 to 2024, indicating modest growth.</w:t>
      </w:r>
    </w:p>
    <w:p w14:paraId="6EA07546" w14:textId="77777777" w:rsidR="00DF1AAC" w:rsidRPr="00DF1AAC" w:rsidRDefault="00DF1AAC" w:rsidP="00DF1AAC">
      <w:r w:rsidRPr="00DF1AAC">
        <w:t>The analysis identified Electronics as the largest revenue-generating category, Home &amp; Furniture as the largest contributor to total profit, the East as the strongest regional market, and Tempur-Pedic Mattress as the leading product by revenue in the workbook summary. It also revealed differences in category profitability and highlighted opportunities for deeper regional and customer analysis.</w:t>
      </w:r>
    </w:p>
    <w:p w14:paraId="1CBFFC29" w14:textId="4540A77C" w:rsidR="00DF1AAC" w:rsidRPr="00DF1AAC" w:rsidRDefault="00DF1AAC" w:rsidP="00DF1AAC">
      <w:r w:rsidRPr="00DF1AAC">
        <w:t xml:space="preserve">The most important lesson from this project is that sales performance should not be evaluated by revenue alone. Sustainable business growth requires a combined understanding of revenue, profitability, demand, customer </w:t>
      </w:r>
      <w:r w:rsidRPr="00DF1AAC">
        <w:t>behavior</w:t>
      </w:r>
      <w:r w:rsidRPr="00DF1AAC">
        <w:t>, and operational efficiency.</w:t>
      </w:r>
    </w:p>
    <w:p w14:paraId="0C3982F2" w14:textId="53AB6EC2" w:rsidR="00DF1AAC" w:rsidRPr="00DF1AAC" w:rsidRDefault="00DF1AAC" w:rsidP="00DF1AAC">
      <w:r w:rsidRPr="00DF1AAC">
        <w:lastRenderedPageBreak/>
        <w:t xml:space="preserve">As a data analyst, my objective was not simply to </w:t>
      </w:r>
      <w:r w:rsidRPr="00DF1AAC">
        <w:t>summarize</w:t>
      </w:r>
      <w:r w:rsidRPr="00DF1AAC">
        <w:t xml:space="preserve"> sales figures but to interpret what they mean for the business and identify practical next steps for evidence-based decision-making.</w:t>
      </w:r>
    </w:p>
    <w:p w14:paraId="5D342EF3" w14:textId="77777777" w:rsidR="00A42D09" w:rsidRDefault="00A42D09" w:rsidP="00E12C22"/>
    <w:p w14:paraId="139D3AE7" w14:textId="77777777" w:rsidR="00521A55" w:rsidRDefault="00521A55" w:rsidP="00E12C22"/>
    <w:p w14:paraId="4099F6BF" w14:textId="77777777" w:rsidR="00521A55" w:rsidRPr="00E12C22" w:rsidRDefault="00521A55" w:rsidP="00E12C22"/>
    <w:p w14:paraId="022BB27C" w14:textId="77777777" w:rsidR="001653F0" w:rsidRPr="007679B9" w:rsidRDefault="001653F0" w:rsidP="007679B9"/>
    <w:p w14:paraId="730B878B" w14:textId="77777777" w:rsidR="00C02112" w:rsidRPr="00677CD1" w:rsidRDefault="00C02112" w:rsidP="00677CD1"/>
    <w:p w14:paraId="6DC4A2DA" w14:textId="4DFF65F1" w:rsidR="0009370D" w:rsidRPr="006D29F6" w:rsidRDefault="0009370D" w:rsidP="0009370D"/>
    <w:p w14:paraId="71489628" w14:textId="77777777" w:rsidR="00F20857" w:rsidRPr="00F20857" w:rsidRDefault="00F20857" w:rsidP="00F20857"/>
    <w:p w14:paraId="20A8C0C4" w14:textId="77777777" w:rsidR="00267D94" w:rsidRPr="00641467" w:rsidRDefault="00267D94" w:rsidP="00641467"/>
    <w:p w14:paraId="0D1E762E" w14:textId="77777777" w:rsidR="003D4849" w:rsidRPr="003D4849" w:rsidRDefault="003D4849" w:rsidP="003D4849"/>
    <w:p w14:paraId="6FA475BA" w14:textId="77777777" w:rsidR="00350263" w:rsidRPr="00D903C7" w:rsidRDefault="00350263" w:rsidP="00D903C7"/>
    <w:p w14:paraId="5ECD0706" w14:textId="77777777" w:rsidR="00D903C7" w:rsidRPr="00722705" w:rsidRDefault="00D903C7" w:rsidP="00722705"/>
    <w:p w14:paraId="4DBAA65F" w14:textId="77777777" w:rsidR="00710A3F" w:rsidRPr="0031427D" w:rsidRDefault="00710A3F" w:rsidP="0031427D"/>
    <w:p w14:paraId="4211719C" w14:textId="77777777" w:rsidR="00922701" w:rsidRPr="00061EE0" w:rsidRDefault="00922701" w:rsidP="000B2CA0"/>
    <w:sectPr w:rsidR="00922701" w:rsidRPr="00061E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1FF5"/>
    <w:multiLevelType w:val="hybridMultilevel"/>
    <w:tmpl w:val="DB887346"/>
    <w:lvl w:ilvl="0" w:tplc="2DCC7B40">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5423F3"/>
    <w:multiLevelType w:val="multilevel"/>
    <w:tmpl w:val="998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A22CE"/>
    <w:multiLevelType w:val="multilevel"/>
    <w:tmpl w:val="F0F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B368F2"/>
    <w:multiLevelType w:val="multilevel"/>
    <w:tmpl w:val="A37A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2C47EB"/>
    <w:multiLevelType w:val="multilevel"/>
    <w:tmpl w:val="9CA4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1E0C2F"/>
    <w:multiLevelType w:val="multilevel"/>
    <w:tmpl w:val="2678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A2F4C"/>
    <w:multiLevelType w:val="multilevel"/>
    <w:tmpl w:val="4330F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9E2E70"/>
    <w:multiLevelType w:val="multilevel"/>
    <w:tmpl w:val="7098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364955">
    <w:abstractNumId w:val="3"/>
  </w:num>
  <w:num w:numId="2" w16cid:durableId="1949846116">
    <w:abstractNumId w:val="0"/>
  </w:num>
  <w:num w:numId="3" w16cid:durableId="1742020119">
    <w:abstractNumId w:val="1"/>
  </w:num>
  <w:num w:numId="4" w16cid:durableId="387609440">
    <w:abstractNumId w:val="4"/>
  </w:num>
  <w:num w:numId="5" w16cid:durableId="1976834740">
    <w:abstractNumId w:val="7"/>
  </w:num>
  <w:num w:numId="6" w16cid:durableId="35156208">
    <w:abstractNumId w:val="2"/>
  </w:num>
  <w:num w:numId="7" w16cid:durableId="1937864068">
    <w:abstractNumId w:val="5"/>
  </w:num>
  <w:num w:numId="8" w16cid:durableId="19148964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A0"/>
    <w:rsid w:val="00061EE0"/>
    <w:rsid w:val="0009370D"/>
    <w:rsid w:val="000B2CA0"/>
    <w:rsid w:val="000D0C1F"/>
    <w:rsid w:val="001653F0"/>
    <w:rsid w:val="001F390D"/>
    <w:rsid w:val="00267D94"/>
    <w:rsid w:val="0030689F"/>
    <w:rsid w:val="0031427D"/>
    <w:rsid w:val="00350263"/>
    <w:rsid w:val="003D4849"/>
    <w:rsid w:val="00410F78"/>
    <w:rsid w:val="00521A55"/>
    <w:rsid w:val="005D67D2"/>
    <w:rsid w:val="00641467"/>
    <w:rsid w:val="00677CD1"/>
    <w:rsid w:val="0068506C"/>
    <w:rsid w:val="006D29F6"/>
    <w:rsid w:val="00710A3F"/>
    <w:rsid w:val="00713AAA"/>
    <w:rsid w:val="00722705"/>
    <w:rsid w:val="007679B9"/>
    <w:rsid w:val="00922701"/>
    <w:rsid w:val="00A42D09"/>
    <w:rsid w:val="00A55075"/>
    <w:rsid w:val="00C02112"/>
    <w:rsid w:val="00C47F58"/>
    <w:rsid w:val="00C527D1"/>
    <w:rsid w:val="00D5391C"/>
    <w:rsid w:val="00D903C7"/>
    <w:rsid w:val="00DA5D81"/>
    <w:rsid w:val="00DD2C8D"/>
    <w:rsid w:val="00DE1C8C"/>
    <w:rsid w:val="00DF1AAC"/>
    <w:rsid w:val="00E06A02"/>
    <w:rsid w:val="00E12C22"/>
    <w:rsid w:val="00E81326"/>
    <w:rsid w:val="00EC5B3A"/>
    <w:rsid w:val="00F00E94"/>
    <w:rsid w:val="00F122FA"/>
    <w:rsid w:val="00F20857"/>
    <w:rsid w:val="00F60064"/>
    <w:rsid w:val="00F651CB"/>
    <w:rsid w:val="00FA27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61A8A"/>
  <w15:chartTrackingRefBased/>
  <w15:docId w15:val="{4501EBB2-5899-4794-A924-D6869A36E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C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2C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B2C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B2C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B2C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2C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C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C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C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C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2C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B2C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B2C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B2C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2C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C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C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CA0"/>
    <w:rPr>
      <w:rFonts w:eastAsiaTheme="majorEastAsia" w:cstheme="majorBidi"/>
      <w:color w:val="272727" w:themeColor="text1" w:themeTint="D8"/>
    </w:rPr>
  </w:style>
  <w:style w:type="paragraph" w:styleId="Title">
    <w:name w:val="Title"/>
    <w:basedOn w:val="Normal"/>
    <w:next w:val="Normal"/>
    <w:link w:val="TitleChar"/>
    <w:uiPriority w:val="10"/>
    <w:qFormat/>
    <w:rsid w:val="000B2C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C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C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C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CA0"/>
    <w:pPr>
      <w:spacing w:before="160"/>
      <w:jc w:val="center"/>
    </w:pPr>
    <w:rPr>
      <w:i/>
      <w:iCs/>
      <w:color w:val="404040" w:themeColor="text1" w:themeTint="BF"/>
    </w:rPr>
  </w:style>
  <w:style w:type="character" w:customStyle="1" w:styleId="QuoteChar">
    <w:name w:val="Quote Char"/>
    <w:basedOn w:val="DefaultParagraphFont"/>
    <w:link w:val="Quote"/>
    <w:uiPriority w:val="29"/>
    <w:rsid w:val="000B2CA0"/>
    <w:rPr>
      <w:i/>
      <w:iCs/>
      <w:color w:val="404040" w:themeColor="text1" w:themeTint="BF"/>
    </w:rPr>
  </w:style>
  <w:style w:type="paragraph" w:styleId="ListParagraph">
    <w:name w:val="List Paragraph"/>
    <w:basedOn w:val="Normal"/>
    <w:uiPriority w:val="34"/>
    <w:qFormat/>
    <w:rsid w:val="000B2CA0"/>
    <w:pPr>
      <w:ind w:left="720"/>
      <w:contextualSpacing/>
    </w:pPr>
  </w:style>
  <w:style w:type="character" w:styleId="IntenseEmphasis">
    <w:name w:val="Intense Emphasis"/>
    <w:basedOn w:val="DefaultParagraphFont"/>
    <w:uiPriority w:val="21"/>
    <w:qFormat/>
    <w:rsid w:val="000B2CA0"/>
    <w:rPr>
      <w:i/>
      <w:iCs/>
      <w:color w:val="2E74B5" w:themeColor="accent1" w:themeShade="BF"/>
    </w:rPr>
  </w:style>
  <w:style w:type="paragraph" w:styleId="IntenseQuote">
    <w:name w:val="Intense Quote"/>
    <w:basedOn w:val="Normal"/>
    <w:next w:val="Normal"/>
    <w:link w:val="IntenseQuoteChar"/>
    <w:uiPriority w:val="30"/>
    <w:qFormat/>
    <w:rsid w:val="000B2C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2CA0"/>
    <w:rPr>
      <w:i/>
      <w:iCs/>
      <w:color w:val="2E74B5" w:themeColor="accent1" w:themeShade="BF"/>
    </w:rPr>
  </w:style>
  <w:style w:type="character" w:styleId="IntenseReference">
    <w:name w:val="Intense Reference"/>
    <w:basedOn w:val="DefaultParagraphFont"/>
    <w:uiPriority w:val="32"/>
    <w:qFormat/>
    <w:rsid w:val="000B2C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theme" Target="theme/theme1.xml"/><Relationship Id="rId5" Type="http://schemas.openxmlformats.org/officeDocument/2006/relationships/chart" Target="charts/chart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1b69b68fa73cfb14/Documents/kemi/product_sales_dataset_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1b69b68fa73cfb14/Documents/kemi/product_sales_dataset_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1b69b68fa73cfb14/Documents/kemi/product_sales_dataset_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1b69b68fa73cfb14/Documents/kemi/product_sales_dataset_final.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[product_sales_dataset_final.xlsx]Revenue by Year!PivotTable2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Aptos" panose="020B0004020202020204" pitchFamily="34" charset="0"/>
              </a:rPr>
              <a:t>Revenue </a:t>
            </a:r>
            <a:r>
              <a:rPr lang="en-US" baseline="0">
                <a:latin typeface="Aptos" panose="020B0004020202020204" pitchFamily="34" charset="0"/>
              </a:rPr>
              <a:t>by Year</a:t>
            </a:r>
            <a:endParaRPr lang="en-US">
              <a:latin typeface="Aptos" panose="020B0004020202020204" pitchFamily="34" charset="0"/>
            </a:endParaRPr>
          </a:p>
        </c:rich>
      </c:tx>
      <c:layout>
        <c:manualLayout>
          <c:xMode val="edge"/>
          <c:yMode val="edge"/>
          <c:x val="0.38056169945049007"/>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rgbClr val="3F037B"/>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3F037B"/>
          </a:solidFill>
          <a:ln>
            <a:noFill/>
          </a:ln>
          <a:effectLst/>
        </c:spPr>
      </c:pivotFmt>
      <c:pivotFmt>
        <c:idx val="3"/>
        <c:spPr>
          <a:solidFill>
            <a:srgbClr val="7305E1"/>
          </a:solidFill>
          <a:ln>
            <a:noFill/>
          </a:ln>
          <a:effectLst/>
        </c:spPr>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rgbClr val="3F037B"/>
          </a:solidFill>
          <a:ln>
            <a:noFill/>
          </a:ln>
          <a:effectLst/>
        </c:spPr>
      </c:pivotFmt>
      <c:pivotFmt>
        <c:idx val="6"/>
        <c:spPr>
          <a:solidFill>
            <a:srgbClr val="7305E1"/>
          </a:solidFill>
          <a:ln>
            <a:noFill/>
          </a:ln>
          <a:effectLst/>
        </c:spPr>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rgbClr val="3F037B"/>
          </a:solidFill>
          <a:ln>
            <a:noFill/>
          </a:ln>
          <a:effectLst/>
        </c:spPr>
      </c:pivotFmt>
      <c:pivotFmt>
        <c:idx val="9"/>
        <c:spPr>
          <a:solidFill>
            <a:srgbClr val="7305E1"/>
          </a:solidFill>
          <a:ln>
            <a:noFill/>
          </a:ln>
          <a:effectLst/>
        </c:spPr>
      </c:pivotFmt>
    </c:pivotFmts>
    <c:plotArea>
      <c:layout/>
      <c:barChart>
        <c:barDir val="col"/>
        <c:grouping val="clustered"/>
        <c:varyColors val="0"/>
        <c:ser>
          <c:idx val="0"/>
          <c:order val="0"/>
          <c:tx>
            <c:strRef>
              <c:f>'Revenue by Year'!$B$3</c:f>
              <c:strCache>
                <c:ptCount val="1"/>
                <c:pt idx="0">
                  <c:v>Total</c:v>
                </c:pt>
              </c:strCache>
            </c:strRef>
          </c:tx>
          <c:spPr>
            <a:solidFill>
              <a:schemeClr val="accent1"/>
            </a:solidFill>
            <a:ln>
              <a:noFill/>
            </a:ln>
            <a:effectLst/>
          </c:spPr>
          <c:invertIfNegative val="0"/>
          <c:dPt>
            <c:idx val="0"/>
            <c:invertIfNegative val="0"/>
            <c:bubble3D val="0"/>
            <c:spPr>
              <a:solidFill>
                <a:srgbClr val="3F037B"/>
              </a:solidFill>
              <a:ln>
                <a:noFill/>
              </a:ln>
              <a:effectLst/>
            </c:spPr>
            <c:extLst>
              <c:ext xmlns:c16="http://schemas.microsoft.com/office/drawing/2014/chart" uri="{C3380CC4-5D6E-409C-BE32-E72D297353CC}">
                <c16:uniqueId val="{00000001-F14F-4774-A73F-74E03CF6B0C7}"/>
              </c:ext>
            </c:extLst>
          </c:dPt>
          <c:dPt>
            <c:idx val="1"/>
            <c:invertIfNegative val="0"/>
            <c:bubble3D val="0"/>
            <c:spPr>
              <a:solidFill>
                <a:srgbClr val="7305E1"/>
              </a:solidFill>
              <a:ln>
                <a:noFill/>
              </a:ln>
              <a:effectLst/>
            </c:spPr>
            <c:extLst>
              <c:ext xmlns:c16="http://schemas.microsoft.com/office/drawing/2014/chart" uri="{C3380CC4-5D6E-409C-BE32-E72D297353CC}">
                <c16:uniqueId val="{00000003-F14F-4774-A73F-74E03CF6B0C7}"/>
              </c:ext>
            </c:extLst>
          </c:dPt>
          <c:dLbls>
            <c:dLbl>
              <c:idx val="0"/>
              <c:layout>
                <c:manualLayout>
                  <c:x val="2.621742506905738E-2"/>
                  <c:y val="2.3148148148147869E-3"/>
                </c:manualLayout>
              </c:layout>
              <c:spPr>
                <a:noFill/>
                <a:ln>
                  <a:noFill/>
                </a:ln>
                <a:effectLst/>
              </c:spPr>
              <c:txPr>
                <a:bodyPr rot="0" spcFirstLastPara="1" vertOverflow="ellipsis" vert="horz" wrap="square" lIns="38100" tIns="19050" rIns="38100" bIns="19050" anchor="ctr" anchorCtr="1">
                  <a:no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4046182429443511"/>
                      <c:h val="0.12999999999999998"/>
                    </c:manualLayout>
                  </c15:layout>
                </c:ext>
                <c:ext xmlns:c16="http://schemas.microsoft.com/office/drawing/2014/chart" uri="{C3380CC4-5D6E-409C-BE32-E72D297353CC}">
                  <c16:uniqueId val="{00000001-F14F-4774-A73F-74E03CF6B0C7}"/>
                </c:ext>
              </c:extLst>
            </c:dLbl>
            <c:dLbl>
              <c:idx val="1"/>
              <c:showLegendKey val="0"/>
              <c:showVal val="1"/>
              <c:showCatName val="0"/>
              <c:showSerName val="0"/>
              <c:showPercent val="0"/>
              <c:showBubbleSize val="0"/>
              <c:extLst>
                <c:ext xmlns:c15="http://schemas.microsoft.com/office/drawing/2012/chart" uri="{CE6537A1-D6FC-4f65-9D91-7224C49458BB}">
                  <c15:layout>
                    <c:manualLayout>
                      <c:w val="0.2429587031958084"/>
                      <c:h val="0.1438888888888889"/>
                    </c:manualLayout>
                  </c15:layout>
                </c:ext>
                <c:ext xmlns:c16="http://schemas.microsoft.com/office/drawing/2014/chart" uri="{C3380CC4-5D6E-409C-BE32-E72D297353CC}">
                  <c16:uniqueId val="{00000003-F14F-4774-A73F-74E03CF6B0C7}"/>
                </c:ext>
              </c:extLst>
            </c:dLbl>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'Revenue by Year'!$A$4:$A$6</c:f>
              <c:strCache>
                <c:ptCount val="2"/>
                <c:pt idx="0">
                  <c:v>2024</c:v>
                </c:pt>
                <c:pt idx="1">
                  <c:v>2023</c:v>
                </c:pt>
              </c:strCache>
            </c:strRef>
          </c:cat>
          <c:val>
            <c:numRef>
              <c:f>'Revenue by Year'!$B$4:$B$6</c:f>
              <c:numCache>
                <c:formatCode>"$"#,##0.00</c:formatCode>
                <c:ptCount val="2"/>
                <c:pt idx="0">
                  <c:v>71652372.270000309</c:v>
                </c:pt>
                <c:pt idx="1">
                  <c:v>70755372.660000071</c:v>
                </c:pt>
              </c:numCache>
            </c:numRef>
          </c:val>
          <c:extLst>
            <c:ext xmlns:c16="http://schemas.microsoft.com/office/drawing/2014/chart" uri="{C3380CC4-5D6E-409C-BE32-E72D297353CC}">
              <c16:uniqueId val="{00000004-F14F-4774-A73F-74E03CF6B0C7}"/>
            </c:ext>
          </c:extLst>
        </c:ser>
        <c:dLbls>
          <c:showLegendKey val="0"/>
          <c:showVal val="1"/>
          <c:showCatName val="0"/>
          <c:showSerName val="0"/>
          <c:showPercent val="0"/>
          <c:showBubbleSize val="0"/>
        </c:dLbls>
        <c:gapWidth val="150"/>
        <c:axId val="1133683072"/>
        <c:axId val="1133680672"/>
      </c:barChart>
      <c:catAx>
        <c:axId val="1133683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50" b="0" i="0" u="none" strike="noStrike" kern="1200" baseline="0">
                <a:solidFill>
                  <a:schemeClr val="tx1">
                    <a:lumMod val="65000"/>
                    <a:lumOff val="35000"/>
                  </a:schemeClr>
                </a:solidFill>
                <a:latin typeface="+mn-lt"/>
                <a:ea typeface="+mn-ea"/>
                <a:cs typeface="+mn-cs"/>
              </a:defRPr>
            </a:pPr>
            <a:endParaRPr lang="en-US"/>
          </a:p>
        </c:txPr>
        <c:crossAx val="1133680672"/>
        <c:crosses val="autoZero"/>
        <c:auto val="1"/>
        <c:lblAlgn val="ctr"/>
        <c:lblOffset val="100"/>
        <c:noMultiLvlLbl val="0"/>
      </c:catAx>
      <c:valAx>
        <c:axId val="1133680672"/>
        <c:scaling>
          <c:orientation val="minMax"/>
        </c:scaling>
        <c:delete val="1"/>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crossAx val="11336830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a:outerShdw blurRad="50800" dist="38100" dir="2700000" algn="tl" rotWithShape="0">
        <a:srgbClr val="3F037B">
          <a:alpha val="40000"/>
        </a:srgbClr>
      </a:outerShdw>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[product_sales_dataset_final.xlsx]Top Product Category by Revenue!PivotTable3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Aptos" panose="020B0004020202020204" pitchFamily="34" charset="0"/>
              </a:rPr>
              <a:t>Product</a:t>
            </a:r>
            <a:r>
              <a:rPr lang="en-US" baseline="0">
                <a:latin typeface="Aptos" panose="020B0004020202020204" pitchFamily="34" charset="0"/>
              </a:rPr>
              <a:t> Category  by Revenue</a:t>
            </a:r>
            <a:endParaRPr lang="en-US">
              <a:latin typeface="Aptos" panose="020B00040202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'Top Product Category by Revenue'!$B$3</c:f>
              <c:strCache>
                <c:ptCount val="1"/>
                <c:pt idx="0">
                  <c:v>Total</c:v>
                </c:pt>
              </c:strCache>
            </c:strRef>
          </c:tx>
          <c:spPr>
            <a:solidFill>
              <a:srgbClr val="3F037B"/>
            </a:solidFill>
            <a:ln>
              <a:noFill/>
            </a:ln>
            <a:effectLst/>
          </c:spPr>
          <c:invertIfNegative val="0"/>
          <c:dLbls>
            <c:dLbl>
              <c:idx val="0"/>
              <c:dLblPos val="outEnd"/>
              <c:showLegendKey val="0"/>
              <c:showVal val="1"/>
              <c:showCatName val="0"/>
              <c:showSerName val="0"/>
              <c:showPercent val="0"/>
              <c:showBubbleSize val="0"/>
              <c:extLst>
                <c:ext xmlns:c15="http://schemas.microsoft.com/office/drawing/2012/chart" uri="{CE6537A1-D6FC-4f65-9D91-7224C49458BB}">
                  <c15:layout>
                    <c:manualLayout>
                      <c:w val="0.22868862899490505"/>
                      <c:h val="0.12696078431372548"/>
                    </c:manualLayout>
                  </c15:layout>
                </c:ext>
                <c:ext xmlns:c16="http://schemas.microsoft.com/office/drawing/2014/chart" uri="{C3380CC4-5D6E-409C-BE32-E72D297353CC}">
                  <c16:uniqueId val="{00000001-58D6-41D5-949F-358274992ED1}"/>
                </c:ext>
              </c:extLst>
            </c:dLbl>
            <c:dLbl>
              <c:idx val="1"/>
              <c:dLblPos val="outEnd"/>
              <c:showLegendKey val="0"/>
              <c:showVal val="1"/>
              <c:showCatName val="0"/>
              <c:showSerName val="0"/>
              <c:showPercent val="0"/>
              <c:showBubbleSize val="0"/>
              <c:extLst>
                <c:ext xmlns:c15="http://schemas.microsoft.com/office/drawing/2012/chart" uri="{CE6537A1-D6FC-4f65-9D91-7224C49458BB}">
                  <c15:layout>
                    <c:manualLayout>
                      <c:w val="0.20662980546549328"/>
                      <c:h val="0.12696078431372548"/>
                    </c:manualLayout>
                  </c15:layout>
                </c:ext>
                <c:ext xmlns:c16="http://schemas.microsoft.com/office/drawing/2014/chart" uri="{C3380CC4-5D6E-409C-BE32-E72D297353CC}">
                  <c16:uniqueId val="{00000002-58D6-41D5-949F-358274992ED1}"/>
                </c:ext>
              </c:extLst>
            </c:dLbl>
            <c:dLbl>
              <c:idx val="2"/>
              <c:dLblPos val="outEnd"/>
              <c:showLegendKey val="0"/>
              <c:showVal val="1"/>
              <c:showCatName val="0"/>
              <c:showSerName val="0"/>
              <c:showPercent val="0"/>
              <c:showBubbleSize val="0"/>
              <c:extLst>
                <c:ext xmlns:c15="http://schemas.microsoft.com/office/drawing/2012/chart" uri="{CE6537A1-D6FC-4f65-9D91-7224C49458BB}">
                  <c15:layout>
                    <c:manualLayout>
                      <c:w val="0.21398274664196387"/>
                      <c:h val="0.12696078431372548"/>
                    </c:manualLayout>
                  </c15:layout>
                </c:ext>
                <c:ext xmlns:c16="http://schemas.microsoft.com/office/drawing/2014/chart" uri="{C3380CC4-5D6E-409C-BE32-E72D297353CC}">
                  <c16:uniqueId val="{00000003-58D6-41D5-949F-358274992ED1}"/>
                </c:ext>
              </c:extLst>
            </c:dLbl>
            <c:dLbl>
              <c:idx val="3"/>
              <c:dLblPos val="outEnd"/>
              <c:showLegendKey val="0"/>
              <c:showVal val="1"/>
              <c:showCatName val="0"/>
              <c:showSerName val="0"/>
              <c:showPercent val="0"/>
              <c:showBubbleSize val="0"/>
              <c:extLst>
                <c:ext xmlns:c15="http://schemas.microsoft.com/office/drawing/2012/chart" uri="{CE6537A1-D6FC-4f65-9D91-7224C49458BB}">
                  <c15:layout>
                    <c:manualLayout>
                      <c:w val="0.22868862899490505"/>
                      <c:h val="0.12696078431372548"/>
                    </c:manualLayout>
                  </c15:layout>
                </c:ext>
                <c:ext xmlns:c16="http://schemas.microsoft.com/office/drawing/2014/chart" uri="{C3380CC4-5D6E-409C-BE32-E72D297353CC}">
                  <c16:uniqueId val="{00000004-58D6-41D5-949F-358274992ED1}"/>
                </c:ext>
              </c:extLst>
            </c:dLbl>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Product Category by Revenue'!$A$4:$A$8</c:f>
              <c:strCache>
                <c:ptCount val="4"/>
                <c:pt idx="0">
                  <c:v>Electronics</c:v>
                </c:pt>
                <c:pt idx="1">
                  <c:v>Home &amp; Furniture</c:v>
                </c:pt>
                <c:pt idx="2">
                  <c:v>Clothing &amp; Apparel</c:v>
                </c:pt>
                <c:pt idx="3">
                  <c:v>Accessories</c:v>
                </c:pt>
              </c:strCache>
            </c:strRef>
          </c:cat>
          <c:val>
            <c:numRef>
              <c:f>'Top Product Category by Revenue'!$B$4:$B$8</c:f>
              <c:numCache>
                <c:formatCode>"$"#,##0.00</c:formatCode>
                <c:ptCount val="4"/>
                <c:pt idx="0">
                  <c:v>57485698.060000502</c:v>
                </c:pt>
                <c:pt idx="1">
                  <c:v>47674426.959999755</c:v>
                </c:pt>
                <c:pt idx="2">
                  <c:v>27134365.299999934</c:v>
                </c:pt>
                <c:pt idx="3">
                  <c:v>10113254.60999994</c:v>
                </c:pt>
              </c:numCache>
            </c:numRef>
          </c:val>
          <c:extLst>
            <c:ext xmlns:c16="http://schemas.microsoft.com/office/drawing/2014/chart" uri="{C3380CC4-5D6E-409C-BE32-E72D297353CC}">
              <c16:uniqueId val="{00000000-58D6-41D5-949F-358274992ED1}"/>
            </c:ext>
          </c:extLst>
        </c:ser>
        <c:dLbls>
          <c:dLblPos val="outEnd"/>
          <c:showLegendKey val="0"/>
          <c:showVal val="1"/>
          <c:showCatName val="0"/>
          <c:showSerName val="0"/>
          <c:showPercent val="0"/>
          <c:showBubbleSize val="0"/>
        </c:dLbls>
        <c:gapWidth val="219"/>
        <c:overlap val="-27"/>
        <c:axId val="1133666272"/>
        <c:axId val="1133672032"/>
      </c:barChart>
      <c:catAx>
        <c:axId val="11336662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50" b="0" i="0" u="none" strike="noStrike" kern="1200" baseline="0">
                <a:solidFill>
                  <a:schemeClr val="tx1">
                    <a:lumMod val="65000"/>
                    <a:lumOff val="35000"/>
                  </a:schemeClr>
                </a:solidFill>
                <a:latin typeface="+mn-lt"/>
                <a:ea typeface="+mn-ea"/>
                <a:cs typeface="+mn-cs"/>
              </a:defRPr>
            </a:pPr>
            <a:endParaRPr lang="en-US"/>
          </a:p>
        </c:txPr>
        <c:crossAx val="1133672032"/>
        <c:crosses val="autoZero"/>
        <c:auto val="1"/>
        <c:lblAlgn val="ctr"/>
        <c:lblOffset val="100"/>
        <c:noMultiLvlLbl val="0"/>
      </c:catAx>
      <c:valAx>
        <c:axId val="1133672032"/>
        <c:scaling>
          <c:orientation val="minMax"/>
        </c:scaling>
        <c:delete val="1"/>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crossAx val="113366627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a:outerShdw blurRad="50800" dist="38100" dir="2700000" algn="tl" rotWithShape="0">
        <a:srgbClr val="3F037B">
          <a:alpha val="40000"/>
        </a:srgbClr>
      </a:outerShdw>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[product_sales_dataset_final.xlsx]Regional Sales Performance!PivotTable3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Aptos" panose="020B0004020202020204" pitchFamily="34" charset="0"/>
              </a:rPr>
              <a:t>Regional</a:t>
            </a:r>
            <a:r>
              <a:rPr lang="en-US" baseline="0">
                <a:latin typeface="Aptos" panose="020B0004020202020204" pitchFamily="34" charset="0"/>
              </a:rPr>
              <a:t> Sales Performance</a:t>
            </a:r>
            <a:endParaRPr lang="en-US">
              <a:latin typeface="Aptos" panose="020B00040202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5804AC"/>
          </a:solidFill>
          <a:ln>
            <a:noFill/>
          </a:ln>
          <a:effectLst/>
        </c:spPr>
      </c:pivotFmt>
      <c:pivotFmt>
        <c:idx val="3"/>
        <c:spPr>
          <a:solidFill>
            <a:srgbClr val="7305E1"/>
          </a:solidFill>
          <a:ln>
            <a:noFill/>
          </a:ln>
          <a:effectLst/>
        </c:spPr>
      </c:pivotFmt>
      <c:pivotFmt>
        <c:idx val="4"/>
        <c:spPr>
          <a:solidFill>
            <a:srgbClr val="8E22FA"/>
          </a:solidFill>
          <a:ln>
            <a:noFill/>
          </a:ln>
          <a:effectLst/>
        </c:spPr>
      </c:pivotFmt>
      <c:pivotFmt>
        <c:idx val="5"/>
        <c:spPr>
          <a:solidFill>
            <a:srgbClr val="3F037B"/>
          </a:solidFill>
          <a:ln>
            <a:noFill/>
          </a:ln>
          <a:effectLst/>
        </c:spPr>
      </c:pivotFmt>
      <c:pivotFmt>
        <c:idx val="6"/>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7305E1"/>
          </a:solidFill>
          <a:ln>
            <a:noFill/>
          </a:ln>
          <a:effectLst/>
        </c:spPr>
      </c:pivotFmt>
      <c:pivotFmt>
        <c:idx val="8"/>
        <c:spPr>
          <a:solidFill>
            <a:srgbClr val="3F037B"/>
          </a:solidFill>
          <a:ln>
            <a:noFill/>
          </a:ln>
          <a:effectLst/>
        </c:spPr>
      </c:pivotFmt>
      <c:pivotFmt>
        <c:idx val="9"/>
        <c:spPr>
          <a:solidFill>
            <a:srgbClr val="8E22FA"/>
          </a:solidFill>
          <a:ln>
            <a:noFill/>
          </a:ln>
          <a:effectLst/>
        </c:spPr>
      </c:pivotFmt>
      <c:pivotFmt>
        <c:idx val="10"/>
        <c:spPr>
          <a:solidFill>
            <a:srgbClr val="5804AC"/>
          </a:solidFill>
          <a:ln>
            <a:noFill/>
          </a:ln>
          <a:effectLst/>
        </c:spPr>
      </c:pivotFmt>
      <c:pivotFmt>
        <c:idx val="11"/>
        <c:spPr>
          <a:solidFill>
            <a:srgbClr val="3F037B"/>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rgbClr val="7305E1"/>
          </a:solidFill>
          <a:ln>
            <a:noFill/>
          </a:ln>
          <a:effectLst/>
        </c:spPr>
      </c:pivotFmt>
      <c:pivotFmt>
        <c:idx val="13"/>
        <c:spPr>
          <a:solidFill>
            <a:srgbClr val="3F037B"/>
          </a:solidFill>
          <a:ln>
            <a:noFill/>
          </a:ln>
          <a:effectLst/>
        </c:spPr>
      </c:pivotFmt>
      <c:pivotFmt>
        <c:idx val="14"/>
        <c:spPr>
          <a:solidFill>
            <a:srgbClr val="8E22FA"/>
          </a:solidFill>
          <a:ln>
            <a:noFill/>
          </a:ln>
          <a:effectLst/>
        </c:spPr>
      </c:pivotFmt>
      <c:pivotFmt>
        <c:idx val="15"/>
        <c:spPr>
          <a:solidFill>
            <a:srgbClr val="5804AC"/>
          </a:solidFill>
          <a:ln>
            <a:noFill/>
          </a:ln>
          <a:effectLst/>
        </c:spPr>
      </c:pivotFmt>
    </c:pivotFmts>
    <c:plotArea>
      <c:layout/>
      <c:pieChart>
        <c:varyColors val="1"/>
        <c:ser>
          <c:idx val="0"/>
          <c:order val="0"/>
          <c:tx>
            <c:strRef>
              <c:f>'Regional Sales Performance'!$B$3</c:f>
              <c:strCache>
                <c:ptCount val="1"/>
                <c:pt idx="0">
                  <c:v>Total</c:v>
                </c:pt>
              </c:strCache>
            </c:strRef>
          </c:tx>
          <c:spPr>
            <a:solidFill>
              <a:srgbClr val="3F037B"/>
            </a:solidFill>
          </c:spPr>
          <c:dPt>
            <c:idx val="0"/>
            <c:bubble3D val="0"/>
            <c:spPr>
              <a:solidFill>
                <a:srgbClr val="7305E1"/>
              </a:solidFill>
              <a:ln>
                <a:noFill/>
              </a:ln>
              <a:effectLst/>
            </c:spPr>
            <c:extLst>
              <c:ext xmlns:c16="http://schemas.microsoft.com/office/drawing/2014/chart" uri="{C3380CC4-5D6E-409C-BE32-E72D297353CC}">
                <c16:uniqueId val="{00000001-7CB2-4260-9971-B6029E4F42C0}"/>
              </c:ext>
            </c:extLst>
          </c:dPt>
          <c:dPt>
            <c:idx val="1"/>
            <c:bubble3D val="0"/>
            <c:spPr>
              <a:solidFill>
                <a:srgbClr val="3F037B"/>
              </a:solidFill>
              <a:ln>
                <a:noFill/>
              </a:ln>
              <a:effectLst/>
            </c:spPr>
            <c:extLst>
              <c:ext xmlns:c16="http://schemas.microsoft.com/office/drawing/2014/chart" uri="{C3380CC4-5D6E-409C-BE32-E72D297353CC}">
                <c16:uniqueId val="{00000003-7CB2-4260-9971-B6029E4F42C0}"/>
              </c:ext>
            </c:extLst>
          </c:dPt>
          <c:dPt>
            <c:idx val="2"/>
            <c:bubble3D val="0"/>
            <c:spPr>
              <a:solidFill>
                <a:srgbClr val="8E22FA"/>
              </a:solidFill>
              <a:ln>
                <a:noFill/>
              </a:ln>
              <a:effectLst/>
            </c:spPr>
            <c:extLst>
              <c:ext xmlns:c16="http://schemas.microsoft.com/office/drawing/2014/chart" uri="{C3380CC4-5D6E-409C-BE32-E72D297353CC}">
                <c16:uniqueId val="{00000005-7CB2-4260-9971-B6029E4F42C0}"/>
              </c:ext>
            </c:extLst>
          </c:dPt>
          <c:dPt>
            <c:idx val="3"/>
            <c:bubble3D val="0"/>
            <c:spPr>
              <a:solidFill>
                <a:srgbClr val="5804AC"/>
              </a:solidFill>
              <a:ln>
                <a:noFill/>
              </a:ln>
              <a:effectLst/>
            </c:spPr>
            <c:extLst>
              <c:ext xmlns:c16="http://schemas.microsoft.com/office/drawing/2014/chart" uri="{C3380CC4-5D6E-409C-BE32-E72D297353CC}">
                <c16:uniqueId val="{00000007-7CB2-4260-9971-B6029E4F42C0}"/>
              </c:ext>
            </c:extLst>
          </c:dPt>
          <c:dLbls>
            <c:dLbl>
              <c:idx val="0"/>
              <c:dLblPos val="outEnd"/>
              <c:showLegendKey val="0"/>
              <c:showVal val="1"/>
              <c:showCatName val="0"/>
              <c:showSerName val="0"/>
              <c:showPercent val="0"/>
              <c:showBubbleSize val="0"/>
              <c:extLst>
                <c:ext xmlns:c15="http://schemas.microsoft.com/office/drawing/2012/chart" uri="{CE6537A1-D6FC-4f65-9D91-7224C49458BB}">
                  <c15:layout>
                    <c:manualLayout>
                      <c:w val="0.21153176624980696"/>
                      <c:h val="0.12696078431372548"/>
                    </c:manualLayout>
                  </c15:layout>
                </c:ext>
                <c:ext xmlns:c16="http://schemas.microsoft.com/office/drawing/2014/chart" uri="{C3380CC4-5D6E-409C-BE32-E72D297353CC}">
                  <c16:uniqueId val="{00000001-7CB2-4260-9971-B6029E4F42C0}"/>
                </c:ext>
              </c:extLst>
            </c:dLbl>
            <c:dLbl>
              <c:idx val="1"/>
              <c:dLblPos val="outEnd"/>
              <c:showLegendKey val="0"/>
              <c:showVal val="1"/>
              <c:showCatName val="0"/>
              <c:showSerName val="0"/>
              <c:showPercent val="0"/>
              <c:showBubbleSize val="0"/>
              <c:extLst>
                <c:ext xmlns:c15="http://schemas.microsoft.com/office/drawing/2012/chart" uri="{CE6537A1-D6FC-4f65-9D91-7224C49458BB}">
                  <c15:layout>
                    <c:manualLayout>
                      <c:w val="0.23113960938706191"/>
                      <c:h val="0.12696078431372548"/>
                    </c:manualLayout>
                  </c15:layout>
                </c:ext>
                <c:ext xmlns:c16="http://schemas.microsoft.com/office/drawing/2014/chart" uri="{C3380CC4-5D6E-409C-BE32-E72D297353CC}">
                  <c16:uniqueId val="{00000003-7CB2-4260-9971-B6029E4F42C0}"/>
                </c:ext>
              </c:extLst>
            </c:dLbl>
            <c:dLbl>
              <c:idx val="2"/>
              <c:dLblPos val="outEnd"/>
              <c:showLegendKey val="0"/>
              <c:showVal val="1"/>
              <c:showCatName val="0"/>
              <c:showSerName val="0"/>
              <c:showPercent val="0"/>
              <c:showBubbleSize val="0"/>
              <c:extLst>
                <c:ext xmlns:c15="http://schemas.microsoft.com/office/drawing/2012/chart" uri="{CE6537A1-D6FC-4f65-9D91-7224C49458BB}">
                  <c15:layout>
                    <c:manualLayout>
                      <c:w val="0.2262376486027482"/>
                      <c:h val="0.12696078431372548"/>
                    </c:manualLayout>
                  </c15:layout>
                </c:ext>
                <c:ext xmlns:c16="http://schemas.microsoft.com/office/drawing/2014/chart" uri="{C3380CC4-5D6E-409C-BE32-E72D297353CC}">
                  <c16:uniqueId val="{00000005-7CB2-4260-9971-B6029E4F42C0}"/>
                </c:ext>
              </c:extLst>
            </c:dLbl>
            <c:dLbl>
              <c:idx val="3"/>
              <c:dLblPos val="outEnd"/>
              <c:showLegendKey val="0"/>
              <c:showVal val="1"/>
              <c:showCatName val="0"/>
              <c:showSerName val="0"/>
              <c:showPercent val="0"/>
              <c:showBubbleSize val="0"/>
              <c:extLst>
                <c:ext xmlns:c15="http://schemas.microsoft.com/office/drawing/2012/chart" uri="{CE6537A1-D6FC-4f65-9D91-7224C49458BB}">
                  <c15:layout>
                    <c:manualLayout>
                      <c:w val="0.21153176624980696"/>
                      <c:h val="0.12696078431372548"/>
                    </c:manualLayout>
                  </c15:layout>
                </c:ext>
                <c:ext xmlns:c16="http://schemas.microsoft.com/office/drawing/2014/chart" uri="{C3380CC4-5D6E-409C-BE32-E72D297353CC}">
                  <c16:uniqueId val="{00000007-7CB2-4260-9971-B6029E4F42C0}"/>
                </c:ext>
              </c:extLst>
            </c:dLbl>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'Regional Sales Performance'!$A$4:$A$8</c:f>
              <c:strCache>
                <c:ptCount val="4"/>
                <c:pt idx="0">
                  <c:v>Centre</c:v>
                </c:pt>
                <c:pt idx="1">
                  <c:v>East</c:v>
                </c:pt>
                <c:pt idx="2">
                  <c:v>South</c:v>
                </c:pt>
                <c:pt idx="3">
                  <c:v>West</c:v>
                </c:pt>
              </c:strCache>
            </c:strRef>
          </c:cat>
          <c:val>
            <c:numRef>
              <c:f>'Regional Sales Performance'!$B$4:$B$8</c:f>
              <c:numCache>
                <c:formatCode>"$"#,##0.00</c:formatCode>
                <c:ptCount val="4"/>
                <c:pt idx="0">
                  <c:v>36081894.339999922</c:v>
                </c:pt>
                <c:pt idx="1">
                  <c:v>44980048.220000364</c:v>
                </c:pt>
                <c:pt idx="2">
                  <c:v>25102960.639999826</c:v>
                </c:pt>
                <c:pt idx="3">
                  <c:v>36242841.730000094</c:v>
                </c:pt>
              </c:numCache>
            </c:numRef>
          </c:val>
          <c:extLst>
            <c:ext xmlns:c16="http://schemas.microsoft.com/office/drawing/2014/chart" uri="{C3380CC4-5D6E-409C-BE32-E72D297353CC}">
              <c16:uniqueId val="{00000008-7CB2-4260-9971-B6029E4F42C0}"/>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a:outerShdw blurRad="50800" dist="38100" dir="2700000" algn="tl" rotWithShape="0">
        <a:srgbClr val="3F037B">
          <a:alpha val="40000"/>
        </a:srgbClr>
      </a:outerShdw>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pivotSource>
    <c:name>[product_sales_dataset_final.xlsx]Top Customer by Revenue!PivotTable3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Aptos" panose="020B0004020202020204" pitchFamily="34" charset="0"/>
              </a:rPr>
              <a:t>Top</a:t>
            </a:r>
            <a:r>
              <a:rPr lang="en-US" baseline="0">
                <a:latin typeface="Aptos" panose="020B0004020202020204" pitchFamily="34" charset="0"/>
              </a:rPr>
              <a:t> 10 High-Value Customer by Revenue</a:t>
            </a:r>
            <a:endParaRPr lang="en-US">
              <a:latin typeface="Aptos" panose="020B0004020202020204" pitchFamily="34"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rgbClr val="3F037B"/>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rgbClr val="3F037B"/>
            </a:solidFill>
            <a:round/>
          </a:ln>
          <a:effectLst/>
        </c:spPr>
        <c:marker>
          <c:symbol val="none"/>
        </c:marker>
        <c:dLbl>
          <c:idx val="0"/>
          <c:layout>
            <c:manualLayout>
              <c:x val="0.13123359580052485"/>
              <c:y val="7.1588376978755962E-3"/>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3F037B"/>
            </a:solidFill>
            <a:round/>
          </a:ln>
          <a:effectLst/>
        </c:spPr>
        <c:marker>
          <c:symbol val="none"/>
        </c:marker>
        <c:dLbl>
          <c:idx val="0"/>
          <c:layout>
            <c:manualLayout>
              <c:x val="-9.1863517060367453E-2"/>
              <c:y val="-2.8635350791502517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rgbClr val="3F037B"/>
            </a:solidFill>
            <a:round/>
          </a:ln>
          <a:effectLst/>
        </c:spPr>
        <c:marker>
          <c:symbol val="none"/>
        </c:marker>
        <c:dLbl>
          <c:idx val="0"/>
          <c:layout>
            <c:manualLayout>
              <c:x val="-0.16535433070866143"/>
              <c:y val="-0.1467561728064504"/>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rgbClr val="3F037B"/>
            </a:solidFill>
            <a:round/>
          </a:ln>
          <a:effectLst/>
        </c:spPr>
        <c:marker>
          <c:symbol val="none"/>
        </c:marker>
        <c:dLbl>
          <c:idx val="0"/>
          <c:layout>
            <c:manualLayout>
              <c:x val="-0.15748031496062997"/>
              <c:y val="1.0738256546813443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3F037B"/>
            </a:solidFill>
            <a:round/>
          </a:ln>
          <a:effectLst/>
        </c:spPr>
        <c:marker>
          <c:symbol val="none"/>
        </c:marker>
        <c:dLbl>
          <c:idx val="0"/>
          <c:layout>
            <c:manualLayout>
              <c:x val="-0.11811023622047249"/>
              <c:y val="7.5167795827694103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rgbClr val="3F037B"/>
            </a:solidFill>
            <a:round/>
          </a:ln>
          <a:effectLst/>
        </c:spPr>
        <c:marker>
          <c:symbol val="none"/>
        </c:marker>
        <c:dLbl>
          <c:idx val="0"/>
          <c:layout>
            <c:manualLayout>
              <c:x val="-0.115485564304462"/>
              <c:y val="0.13243849741069913"/>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rgbClr val="3F037B"/>
            </a:solidFill>
            <a:round/>
          </a:ln>
          <a:effectLst/>
        </c:spPr>
        <c:marker>
          <c:symbol val="none"/>
        </c:marker>
        <c:dLbl>
          <c:idx val="0"/>
          <c:layout>
            <c:manualLayout>
              <c:x val="-1.5748031496062992E-2"/>
              <c:y val="0.1610738482022015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3F037B"/>
            </a:solidFill>
            <a:round/>
          </a:ln>
          <a:effectLst/>
        </c:spPr>
        <c:marker>
          <c:symbol val="none"/>
        </c:marker>
        <c:dLbl>
          <c:idx val="0"/>
          <c:layout>
            <c:manualLayout>
              <c:x val="9.4488188976377854E-2"/>
              <c:y val="0.11454140316601007"/>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rgbClr val="3F037B"/>
            </a:solidFill>
            <a:round/>
          </a:ln>
          <a:effectLst/>
        </c:spPr>
        <c:marker>
          <c:symbol val="none"/>
        </c:marker>
        <c:dLbl>
          <c:idx val="0"/>
          <c:layout>
            <c:manualLayout>
              <c:x val="0.14173228346456693"/>
              <c:y val="6.800895812981847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rgbClr val="3F037B"/>
            </a:solidFill>
            <a:round/>
          </a:ln>
          <a:effectLst/>
        </c:spPr>
        <c:marker>
          <c:symbol val="none"/>
        </c:marker>
        <c:dLbl>
          <c:idx val="0"/>
          <c:layout>
            <c:manualLayout>
              <c:x val="0.15223097112860884"/>
              <c:y val="3.2214769640440268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rgbClr val="3F037B"/>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rgbClr val="3F037B"/>
            </a:solidFill>
            <a:round/>
          </a:ln>
          <a:effectLst/>
        </c:spPr>
        <c:marker>
          <c:symbol val="none"/>
        </c:marker>
        <c:dLbl>
          <c:idx val="0"/>
          <c:layout>
            <c:manualLayout>
              <c:x val="-9.1863517060367453E-2"/>
              <c:y val="-2.8635350791502517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rgbClr val="3F037B"/>
            </a:solidFill>
            <a:round/>
          </a:ln>
          <a:effectLst/>
        </c:spPr>
        <c:marker>
          <c:symbol val="none"/>
        </c:marker>
        <c:dLbl>
          <c:idx val="0"/>
          <c:layout>
            <c:manualLayout>
              <c:x val="0.13123359580052485"/>
              <c:y val="7.1588376978755962E-3"/>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rgbClr val="3F037B"/>
            </a:solidFill>
            <a:round/>
          </a:ln>
          <a:effectLst/>
        </c:spPr>
        <c:marker>
          <c:symbol val="none"/>
        </c:marker>
        <c:dLbl>
          <c:idx val="0"/>
          <c:layout>
            <c:manualLayout>
              <c:x val="0.15223097112860884"/>
              <c:y val="3.2214769640440268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rgbClr val="3F037B"/>
            </a:solidFill>
            <a:round/>
          </a:ln>
          <a:effectLst/>
        </c:spPr>
        <c:marker>
          <c:symbol val="none"/>
        </c:marker>
        <c:dLbl>
          <c:idx val="0"/>
          <c:layout>
            <c:manualLayout>
              <c:x val="0.14173228346456693"/>
              <c:y val="6.800895812981847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rgbClr val="3F037B"/>
            </a:solidFill>
            <a:round/>
          </a:ln>
          <a:effectLst/>
        </c:spPr>
        <c:marker>
          <c:symbol val="none"/>
        </c:marker>
        <c:dLbl>
          <c:idx val="0"/>
          <c:layout>
            <c:manualLayout>
              <c:x val="9.4488188976377854E-2"/>
              <c:y val="0.11454140316601007"/>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rgbClr val="3F037B"/>
            </a:solidFill>
            <a:round/>
          </a:ln>
          <a:effectLst/>
        </c:spPr>
        <c:marker>
          <c:symbol val="none"/>
        </c:marker>
        <c:dLbl>
          <c:idx val="0"/>
          <c:layout>
            <c:manualLayout>
              <c:x val="-1.5748031496062992E-2"/>
              <c:y val="0.1610738482022015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rgbClr val="3F037B"/>
            </a:solidFill>
            <a:round/>
          </a:ln>
          <a:effectLst/>
        </c:spPr>
        <c:marker>
          <c:symbol val="none"/>
        </c:marker>
        <c:dLbl>
          <c:idx val="0"/>
          <c:layout>
            <c:manualLayout>
              <c:x val="-0.115485564304462"/>
              <c:y val="0.13243849741069913"/>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rgbClr val="3F037B"/>
            </a:solidFill>
            <a:round/>
          </a:ln>
          <a:effectLst/>
        </c:spPr>
        <c:marker>
          <c:symbol val="none"/>
        </c:marker>
        <c:dLbl>
          <c:idx val="0"/>
          <c:layout>
            <c:manualLayout>
              <c:x val="-0.11811023622047249"/>
              <c:y val="7.5167795827694103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rgbClr val="3F037B"/>
            </a:solidFill>
            <a:round/>
          </a:ln>
          <a:effectLst/>
        </c:spPr>
        <c:marker>
          <c:symbol val="none"/>
        </c:marker>
        <c:dLbl>
          <c:idx val="0"/>
          <c:layout>
            <c:manualLayout>
              <c:x val="-0.15748031496062997"/>
              <c:y val="1.0738256546813443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rgbClr val="3F037B"/>
            </a:solidFill>
            <a:round/>
          </a:ln>
          <a:effectLst/>
        </c:spPr>
        <c:marker>
          <c:symbol val="none"/>
        </c:marker>
        <c:dLbl>
          <c:idx val="0"/>
          <c:layout>
            <c:manualLayout>
              <c:x val="-0.16535433070866143"/>
              <c:y val="-0.1467561728064504"/>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rgbClr val="3F037B"/>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rgbClr val="3F037B"/>
            </a:solidFill>
            <a:round/>
          </a:ln>
          <a:effectLst/>
        </c:spPr>
        <c:marker>
          <c:symbol val="none"/>
        </c:marker>
        <c:dLbl>
          <c:idx val="0"/>
          <c:layout>
            <c:manualLayout>
              <c:x val="-9.1863517060367453E-2"/>
              <c:y val="-2.8635350791502517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rgbClr val="3F037B"/>
            </a:solidFill>
            <a:round/>
          </a:ln>
          <a:effectLst/>
        </c:spPr>
        <c:marker>
          <c:symbol val="none"/>
        </c:marker>
        <c:dLbl>
          <c:idx val="0"/>
          <c:layout>
            <c:manualLayout>
              <c:x val="0.13123359580052485"/>
              <c:y val="7.1588376978755962E-3"/>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rgbClr val="3F037B"/>
            </a:solidFill>
            <a:round/>
          </a:ln>
          <a:effectLst/>
        </c:spPr>
        <c:marker>
          <c:symbol val="none"/>
        </c:marker>
        <c:dLbl>
          <c:idx val="0"/>
          <c:layout>
            <c:manualLayout>
              <c:x val="0.15223097112860884"/>
              <c:y val="3.2214769640440268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rgbClr val="3F037B"/>
            </a:solidFill>
            <a:round/>
          </a:ln>
          <a:effectLst/>
        </c:spPr>
        <c:marker>
          <c:symbol val="none"/>
        </c:marker>
        <c:dLbl>
          <c:idx val="0"/>
          <c:layout>
            <c:manualLayout>
              <c:x val="0.14173228346456693"/>
              <c:y val="6.800895812981847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rgbClr val="3F037B"/>
            </a:solidFill>
            <a:round/>
          </a:ln>
          <a:effectLst/>
        </c:spPr>
        <c:marker>
          <c:symbol val="none"/>
        </c:marker>
        <c:dLbl>
          <c:idx val="0"/>
          <c:layout>
            <c:manualLayout>
              <c:x val="9.4488188976377854E-2"/>
              <c:y val="0.11454140316601007"/>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rgbClr val="3F037B"/>
            </a:solidFill>
            <a:round/>
          </a:ln>
          <a:effectLst/>
        </c:spPr>
        <c:marker>
          <c:symbol val="none"/>
        </c:marker>
        <c:dLbl>
          <c:idx val="0"/>
          <c:layout>
            <c:manualLayout>
              <c:x val="-1.5748031496062992E-2"/>
              <c:y val="0.1610738482022015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rgbClr val="3F037B"/>
            </a:solidFill>
            <a:round/>
          </a:ln>
          <a:effectLst/>
        </c:spPr>
        <c:marker>
          <c:symbol val="none"/>
        </c:marker>
        <c:dLbl>
          <c:idx val="0"/>
          <c:layout>
            <c:manualLayout>
              <c:x val="-0.115485564304462"/>
              <c:y val="0.13243849741069913"/>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rgbClr val="3F037B"/>
            </a:solidFill>
            <a:round/>
          </a:ln>
          <a:effectLst/>
        </c:spPr>
        <c:marker>
          <c:symbol val="none"/>
        </c:marker>
        <c:dLbl>
          <c:idx val="0"/>
          <c:layout>
            <c:manualLayout>
              <c:x val="-0.11811023622047249"/>
              <c:y val="7.5167795827694103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rgbClr val="3F037B"/>
            </a:solidFill>
            <a:round/>
          </a:ln>
          <a:effectLst/>
        </c:spPr>
        <c:marker>
          <c:symbol val="none"/>
        </c:marker>
        <c:dLbl>
          <c:idx val="0"/>
          <c:layout>
            <c:manualLayout>
              <c:x val="-0.15748031496062997"/>
              <c:y val="1.0738256546813443E-2"/>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rgbClr val="3F037B"/>
            </a:solidFill>
            <a:round/>
          </a:ln>
          <a:effectLst/>
        </c:spPr>
        <c:marker>
          <c:symbol val="none"/>
        </c:marker>
        <c:dLbl>
          <c:idx val="0"/>
          <c:layout>
            <c:manualLayout>
              <c:x val="-0.16535433070866143"/>
              <c:y val="-0.1467561728064504"/>
            </c:manualLayout>
          </c:layout>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radarChart>
        <c:radarStyle val="marker"/>
        <c:varyColors val="0"/>
        <c:ser>
          <c:idx val="0"/>
          <c:order val="0"/>
          <c:tx>
            <c:strRef>
              <c:f>'Top Customer by Revenue'!$B$3</c:f>
              <c:strCache>
                <c:ptCount val="1"/>
                <c:pt idx="0">
                  <c:v>Total</c:v>
                </c:pt>
              </c:strCache>
            </c:strRef>
          </c:tx>
          <c:spPr>
            <a:ln w="28575" cap="rnd">
              <a:solidFill>
                <a:srgbClr val="3F037B"/>
              </a:solidFill>
              <a:round/>
            </a:ln>
            <a:effectLst/>
          </c:spPr>
          <c:marker>
            <c:symbol val="none"/>
          </c:marker>
          <c:dPt>
            <c:idx val="0"/>
            <c:marker>
              <c:symbol val="none"/>
            </c:marker>
            <c:bubble3D val="0"/>
            <c:extLst>
              <c:ext xmlns:c16="http://schemas.microsoft.com/office/drawing/2014/chart" uri="{C3380CC4-5D6E-409C-BE32-E72D297353CC}">
                <c16:uniqueId val="{00000000-75B1-4B3F-A682-F1AF0EBCB819}"/>
              </c:ext>
            </c:extLst>
          </c:dPt>
          <c:dPt>
            <c:idx val="1"/>
            <c:marker>
              <c:symbol val="none"/>
            </c:marker>
            <c:bubble3D val="0"/>
            <c:extLst>
              <c:ext xmlns:c16="http://schemas.microsoft.com/office/drawing/2014/chart" uri="{C3380CC4-5D6E-409C-BE32-E72D297353CC}">
                <c16:uniqueId val="{00000001-75B1-4B3F-A682-F1AF0EBCB819}"/>
              </c:ext>
            </c:extLst>
          </c:dPt>
          <c:dPt>
            <c:idx val="2"/>
            <c:marker>
              <c:symbol val="none"/>
            </c:marker>
            <c:bubble3D val="0"/>
            <c:extLst>
              <c:ext xmlns:c16="http://schemas.microsoft.com/office/drawing/2014/chart" uri="{C3380CC4-5D6E-409C-BE32-E72D297353CC}">
                <c16:uniqueId val="{00000002-75B1-4B3F-A682-F1AF0EBCB819}"/>
              </c:ext>
            </c:extLst>
          </c:dPt>
          <c:dPt>
            <c:idx val="3"/>
            <c:marker>
              <c:symbol val="none"/>
            </c:marker>
            <c:bubble3D val="0"/>
            <c:extLst>
              <c:ext xmlns:c16="http://schemas.microsoft.com/office/drawing/2014/chart" uri="{C3380CC4-5D6E-409C-BE32-E72D297353CC}">
                <c16:uniqueId val="{00000003-75B1-4B3F-A682-F1AF0EBCB819}"/>
              </c:ext>
            </c:extLst>
          </c:dPt>
          <c:dPt>
            <c:idx val="4"/>
            <c:marker>
              <c:symbol val="none"/>
            </c:marker>
            <c:bubble3D val="0"/>
            <c:extLst>
              <c:ext xmlns:c16="http://schemas.microsoft.com/office/drawing/2014/chart" uri="{C3380CC4-5D6E-409C-BE32-E72D297353CC}">
                <c16:uniqueId val="{00000004-75B1-4B3F-A682-F1AF0EBCB819}"/>
              </c:ext>
            </c:extLst>
          </c:dPt>
          <c:dPt>
            <c:idx val="5"/>
            <c:marker>
              <c:symbol val="none"/>
            </c:marker>
            <c:bubble3D val="0"/>
            <c:extLst>
              <c:ext xmlns:c16="http://schemas.microsoft.com/office/drawing/2014/chart" uri="{C3380CC4-5D6E-409C-BE32-E72D297353CC}">
                <c16:uniqueId val="{00000005-75B1-4B3F-A682-F1AF0EBCB819}"/>
              </c:ext>
            </c:extLst>
          </c:dPt>
          <c:dPt>
            <c:idx val="6"/>
            <c:marker>
              <c:symbol val="none"/>
            </c:marker>
            <c:bubble3D val="0"/>
            <c:extLst>
              <c:ext xmlns:c16="http://schemas.microsoft.com/office/drawing/2014/chart" uri="{C3380CC4-5D6E-409C-BE32-E72D297353CC}">
                <c16:uniqueId val="{00000006-75B1-4B3F-A682-F1AF0EBCB819}"/>
              </c:ext>
            </c:extLst>
          </c:dPt>
          <c:dPt>
            <c:idx val="7"/>
            <c:marker>
              <c:symbol val="none"/>
            </c:marker>
            <c:bubble3D val="0"/>
            <c:extLst>
              <c:ext xmlns:c16="http://schemas.microsoft.com/office/drawing/2014/chart" uri="{C3380CC4-5D6E-409C-BE32-E72D297353CC}">
                <c16:uniqueId val="{00000007-75B1-4B3F-A682-F1AF0EBCB819}"/>
              </c:ext>
            </c:extLst>
          </c:dPt>
          <c:dPt>
            <c:idx val="8"/>
            <c:marker>
              <c:symbol val="none"/>
            </c:marker>
            <c:bubble3D val="0"/>
            <c:extLst>
              <c:ext xmlns:c16="http://schemas.microsoft.com/office/drawing/2014/chart" uri="{C3380CC4-5D6E-409C-BE32-E72D297353CC}">
                <c16:uniqueId val="{00000008-75B1-4B3F-A682-F1AF0EBCB819}"/>
              </c:ext>
            </c:extLst>
          </c:dPt>
          <c:dPt>
            <c:idx val="9"/>
            <c:marker>
              <c:symbol val="none"/>
            </c:marker>
            <c:bubble3D val="0"/>
            <c:extLst>
              <c:ext xmlns:c16="http://schemas.microsoft.com/office/drawing/2014/chart" uri="{C3380CC4-5D6E-409C-BE32-E72D297353CC}">
                <c16:uniqueId val="{00000009-75B1-4B3F-A682-F1AF0EBCB819}"/>
              </c:ext>
            </c:extLst>
          </c:dPt>
          <c:dLbls>
            <c:dLbl>
              <c:idx val="0"/>
              <c:layout>
                <c:manualLayout>
                  <c:x val="-9.1863517060367453E-2"/>
                  <c:y val="-2.863535079150251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5B1-4B3F-A682-F1AF0EBCB819}"/>
                </c:ext>
              </c:extLst>
            </c:dLbl>
            <c:dLbl>
              <c:idx val="1"/>
              <c:layout>
                <c:manualLayout>
                  <c:x val="0.13123359580052485"/>
                  <c:y val="7.1588376978755962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5B1-4B3F-A682-F1AF0EBCB819}"/>
                </c:ext>
              </c:extLst>
            </c:dLbl>
            <c:dLbl>
              <c:idx val="2"/>
              <c:layout>
                <c:manualLayout>
                  <c:x val="0.15223097112860884"/>
                  <c:y val="3.221476964044026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75B1-4B3F-A682-F1AF0EBCB819}"/>
                </c:ext>
              </c:extLst>
            </c:dLbl>
            <c:dLbl>
              <c:idx val="3"/>
              <c:layout>
                <c:manualLayout>
                  <c:x val="0.14173228346456693"/>
                  <c:y val="6.800895812981847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75B1-4B3F-A682-F1AF0EBCB819}"/>
                </c:ext>
              </c:extLst>
            </c:dLbl>
            <c:dLbl>
              <c:idx val="4"/>
              <c:layout>
                <c:manualLayout>
                  <c:x val="9.4488188976377854E-2"/>
                  <c:y val="0.1145414031660100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75B1-4B3F-A682-F1AF0EBCB819}"/>
                </c:ext>
              </c:extLst>
            </c:dLbl>
            <c:dLbl>
              <c:idx val="5"/>
              <c:layout>
                <c:manualLayout>
                  <c:x val="-1.5748031496062992E-2"/>
                  <c:y val="0.1610738482022015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75B1-4B3F-A682-F1AF0EBCB819}"/>
                </c:ext>
              </c:extLst>
            </c:dLbl>
            <c:dLbl>
              <c:idx val="6"/>
              <c:layout>
                <c:manualLayout>
                  <c:x val="-0.115485564304462"/>
                  <c:y val="0.1324384974106991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75B1-4B3F-A682-F1AF0EBCB819}"/>
                </c:ext>
              </c:extLst>
            </c:dLbl>
            <c:dLbl>
              <c:idx val="7"/>
              <c:layout>
                <c:manualLayout>
                  <c:x val="-0.11811023622047249"/>
                  <c:y val="7.516779582769410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75B1-4B3F-A682-F1AF0EBCB819}"/>
                </c:ext>
              </c:extLst>
            </c:dLbl>
            <c:dLbl>
              <c:idx val="8"/>
              <c:layout>
                <c:manualLayout>
                  <c:x val="-0.15748031496062997"/>
                  <c:y val="1.073825654681344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5B1-4B3F-A682-F1AF0EBCB819}"/>
                </c:ext>
              </c:extLst>
            </c:dLbl>
            <c:dLbl>
              <c:idx val="9"/>
              <c:layout>
                <c:manualLayout>
                  <c:x val="-0.16535433070866143"/>
                  <c:y val="-0.1467561728064504"/>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5B1-4B3F-A682-F1AF0EBCB819}"/>
                </c:ext>
              </c:extLst>
            </c:dLbl>
            <c:spPr>
              <a:noFill/>
              <a:ln>
                <a:noFill/>
              </a:ln>
              <a:effectLst/>
            </c:spPr>
            <c:txPr>
              <a:bodyPr rot="0" spcFirstLastPara="1" vertOverflow="ellipsis" vert="horz" wrap="square" lIns="38100" tIns="19050" rIns="38100" bIns="19050" anchor="ctr" anchorCtr="1">
                <a:spAutoFit/>
              </a:bodyPr>
              <a:lstStyle/>
              <a:p>
                <a:pPr>
                  <a:defRPr sz="115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Customer by Revenue'!$A$4:$A$14</c:f>
              <c:strCache>
                <c:ptCount val="10"/>
                <c:pt idx="0">
                  <c:v>Michael Smith</c:v>
                </c:pt>
                <c:pt idx="1">
                  <c:v>Michael Williams</c:v>
                </c:pt>
                <c:pt idx="2">
                  <c:v>Michael Johnson</c:v>
                </c:pt>
                <c:pt idx="3">
                  <c:v>Christopher Smith</c:v>
                </c:pt>
                <c:pt idx="4">
                  <c:v>David Smith</c:v>
                </c:pt>
                <c:pt idx="5">
                  <c:v>Robert Smith</c:v>
                </c:pt>
                <c:pt idx="6">
                  <c:v>Michael Jones</c:v>
                </c:pt>
                <c:pt idx="7">
                  <c:v>Jennifer Smith</c:v>
                </c:pt>
                <c:pt idx="8">
                  <c:v>James Smith</c:v>
                </c:pt>
                <c:pt idx="9">
                  <c:v>Jennifer Johnson</c:v>
                </c:pt>
              </c:strCache>
            </c:strRef>
          </c:cat>
          <c:val>
            <c:numRef>
              <c:f>'Top Customer by Revenue'!$B$4:$B$14</c:f>
              <c:numCache>
                <c:formatCode>"$"#,##0.00</c:formatCode>
                <c:ptCount val="10"/>
                <c:pt idx="0">
                  <c:v>76415.210000000006</c:v>
                </c:pt>
                <c:pt idx="1">
                  <c:v>59135.729999999996</c:v>
                </c:pt>
                <c:pt idx="2">
                  <c:v>56293.220000000023</c:v>
                </c:pt>
                <c:pt idx="3">
                  <c:v>51312.200000000004</c:v>
                </c:pt>
                <c:pt idx="4">
                  <c:v>48449.39</c:v>
                </c:pt>
                <c:pt idx="5">
                  <c:v>46686.9</c:v>
                </c:pt>
                <c:pt idx="6">
                  <c:v>46096.909999999989</c:v>
                </c:pt>
                <c:pt idx="7">
                  <c:v>43157.920000000006</c:v>
                </c:pt>
                <c:pt idx="8">
                  <c:v>40500.859999999993</c:v>
                </c:pt>
                <c:pt idx="9">
                  <c:v>37044.15</c:v>
                </c:pt>
              </c:numCache>
            </c:numRef>
          </c:val>
          <c:extLst>
            <c:ext xmlns:c16="http://schemas.microsoft.com/office/drawing/2014/chart" uri="{C3380CC4-5D6E-409C-BE32-E72D297353CC}">
              <c16:uniqueId val="{0000000A-75B1-4B3F-A682-F1AF0EBCB819}"/>
            </c:ext>
          </c:extLst>
        </c:ser>
        <c:dLbls>
          <c:showLegendKey val="0"/>
          <c:showVal val="1"/>
          <c:showCatName val="0"/>
          <c:showSerName val="0"/>
          <c:showPercent val="0"/>
          <c:showBubbleSize val="0"/>
        </c:dLbls>
        <c:axId val="1995941296"/>
        <c:axId val="1995957136"/>
      </c:radarChart>
      <c:catAx>
        <c:axId val="1995941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50" b="0" i="0" u="none" strike="noStrike" kern="1200" baseline="0">
                <a:solidFill>
                  <a:schemeClr val="tx1">
                    <a:lumMod val="65000"/>
                    <a:lumOff val="35000"/>
                  </a:schemeClr>
                </a:solidFill>
                <a:latin typeface="+mn-lt"/>
                <a:ea typeface="+mn-ea"/>
                <a:cs typeface="+mn-cs"/>
              </a:defRPr>
            </a:pPr>
            <a:endParaRPr lang="en-US"/>
          </a:p>
        </c:txPr>
        <c:crossAx val="1995957136"/>
        <c:crosses val="autoZero"/>
        <c:auto val="1"/>
        <c:lblAlgn val="ctr"/>
        <c:lblOffset val="100"/>
        <c:noMultiLvlLbl val="0"/>
      </c:catAx>
      <c:valAx>
        <c:axId val="1995957136"/>
        <c:scaling>
          <c:orientation val="minMax"/>
        </c:scaling>
        <c:delete val="1"/>
        <c:axPos val="l"/>
        <c:majorGridlines>
          <c:spPr>
            <a:ln w="9525" cap="flat" cmpd="sng" algn="ctr">
              <a:solidFill>
                <a:schemeClr val="tx1">
                  <a:lumMod val="15000"/>
                  <a:lumOff val="85000"/>
                </a:schemeClr>
              </a:solidFill>
              <a:round/>
            </a:ln>
            <a:effectLst/>
          </c:spPr>
        </c:majorGridlines>
        <c:numFmt formatCode="&quot;$&quot;#,##0.00" sourceLinked="1"/>
        <c:majorTickMark val="none"/>
        <c:minorTickMark val="none"/>
        <c:tickLblPos val="nextTo"/>
        <c:crossAx val="199594129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a:outerShdw blurRad="50800" dist="38100" dir="2700000" algn="tl" rotWithShape="0">
        <a:srgbClr val="3F037B">
          <a:alpha val="40000"/>
        </a:srgbClr>
      </a:outerShdw>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966</TotalTime>
  <Pages>17</Pages>
  <Words>2923</Words>
  <Characters>16664</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 Creative</dc:creator>
  <cp:keywords/>
  <dc:description/>
  <cp:lastModifiedBy>Bee Creative</cp:lastModifiedBy>
  <cp:revision>35</cp:revision>
  <dcterms:created xsi:type="dcterms:W3CDTF">2026-10-09T15:50:00Z</dcterms:created>
  <dcterms:modified xsi:type="dcterms:W3CDTF">2026-10-10T07:56:00Z</dcterms:modified>
</cp:coreProperties>
</file>