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F4A906">
      <w:pPr>
        <w:pStyle w:val="2"/>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bookmarkStart w:id="0" w:name="温州市创新联合体攻关项目可行性研究报告"/>
      <w:r>
        <w:rPr>
          <w:rFonts w:hint="eastAsia" w:ascii="仿宋" w:hAnsi="仿宋" w:eastAsia="仿宋" w:cs="仿宋"/>
          <w:color w:val="auto"/>
        </w:rPr>
        <w:t>温州市创新联合体攻关项目可行性研究报告</w:t>
      </w:r>
    </w:p>
    <w:p w14:paraId="41E01CFB">
      <w:pPr>
        <w:pStyle w:val="23"/>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 xml:space="preserve"> </w:t>
      </w:r>
      <w:r>
        <w:rPr>
          <w:rFonts w:hint="eastAsia" w:ascii="仿宋" w:hAnsi="仿宋" w:eastAsia="仿宋" w:cs="仿宋"/>
          <w:b/>
          <w:bCs/>
          <w:color w:val="auto"/>
        </w:rPr>
        <w:t>创新联合体名称</w:t>
      </w:r>
      <w:r>
        <w:rPr>
          <w:rFonts w:hint="eastAsia" w:ascii="仿宋" w:hAnsi="仿宋" w:eastAsia="仿宋" w:cs="仿宋"/>
          <w:color w:val="auto"/>
        </w:rPr>
        <w:t>：温州市变压器产业链AI全流程智能决策与运维技术创新联合体</w:t>
      </w:r>
    </w:p>
    <w:p w14:paraId="712D82C1">
      <w:pPr>
        <w:pStyle w:val="3"/>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 xml:space="preserve"> </w:t>
      </w:r>
      <w:r>
        <w:rPr>
          <w:rFonts w:hint="eastAsia" w:ascii="仿宋" w:hAnsi="仿宋" w:eastAsia="仿宋" w:cs="仿宋"/>
          <w:b/>
          <w:bCs/>
          <w:color w:val="auto"/>
        </w:rPr>
        <w:t>攻关项目名称</w:t>
      </w:r>
      <w:r>
        <w:rPr>
          <w:rFonts w:hint="eastAsia" w:ascii="仿宋" w:hAnsi="仿宋" w:eastAsia="仿宋" w:cs="仿宋"/>
          <w:color w:val="auto"/>
        </w:rPr>
        <w:t>：面向变压器的AI全流程智能报价—制造—运维一体化平台研发及产业化</w:t>
      </w:r>
    </w:p>
    <w:p w14:paraId="55D75F40">
      <w:pPr>
        <w:pStyle w:val="3"/>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 xml:space="preserve"> </w:t>
      </w:r>
      <w:r>
        <w:rPr>
          <w:rFonts w:hint="eastAsia" w:ascii="仿宋" w:hAnsi="仿宋" w:eastAsia="仿宋" w:cs="仿宋"/>
          <w:b/>
          <w:bCs/>
          <w:color w:val="auto"/>
        </w:rPr>
        <w:t>项目总负责人</w:t>
      </w:r>
      <w:r>
        <w:rPr>
          <w:rFonts w:hint="eastAsia" w:ascii="仿宋" w:hAnsi="仿宋" w:eastAsia="仿宋" w:cs="仿宋"/>
          <w:color w:val="auto"/>
        </w:rPr>
        <w:t>：孟永剑</w:t>
      </w:r>
    </w:p>
    <w:p w14:paraId="78F6A693">
      <w:pPr>
        <w:pStyle w:val="3"/>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b/>
          <w:bCs/>
          <w:color w:val="auto"/>
        </w:rPr>
        <w:t>项目总经费</w:t>
      </w:r>
      <w:r>
        <w:rPr>
          <w:rFonts w:hint="eastAsia" w:ascii="仿宋" w:hAnsi="仿宋" w:eastAsia="仿宋" w:cs="仿宋"/>
          <w:color w:val="auto"/>
        </w:rPr>
        <w:t>：1000万元（自筹800万</w:t>
      </w:r>
      <w:r>
        <w:rPr>
          <w:rFonts w:hint="eastAsia" w:ascii="仿宋" w:hAnsi="仿宋" w:eastAsia="仿宋" w:cs="仿宋"/>
          <w:color w:val="auto"/>
        </w:rPr>
        <w:t xml:space="preserve"> + </w:t>
      </w:r>
      <w:r>
        <w:rPr>
          <w:rFonts w:hint="eastAsia" w:ascii="仿宋" w:hAnsi="仿宋" w:eastAsia="仿宋" w:cs="仿宋"/>
          <w:color w:val="auto"/>
        </w:rPr>
        <w:t>财政200万）</w:t>
      </w:r>
    </w:p>
    <w:p w14:paraId="0C3887FD">
      <w:pPr>
        <w:pStyle w:val="3"/>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b/>
          <w:bCs/>
          <w:color w:val="auto"/>
        </w:rPr>
        <w:t>填报日期</w:t>
      </w:r>
      <w:r>
        <w:rPr>
          <w:rFonts w:hint="eastAsia" w:ascii="仿宋" w:hAnsi="仿宋" w:eastAsia="仿宋" w:cs="仿宋"/>
          <w:color w:val="auto"/>
        </w:rPr>
        <w:t>：2026年7月</w:t>
      </w:r>
    </w:p>
    <w:p w14:paraId="3F533CED">
      <w:pPr>
        <w:pStyle w:val="3"/>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 xml:space="preserve"> </w:t>
      </w:r>
      <w:r>
        <w:rPr>
          <w:rFonts w:hint="eastAsia" w:ascii="仿宋" w:hAnsi="仿宋" w:eastAsia="仿宋" w:cs="仿宋"/>
          <w:color w:val="auto"/>
        </w:rPr>
        <w:t>温州市科学技术局</w:t>
      </w:r>
      <w:r>
        <w:rPr>
          <w:rFonts w:hint="eastAsia" w:ascii="仿宋" w:hAnsi="仿宋" w:eastAsia="仿宋" w:cs="仿宋"/>
          <w:color w:val="auto"/>
        </w:rPr>
        <w:br w:type="textWrapping"/>
      </w:r>
      <w:r>
        <w:rPr>
          <w:rFonts w:hint="eastAsia" w:ascii="仿宋" w:hAnsi="仿宋" w:eastAsia="仿宋" w:cs="仿宋"/>
          <w:color w:val="auto"/>
        </w:rPr>
        <w:t xml:space="preserve"> </w:t>
      </w:r>
      <w:r>
        <w:rPr>
          <w:rFonts w:hint="eastAsia" w:ascii="仿宋" w:hAnsi="仿宋" w:eastAsia="仿宋" w:cs="仿宋"/>
          <w:color w:val="auto"/>
        </w:rPr>
        <w:t>二○二六年制</w:t>
      </w:r>
    </w:p>
    <w:p w14:paraId="7FEE23F4">
      <w:pPr>
        <w:pageBreakBefore w:val="0"/>
        <w:widowControl/>
        <w:kinsoku/>
        <w:overflowPunct/>
        <w:topLinePunct w:val="0"/>
        <w:autoSpaceDE/>
        <w:autoSpaceDN/>
        <w:bidi w:val="0"/>
        <w:adjustRightInd/>
        <w:snapToGrid/>
        <w:spacing w:after="0" w:line="360" w:lineRule="auto"/>
        <w:textAlignment w:val="auto"/>
        <w:rPr>
          <w:rFonts w:hint="eastAsia" w:ascii="仿宋" w:hAnsi="仿宋" w:eastAsia="仿宋" w:cs="仿宋"/>
          <w:color w:val="auto"/>
        </w:rPr>
      </w:pPr>
      <w:r>
        <w:rPr>
          <w:rFonts w:hint="eastAsia" w:ascii="仿宋" w:hAnsi="仿宋" w:eastAsia="仿宋" w:cs="仿宋"/>
          <w:color w:val="auto"/>
        </w:rPr>
        <w:pict>
          <v:rect id="_x0000_i1025" o:spt="1" style="height:1.5pt;width:0pt;" coordsize="21600,21600" o:hr="t" o:hrstd="t" o:hralign="center">
            <v:path/>
            <v:fill focussize="0,0"/>
            <v:stroke/>
            <v:imagedata o:title=""/>
            <o:lock v:ext="edit"/>
            <w10:wrap type="none"/>
            <w10:anchorlock/>
          </v:rect>
        </w:pict>
      </w:r>
    </w:p>
    <w:p w14:paraId="2B765BA9">
      <w:pPr>
        <w:pStyle w:val="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bookmarkStart w:id="1" w:name="目录"/>
      <w:r>
        <w:rPr>
          <w:rFonts w:hint="eastAsia" w:ascii="仿宋" w:hAnsi="仿宋" w:eastAsia="仿宋" w:cs="仿宋"/>
          <w:color w:val="auto"/>
        </w:rPr>
        <w:t>目录</w:t>
      </w:r>
    </w:p>
    <w:p w14:paraId="7C87BFAB">
      <w:pPr>
        <w:pageBreakBefore w:val="0"/>
        <w:widowControl/>
        <w:numPr>
          <w:ilvl w:val="0"/>
          <w:numId w:val="1"/>
        </w:numPr>
        <w:kinsoku/>
        <w:overflowPunct/>
        <w:topLinePunct w:val="0"/>
        <w:autoSpaceDE/>
        <w:autoSpaceDN/>
        <w:bidi w:val="0"/>
        <w:adjustRightInd/>
        <w:snapToGrid/>
        <w:spacing w:after="0" w:line="360" w:lineRule="auto"/>
        <w:textAlignment w:val="auto"/>
        <w:rPr>
          <w:rFonts w:hint="eastAsia" w:ascii="仿宋" w:hAnsi="仿宋" w:eastAsia="仿宋" w:cs="仿宋"/>
          <w:color w:val="auto"/>
        </w:rPr>
      </w:pPr>
      <w:r>
        <w:rPr>
          <w:rFonts w:hint="eastAsia" w:ascii="仿宋" w:hAnsi="仿宋" w:eastAsia="仿宋" w:cs="仿宋"/>
          <w:color w:val="auto"/>
        </w:rPr>
        <w:fldChar w:fldCharType="begin"/>
      </w:r>
      <w:r>
        <w:rPr>
          <w:rFonts w:hint="eastAsia" w:ascii="仿宋" w:hAnsi="仿宋" w:eastAsia="仿宋" w:cs="仿宋"/>
          <w:color w:val="auto"/>
        </w:rPr>
        <w:instrText xml:space="preserve"> HYPERLINK \l "X96b8a95e7cc038b94608d592798dd79fc136dee" \h </w:instrText>
      </w:r>
      <w:r>
        <w:rPr>
          <w:rFonts w:hint="eastAsia" w:ascii="仿宋" w:hAnsi="仿宋" w:eastAsia="仿宋" w:cs="仿宋"/>
          <w:color w:val="auto"/>
        </w:rPr>
        <w:fldChar w:fldCharType="separate"/>
      </w:r>
      <w:r>
        <w:rPr>
          <w:rStyle w:val="20"/>
          <w:rFonts w:hint="eastAsia" w:ascii="仿宋" w:hAnsi="仿宋" w:eastAsia="仿宋" w:cs="仿宋"/>
          <w:color w:val="auto"/>
        </w:rPr>
        <w:t>立项的背景和意义</w:t>
      </w:r>
      <w:r>
        <w:rPr>
          <w:rStyle w:val="20"/>
          <w:rFonts w:hint="eastAsia" w:ascii="仿宋" w:hAnsi="仿宋" w:eastAsia="仿宋" w:cs="仿宋"/>
          <w:color w:val="auto"/>
        </w:rPr>
        <w:fldChar w:fldCharType="end"/>
      </w:r>
    </w:p>
    <w:p w14:paraId="7143C18E">
      <w:pPr>
        <w:pageBreakBefore w:val="0"/>
        <w:widowControl/>
        <w:numPr>
          <w:ilvl w:val="0"/>
          <w:numId w:val="1"/>
        </w:numPr>
        <w:kinsoku/>
        <w:overflowPunct/>
        <w:topLinePunct w:val="0"/>
        <w:autoSpaceDE/>
        <w:autoSpaceDN/>
        <w:bidi w:val="0"/>
        <w:adjustRightInd/>
        <w:snapToGrid/>
        <w:spacing w:after="0" w:line="360" w:lineRule="auto"/>
        <w:textAlignment w:val="auto"/>
        <w:rPr>
          <w:rFonts w:hint="eastAsia" w:ascii="仿宋" w:hAnsi="仿宋" w:eastAsia="仿宋" w:cs="仿宋"/>
          <w:color w:val="auto"/>
        </w:rPr>
      </w:pPr>
      <w:r>
        <w:rPr>
          <w:rFonts w:hint="eastAsia" w:ascii="仿宋" w:hAnsi="仿宋" w:eastAsia="仿宋" w:cs="仿宋"/>
          <w:color w:val="auto"/>
        </w:rPr>
        <w:fldChar w:fldCharType="begin"/>
      </w:r>
      <w:r>
        <w:rPr>
          <w:rFonts w:hint="eastAsia" w:ascii="仿宋" w:hAnsi="仿宋" w:eastAsia="仿宋" w:cs="仿宋"/>
          <w:color w:val="auto"/>
        </w:rPr>
        <w:instrText xml:space="preserve"> HYPERLINK \l "Xf524ad254c3f893e2b57fc14e78f173c02b5f82" \h </w:instrText>
      </w:r>
      <w:r>
        <w:rPr>
          <w:rFonts w:hint="eastAsia" w:ascii="仿宋" w:hAnsi="仿宋" w:eastAsia="仿宋" w:cs="仿宋"/>
          <w:color w:val="auto"/>
        </w:rPr>
        <w:fldChar w:fldCharType="separate"/>
      </w:r>
      <w:r>
        <w:rPr>
          <w:rStyle w:val="20"/>
          <w:rFonts w:hint="eastAsia" w:ascii="仿宋" w:hAnsi="仿宋" w:eastAsia="仿宋" w:cs="仿宋"/>
          <w:color w:val="auto"/>
        </w:rPr>
        <w:t>国内外研究现状和发展趋势</w:t>
      </w:r>
      <w:r>
        <w:rPr>
          <w:rStyle w:val="20"/>
          <w:rFonts w:hint="eastAsia" w:ascii="仿宋" w:hAnsi="仿宋" w:eastAsia="仿宋" w:cs="仿宋"/>
          <w:color w:val="auto"/>
        </w:rPr>
        <w:fldChar w:fldCharType="end"/>
      </w:r>
    </w:p>
    <w:p w14:paraId="6965EBC2">
      <w:pPr>
        <w:pageBreakBefore w:val="0"/>
        <w:widowControl/>
        <w:numPr>
          <w:ilvl w:val="0"/>
          <w:numId w:val="1"/>
        </w:numPr>
        <w:kinsoku/>
        <w:overflowPunct/>
        <w:topLinePunct w:val="0"/>
        <w:autoSpaceDE/>
        <w:autoSpaceDN/>
        <w:bidi w:val="0"/>
        <w:adjustRightInd/>
        <w:snapToGrid/>
        <w:spacing w:after="0" w:line="360" w:lineRule="auto"/>
        <w:textAlignment w:val="auto"/>
        <w:rPr>
          <w:rFonts w:hint="eastAsia" w:ascii="仿宋" w:hAnsi="仿宋" w:eastAsia="仿宋" w:cs="仿宋"/>
          <w:color w:val="auto"/>
        </w:rPr>
      </w:pPr>
      <w:r>
        <w:rPr>
          <w:rFonts w:hint="eastAsia" w:ascii="仿宋" w:hAnsi="仿宋" w:eastAsia="仿宋" w:cs="仿宋"/>
          <w:color w:val="auto"/>
        </w:rPr>
        <w:fldChar w:fldCharType="begin"/>
      </w:r>
      <w:r>
        <w:rPr>
          <w:rFonts w:hint="eastAsia" w:ascii="仿宋" w:hAnsi="仿宋" w:eastAsia="仿宋" w:cs="仿宋"/>
          <w:color w:val="auto"/>
        </w:rPr>
        <w:instrText xml:space="preserve"> HYPERLINK \l "X1e804e1a7f9fd70902981830e99f7007b01f721" \h </w:instrText>
      </w:r>
      <w:r>
        <w:rPr>
          <w:rFonts w:hint="eastAsia" w:ascii="仿宋" w:hAnsi="仿宋" w:eastAsia="仿宋" w:cs="仿宋"/>
          <w:color w:val="auto"/>
        </w:rPr>
        <w:fldChar w:fldCharType="separate"/>
      </w:r>
      <w:r>
        <w:rPr>
          <w:rStyle w:val="20"/>
          <w:rFonts w:hint="eastAsia" w:ascii="仿宋" w:hAnsi="仿宋" w:eastAsia="仿宋" w:cs="仿宋"/>
          <w:color w:val="auto"/>
        </w:rPr>
        <w:t>研究开发内容和关键技术</w:t>
      </w:r>
      <w:r>
        <w:rPr>
          <w:rStyle w:val="20"/>
          <w:rFonts w:hint="eastAsia" w:ascii="仿宋" w:hAnsi="仿宋" w:eastAsia="仿宋" w:cs="仿宋"/>
          <w:color w:val="auto"/>
        </w:rPr>
        <w:fldChar w:fldCharType="end"/>
      </w:r>
    </w:p>
    <w:p w14:paraId="64DF2489">
      <w:pPr>
        <w:pageBreakBefore w:val="0"/>
        <w:widowControl/>
        <w:numPr>
          <w:ilvl w:val="0"/>
          <w:numId w:val="1"/>
        </w:numPr>
        <w:kinsoku/>
        <w:overflowPunct/>
        <w:topLinePunct w:val="0"/>
        <w:autoSpaceDE/>
        <w:autoSpaceDN/>
        <w:bidi w:val="0"/>
        <w:adjustRightInd/>
        <w:snapToGrid/>
        <w:spacing w:after="0" w:line="360" w:lineRule="auto"/>
        <w:textAlignment w:val="auto"/>
        <w:rPr>
          <w:rFonts w:hint="eastAsia" w:ascii="仿宋" w:hAnsi="仿宋" w:eastAsia="仿宋" w:cs="仿宋"/>
          <w:color w:val="auto"/>
        </w:rPr>
      </w:pPr>
      <w:r>
        <w:rPr>
          <w:rFonts w:hint="eastAsia" w:ascii="仿宋" w:hAnsi="仿宋" w:eastAsia="仿宋" w:cs="仿宋"/>
          <w:color w:val="auto"/>
        </w:rPr>
        <w:fldChar w:fldCharType="begin"/>
      </w:r>
      <w:r>
        <w:rPr>
          <w:rFonts w:hint="eastAsia" w:ascii="仿宋" w:hAnsi="仿宋" w:eastAsia="仿宋" w:cs="仿宋"/>
          <w:color w:val="auto"/>
        </w:rPr>
        <w:instrText xml:space="preserve"> HYPERLINK \l "X7887610dfe0251be71d1e95f455df00066f2e58" \h </w:instrText>
      </w:r>
      <w:r>
        <w:rPr>
          <w:rFonts w:hint="eastAsia" w:ascii="仿宋" w:hAnsi="仿宋" w:eastAsia="仿宋" w:cs="仿宋"/>
          <w:color w:val="auto"/>
        </w:rPr>
        <w:fldChar w:fldCharType="separate"/>
      </w:r>
      <w:r>
        <w:rPr>
          <w:rStyle w:val="20"/>
          <w:rFonts w:hint="eastAsia" w:ascii="仿宋" w:hAnsi="仿宋" w:eastAsia="仿宋" w:cs="仿宋"/>
          <w:color w:val="auto"/>
        </w:rPr>
        <w:t>预期目标</w:t>
      </w:r>
      <w:r>
        <w:rPr>
          <w:rStyle w:val="20"/>
          <w:rFonts w:hint="eastAsia" w:ascii="仿宋" w:hAnsi="仿宋" w:eastAsia="仿宋" w:cs="仿宋"/>
          <w:color w:val="auto"/>
        </w:rPr>
        <w:fldChar w:fldCharType="end"/>
      </w:r>
    </w:p>
    <w:p w14:paraId="3979FF45">
      <w:pPr>
        <w:pageBreakBefore w:val="0"/>
        <w:widowControl/>
        <w:numPr>
          <w:ilvl w:val="0"/>
          <w:numId w:val="1"/>
        </w:numPr>
        <w:kinsoku/>
        <w:overflowPunct/>
        <w:topLinePunct w:val="0"/>
        <w:autoSpaceDE/>
        <w:autoSpaceDN/>
        <w:bidi w:val="0"/>
        <w:adjustRightInd/>
        <w:snapToGrid/>
        <w:spacing w:after="0" w:line="360" w:lineRule="auto"/>
        <w:textAlignment w:val="auto"/>
        <w:rPr>
          <w:rFonts w:hint="eastAsia" w:ascii="仿宋" w:hAnsi="仿宋" w:eastAsia="仿宋" w:cs="仿宋"/>
          <w:color w:val="auto"/>
        </w:rPr>
      </w:pPr>
      <w:r>
        <w:rPr>
          <w:rFonts w:hint="eastAsia" w:ascii="仿宋" w:hAnsi="仿宋" w:eastAsia="仿宋" w:cs="仿宋"/>
          <w:color w:val="auto"/>
        </w:rPr>
        <w:fldChar w:fldCharType="begin"/>
      </w:r>
      <w:r>
        <w:rPr>
          <w:rFonts w:hint="eastAsia" w:ascii="仿宋" w:hAnsi="仿宋" w:eastAsia="仿宋" w:cs="仿宋"/>
          <w:color w:val="auto"/>
        </w:rPr>
        <w:instrText xml:space="preserve"> HYPERLINK \l "X7b91de6ad754209c93cd5f348cea058be2a5208" \h </w:instrText>
      </w:r>
      <w:r>
        <w:rPr>
          <w:rFonts w:hint="eastAsia" w:ascii="仿宋" w:hAnsi="仿宋" w:eastAsia="仿宋" w:cs="仿宋"/>
          <w:color w:val="auto"/>
        </w:rPr>
        <w:fldChar w:fldCharType="separate"/>
      </w:r>
      <w:r>
        <w:rPr>
          <w:rStyle w:val="20"/>
          <w:rFonts w:hint="eastAsia" w:ascii="仿宋" w:hAnsi="仿宋" w:eastAsia="仿宋" w:cs="仿宋"/>
          <w:color w:val="auto"/>
        </w:rPr>
        <w:t>研究方案、技术路线、计划进度安排</w:t>
      </w:r>
      <w:r>
        <w:rPr>
          <w:rStyle w:val="20"/>
          <w:rFonts w:hint="eastAsia" w:ascii="仿宋" w:hAnsi="仿宋" w:eastAsia="仿宋" w:cs="仿宋"/>
          <w:color w:val="auto"/>
        </w:rPr>
        <w:fldChar w:fldCharType="end"/>
      </w:r>
    </w:p>
    <w:p w14:paraId="242B03B1">
      <w:pPr>
        <w:pageBreakBefore w:val="0"/>
        <w:widowControl/>
        <w:numPr>
          <w:ilvl w:val="0"/>
          <w:numId w:val="1"/>
        </w:numPr>
        <w:kinsoku/>
        <w:overflowPunct/>
        <w:topLinePunct w:val="0"/>
        <w:autoSpaceDE/>
        <w:autoSpaceDN/>
        <w:bidi w:val="0"/>
        <w:adjustRightInd/>
        <w:snapToGrid/>
        <w:spacing w:after="0" w:line="360" w:lineRule="auto"/>
        <w:textAlignment w:val="auto"/>
        <w:rPr>
          <w:rFonts w:hint="eastAsia" w:ascii="仿宋" w:hAnsi="仿宋" w:eastAsia="仿宋" w:cs="仿宋"/>
          <w:color w:val="auto"/>
        </w:rPr>
      </w:pPr>
      <w:r>
        <w:rPr>
          <w:rFonts w:hint="eastAsia" w:ascii="仿宋" w:hAnsi="仿宋" w:eastAsia="仿宋" w:cs="仿宋"/>
          <w:color w:val="auto"/>
        </w:rPr>
        <w:fldChar w:fldCharType="begin"/>
      </w:r>
      <w:r>
        <w:rPr>
          <w:rFonts w:hint="eastAsia" w:ascii="仿宋" w:hAnsi="仿宋" w:eastAsia="仿宋" w:cs="仿宋"/>
          <w:color w:val="auto"/>
        </w:rPr>
        <w:instrText xml:space="preserve"> HYPERLINK \l "X6aba83cf09559632d4e598f26def080a0960fa7" \h </w:instrText>
      </w:r>
      <w:r>
        <w:rPr>
          <w:rFonts w:hint="eastAsia" w:ascii="仿宋" w:hAnsi="仿宋" w:eastAsia="仿宋" w:cs="仿宋"/>
          <w:color w:val="auto"/>
        </w:rPr>
        <w:fldChar w:fldCharType="separate"/>
      </w:r>
      <w:r>
        <w:rPr>
          <w:rStyle w:val="20"/>
          <w:rFonts w:hint="eastAsia" w:ascii="仿宋" w:hAnsi="仿宋" w:eastAsia="仿宋" w:cs="仿宋"/>
          <w:color w:val="auto"/>
        </w:rPr>
        <w:t>现有工作基础和条件</w:t>
      </w:r>
      <w:r>
        <w:rPr>
          <w:rStyle w:val="20"/>
          <w:rFonts w:hint="eastAsia" w:ascii="仿宋" w:hAnsi="仿宋" w:eastAsia="仿宋" w:cs="仿宋"/>
          <w:color w:val="auto"/>
        </w:rPr>
        <w:fldChar w:fldCharType="end"/>
      </w:r>
    </w:p>
    <w:p w14:paraId="049D4953">
      <w:pPr>
        <w:pageBreakBefore w:val="0"/>
        <w:widowControl/>
        <w:numPr>
          <w:ilvl w:val="0"/>
          <w:numId w:val="1"/>
        </w:numPr>
        <w:kinsoku/>
        <w:overflowPunct/>
        <w:topLinePunct w:val="0"/>
        <w:autoSpaceDE/>
        <w:autoSpaceDN/>
        <w:bidi w:val="0"/>
        <w:adjustRightInd/>
        <w:snapToGrid/>
        <w:spacing w:after="0" w:line="360" w:lineRule="auto"/>
        <w:textAlignment w:val="auto"/>
        <w:rPr>
          <w:rFonts w:hint="eastAsia" w:ascii="仿宋" w:hAnsi="仿宋" w:eastAsia="仿宋" w:cs="仿宋"/>
          <w:color w:val="auto"/>
        </w:rPr>
      </w:pPr>
      <w:r>
        <w:rPr>
          <w:rFonts w:hint="eastAsia" w:ascii="仿宋" w:hAnsi="仿宋" w:eastAsia="仿宋" w:cs="仿宋"/>
          <w:color w:val="auto"/>
        </w:rPr>
        <w:fldChar w:fldCharType="begin"/>
      </w:r>
      <w:r>
        <w:rPr>
          <w:rFonts w:hint="eastAsia" w:ascii="仿宋" w:hAnsi="仿宋" w:eastAsia="仿宋" w:cs="仿宋"/>
          <w:color w:val="auto"/>
        </w:rPr>
        <w:instrText xml:space="preserve"> HYPERLINK \l "X6f19dca51cf4eb146e22be2961f8ca898d7e121" \h </w:instrText>
      </w:r>
      <w:r>
        <w:rPr>
          <w:rFonts w:hint="eastAsia" w:ascii="仿宋" w:hAnsi="仿宋" w:eastAsia="仿宋" w:cs="仿宋"/>
          <w:color w:val="auto"/>
        </w:rPr>
        <w:fldChar w:fldCharType="separate"/>
      </w:r>
      <w:r>
        <w:rPr>
          <w:rStyle w:val="20"/>
          <w:rFonts w:hint="eastAsia" w:ascii="仿宋" w:hAnsi="仿宋" w:eastAsia="仿宋" w:cs="仿宋"/>
          <w:color w:val="auto"/>
        </w:rPr>
        <w:t>经费预算</w:t>
      </w:r>
      <w:r>
        <w:rPr>
          <w:rStyle w:val="20"/>
          <w:rFonts w:hint="eastAsia" w:ascii="仿宋" w:hAnsi="仿宋" w:eastAsia="仿宋" w:cs="仿宋"/>
          <w:color w:val="auto"/>
        </w:rPr>
        <w:fldChar w:fldCharType="end"/>
      </w:r>
    </w:p>
    <w:p w14:paraId="33D0DDF8">
      <w:pPr>
        <w:pageBreakBefore w:val="0"/>
        <w:widowControl/>
        <w:kinsoku/>
        <w:overflowPunct/>
        <w:topLinePunct w:val="0"/>
        <w:autoSpaceDE/>
        <w:autoSpaceDN/>
        <w:bidi w:val="0"/>
        <w:adjustRightInd/>
        <w:snapToGrid/>
        <w:spacing w:after="0" w:line="360" w:lineRule="auto"/>
        <w:textAlignment w:val="auto"/>
        <w:rPr>
          <w:rFonts w:hint="eastAsia" w:ascii="仿宋" w:hAnsi="仿宋" w:eastAsia="仿宋" w:cs="仿宋"/>
          <w:color w:val="auto"/>
        </w:rPr>
      </w:pPr>
      <w:r>
        <w:rPr>
          <w:rFonts w:hint="eastAsia" w:ascii="仿宋" w:hAnsi="仿宋" w:eastAsia="仿宋" w:cs="仿宋"/>
          <w:color w:val="auto"/>
        </w:rPr>
        <w:pict>
          <v:rect id="_x0000_i1026" o:spt="1" style="height:1.5pt;width:0pt;" coordsize="21600,21600" o:hr="t" o:hrstd="t" o:hralign="center">
            <v:path/>
            <v:fill focussize="0,0"/>
            <v:stroke/>
            <v:imagedata o:title=""/>
            <o:lock v:ext="edit"/>
            <w10:wrap type="none"/>
            <w10:anchorlock/>
          </v:rect>
        </w:pict>
      </w:r>
    </w:p>
    <w:bookmarkEnd w:id="1"/>
    <w:p w14:paraId="48F20A90">
      <w:pPr>
        <w:pStyle w:val="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bookmarkStart w:id="2" w:name="X96b8a95e7cc038b94608d592798dd79fc136dee"/>
      <w:r>
        <w:rPr>
          <w:rFonts w:hint="eastAsia" w:ascii="仿宋" w:hAnsi="仿宋" w:eastAsia="仿宋" w:cs="仿宋"/>
          <w:color w:val="auto"/>
        </w:rPr>
        <w:t xml:space="preserve">1. </w:t>
      </w:r>
      <w:r>
        <w:rPr>
          <w:rFonts w:hint="eastAsia" w:ascii="仿宋" w:hAnsi="仿宋" w:eastAsia="仿宋" w:cs="仿宋"/>
          <w:color w:val="auto"/>
        </w:rPr>
        <w:t>立项的背景和意义</w:t>
      </w:r>
    </w:p>
    <w:p w14:paraId="0A68A649">
      <w:pPr>
        <w:pStyle w:val="5"/>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bookmarkStart w:id="3" w:name="Xd96b30a6b5826ad98778d563682e53f5248780b"/>
      <w:r>
        <w:rPr>
          <w:rFonts w:hint="eastAsia" w:ascii="仿宋" w:hAnsi="仿宋" w:eastAsia="仿宋" w:cs="仿宋"/>
          <w:color w:val="auto"/>
        </w:rPr>
        <w:t xml:space="preserve">1.1 </w:t>
      </w:r>
      <w:r>
        <w:rPr>
          <w:rFonts w:hint="eastAsia" w:ascii="仿宋" w:hAnsi="仿宋" w:eastAsia="仿宋" w:cs="仿宋"/>
          <w:color w:val="auto"/>
        </w:rPr>
        <w:t>产业背景</w:t>
      </w:r>
    </w:p>
    <w:p w14:paraId="0B23CCEB">
      <w:pPr>
        <w:pStyle w:val="23"/>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 xml:space="preserve"> </w:t>
      </w:r>
      <w:r>
        <w:rPr>
          <w:rFonts w:hint="eastAsia" w:ascii="仿宋" w:hAnsi="仿宋" w:eastAsia="仿宋" w:cs="仿宋"/>
          <w:color w:val="auto"/>
          <w:lang w:val="en-US" w:eastAsia="zh-CN"/>
        </w:rPr>
        <w:t xml:space="preserve">   </w:t>
      </w:r>
      <w:r>
        <w:rPr>
          <w:rFonts w:hint="eastAsia" w:ascii="仿宋" w:hAnsi="仿宋" w:eastAsia="仿宋" w:cs="仿宋"/>
          <w:color w:val="auto"/>
        </w:rPr>
        <w:t>变压器是电力系统最关键的基础设备之一，广泛应用于发电、输电、配电和用电各环节。我国是全球最大的变压器生产国和消费市场，年产值超过1500亿元，温州地区作为电气装备制造产业集群核心区域，集聚了正泰、天正、法拉迪等一批骨干企业，形成了较为完整的产业链配套体系。</w:t>
      </w:r>
    </w:p>
    <w:p w14:paraId="5F7FCACE">
      <w:pPr>
        <w:pStyle w:val="3"/>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 xml:space="preserve"> </w:t>
      </w:r>
      <w:r>
        <w:rPr>
          <w:rFonts w:hint="eastAsia" w:ascii="仿宋" w:hAnsi="仿宋" w:eastAsia="仿宋" w:cs="仿宋"/>
          <w:color w:val="auto"/>
          <w:lang w:val="en-US" w:eastAsia="zh-CN"/>
        </w:rPr>
        <w:t xml:space="preserve">      </w:t>
      </w:r>
      <w:r>
        <w:rPr>
          <w:rFonts w:hint="eastAsia" w:ascii="仿宋" w:hAnsi="仿宋" w:eastAsia="仿宋" w:cs="仿宋"/>
          <w:color w:val="auto"/>
        </w:rPr>
        <w:t>当前变压器行业面临三大核心矛盾：</w:t>
      </w:r>
    </w:p>
    <w:p w14:paraId="32606384">
      <w:pPr>
        <w:pStyle w:val="3"/>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 xml:space="preserve"> </w:t>
      </w:r>
      <w:r>
        <w:rPr>
          <w:rFonts w:hint="eastAsia" w:ascii="仿宋" w:hAnsi="仿宋" w:eastAsia="仿宋" w:cs="仿宋"/>
          <w:color w:val="auto"/>
          <w:lang w:val="en-US" w:eastAsia="zh-CN"/>
        </w:rPr>
        <w:t xml:space="preserve">   </w:t>
      </w:r>
      <w:r>
        <w:rPr>
          <w:rFonts w:hint="eastAsia" w:ascii="仿宋" w:hAnsi="仿宋" w:eastAsia="仿宋" w:cs="仿宋"/>
          <w:b/>
          <w:bCs/>
          <w:color w:val="auto"/>
        </w:rPr>
        <w:t>第一，定制化报价与响应速度的矛盾。</w:t>
      </w:r>
      <w:r>
        <w:rPr>
          <w:rFonts w:hint="eastAsia" w:ascii="仿宋" w:hAnsi="仿宋" w:eastAsia="仿宋" w:cs="仿宋"/>
          <w:color w:val="auto"/>
        </w:rPr>
        <w:t xml:space="preserve"> </w:t>
      </w:r>
      <w:r>
        <w:rPr>
          <w:rFonts w:hint="eastAsia" w:ascii="仿宋" w:hAnsi="仿宋" w:eastAsia="仿宋" w:cs="仿宋"/>
          <w:color w:val="auto"/>
        </w:rPr>
        <w:t>变压器产品属于多品种、小批量定制化模式，每个客户需求不同，从技术评审、方案设计、BOM拆解到成本核算，全过程高度依赖资深工程师的经验判断。行业调研显示，企业从接到客户需求到输出报价平均需要7-15个工作日，而客户通常同时向3-5家供应商询价，先回复方案的一方赢面更大——报价响应超时导致的丢单率高达15-30%。这一问题在法拉迪等温州本土企业中同样突出，严重制约了市场拓展和客户体验。</w:t>
      </w:r>
    </w:p>
    <w:p w14:paraId="392D477E">
      <w:pPr>
        <w:pStyle w:val="3"/>
        <w:pageBreakBefore w:val="0"/>
        <w:widowControl/>
        <w:kinsoku/>
        <w:overflowPunct/>
        <w:topLinePunct w:val="0"/>
        <w:autoSpaceDE/>
        <w:autoSpaceDN/>
        <w:bidi w:val="0"/>
        <w:adjustRightInd/>
        <w:snapToGrid/>
        <w:spacing w:before="0" w:after="0" w:line="360" w:lineRule="auto"/>
        <w:ind w:firstLine="482" w:firstLineChars="200"/>
        <w:textAlignment w:val="auto"/>
        <w:rPr>
          <w:rFonts w:hint="eastAsia" w:ascii="仿宋" w:hAnsi="仿宋" w:eastAsia="仿宋" w:cs="仿宋"/>
          <w:color w:val="auto"/>
        </w:rPr>
      </w:pPr>
      <w:r>
        <w:rPr>
          <w:rFonts w:hint="eastAsia" w:ascii="仿宋" w:hAnsi="仿宋" w:eastAsia="仿宋" w:cs="仿宋"/>
          <w:b/>
          <w:bCs/>
          <w:color w:val="auto"/>
        </w:rPr>
        <w:t>第二，生产过程管控与质量一致性的矛盾。</w:t>
      </w:r>
      <w:r>
        <w:rPr>
          <w:rFonts w:hint="eastAsia" w:ascii="仿宋" w:hAnsi="仿宋" w:eastAsia="仿宋" w:cs="仿宋"/>
          <w:color w:val="auto"/>
        </w:rPr>
        <w:t xml:space="preserve"> </w:t>
      </w:r>
      <w:r>
        <w:rPr>
          <w:rFonts w:hint="eastAsia" w:ascii="仿宋" w:hAnsi="仿宋" w:eastAsia="仿宋" w:cs="仿宋"/>
          <w:color w:val="auto"/>
        </w:rPr>
        <w:t>变压器制造涉及绕线、烘干、浸漆、装配、检测等多道工序，工艺参数高度耦合，任何一个环节的偏差都会影响成品质量。当前多数企业依赖人工巡检和事后检测，缺乏实时工艺参数感知与质量预测能力。局部放电、绝缘缺陷等隐患往往到出厂检测或投运后才暴露，返工成本和客户信任损失巨大。</w:t>
      </w:r>
    </w:p>
    <w:p w14:paraId="6FF848DB">
      <w:pPr>
        <w:pStyle w:val="3"/>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 xml:space="preserve"> </w:t>
      </w:r>
      <w:r>
        <w:rPr>
          <w:rFonts w:hint="eastAsia" w:ascii="仿宋" w:hAnsi="仿宋" w:eastAsia="仿宋" w:cs="仿宋"/>
          <w:color w:val="auto"/>
          <w:lang w:val="en-US" w:eastAsia="zh-CN"/>
        </w:rPr>
        <w:t xml:space="preserve">   </w:t>
      </w:r>
      <w:r>
        <w:rPr>
          <w:rFonts w:hint="eastAsia" w:ascii="仿宋" w:hAnsi="仿宋" w:eastAsia="仿宋" w:cs="仿宋"/>
          <w:b/>
          <w:bCs/>
          <w:color w:val="auto"/>
        </w:rPr>
        <w:t>第三，产品交付与全生命周期运维的脱节。</w:t>
      </w:r>
      <w:r>
        <w:rPr>
          <w:rFonts w:hint="eastAsia" w:ascii="仿宋" w:hAnsi="仿宋" w:eastAsia="仿宋" w:cs="仿宋"/>
          <w:color w:val="auto"/>
        </w:rPr>
        <w:t xml:space="preserve"> </w:t>
      </w:r>
      <w:r>
        <w:rPr>
          <w:rFonts w:hint="eastAsia" w:ascii="仿宋" w:hAnsi="仿宋" w:eastAsia="仿宋" w:cs="仿宋"/>
          <w:color w:val="auto"/>
        </w:rPr>
        <w:t>变压器设计寿命通常为20-30年，但实际运行中因缺乏有效的在线监测手段，大量设备处于"坏了大修"的被动运维模式。局部放电、油中溶解气体变化等早期故障征兆无法被及时发现，突发停电事故造成的经济损失和社会影响远超设备本身价值。</w:t>
      </w:r>
    </w:p>
    <w:p w14:paraId="43B582B4">
      <w:pPr>
        <w:pStyle w:val="3"/>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 xml:space="preserve"> </w:t>
      </w:r>
      <w:r>
        <w:rPr>
          <w:rFonts w:hint="eastAsia" w:ascii="仿宋" w:hAnsi="仿宋" w:eastAsia="仿宋" w:cs="仿宋"/>
          <w:color w:val="auto"/>
          <w:lang w:val="en-US" w:eastAsia="zh-CN"/>
        </w:rPr>
        <w:t xml:space="preserve">       </w:t>
      </w:r>
      <w:r>
        <w:rPr>
          <w:rFonts w:hint="eastAsia" w:ascii="仿宋" w:hAnsi="仿宋" w:eastAsia="仿宋" w:cs="仿宋"/>
          <w:color w:val="auto"/>
        </w:rPr>
        <w:t>以上三个问题贯穿变压器"报价→设计→制造→运维"全生命周期，任何一个环节的短板都会降低企业整体竞争力。单一环节的数字化改造无法从根本上解决问题，必须从全流程一体化视角进行系统性攻关。</w:t>
      </w:r>
    </w:p>
    <w:bookmarkEnd w:id="3"/>
    <w:p w14:paraId="3BD61C8D">
      <w:pPr>
        <w:pStyle w:val="5"/>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bookmarkStart w:id="4" w:name="Xe95bae10b06ef758df719f6773e05c93d1806ab"/>
      <w:r>
        <w:rPr>
          <w:rFonts w:hint="eastAsia" w:ascii="仿宋" w:hAnsi="仿宋" w:eastAsia="仿宋" w:cs="仿宋"/>
          <w:color w:val="auto"/>
        </w:rPr>
        <w:t xml:space="preserve">1.2 </w:t>
      </w:r>
      <w:r>
        <w:rPr>
          <w:rFonts w:hint="eastAsia" w:ascii="仿宋" w:hAnsi="仿宋" w:eastAsia="仿宋" w:cs="仿宋"/>
          <w:color w:val="auto"/>
        </w:rPr>
        <w:t>政策契合度</w:t>
      </w:r>
    </w:p>
    <w:p w14:paraId="3C79D87D">
      <w:pPr>
        <w:pStyle w:val="23"/>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 xml:space="preserve"> </w:t>
      </w:r>
      <w:r>
        <w:rPr>
          <w:rFonts w:hint="eastAsia" w:ascii="仿宋" w:hAnsi="仿宋" w:eastAsia="仿宋" w:cs="仿宋"/>
          <w:color w:val="auto"/>
          <w:lang w:val="en-US" w:eastAsia="zh-CN"/>
        </w:rPr>
        <w:t xml:space="preserve">    </w:t>
      </w:r>
      <w:r>
        <w:rPr>
          <w:rFonts w:hint="eastAsia" w:ascii="仿宋" w:hAnsi="仿宋" w:eastAsia="仿宋" w:cs="仿宋"/>
          <w:color w:val="auto"/>
        </w:rPr>
        <w:t>本项目完全符合2026年度温州市创新联合体备案及重大科技攻关项目申报要求：</w:t>
      </w:r>
    </w:p>
    <w:p w14:paraId="4D584255">
      <w:pPr>
        <w:pageBreakBefore w:val="0"/>
        <w:widowControl/>
        <w:numPr>
          <w:ilvl w:val="0"/>
          <w:numId w:val="2"/>
        </w:numPr>
        <w:kinsoku/>
        <w:overflowPunct/>
        <w:topLinePunct w:val="0"/>
        <w:autoSpaceDE/>
        <w:autoSpaceDN/>
        <w:bidi w:val="0"/>
        <w:adjustRightInd/>
        <w:snapToGrid/>
        <w:spacing w:after="0" w:line="360" w:lineRule="auto"/>
        <w:textAlignment w:val="auto"/>
        <w:rPr>
          <w:rFonts w:hint="eastAsia" w:ascii="仿宋" w:hAnsi="仿宋" w:eastAsia="仿宋" w:cs="仿宋"/>
          <w:color w:val="auto"/>
        </w:rPr>
      </w:pPr>
      <w:r>
        <w:rPr>
          <w:rFonts w:hint="eastAsia" w:ascii="仿宋" w:hAnsi="仿宋" w:eastAsia="仿宋" w:cs="仿宋"/>
          <w:b/>
          <w:bCs/>
          <w:color w:val="auto"/>
        </w:rPr>
        <w:t>产业方向</w:t>
      </w:r>
      <w:r>
        <w:rPr>
          <w:rFonts w:hint="eastAsia" w:ascii="仿宋" w:hAnsi="仿宋" w:eastAsia="仿宋" w:cs="仿宋"/>
          <w:color w:val="auto"/>
        </w:rPr>
        <w:t>：属于温州市"5+5+N"重点产业链中的电气产业链细分领域</w:t>
      </w:r>
    </w:p>
    <w:p w14:paraId="0050CDD1">
      <w:pPr>
        <w:pageBreakBefore w:val="0"/>
        <w:widowControl/>
        <w:numPr>
          <w:ilvl w:val="0"/>
          <w:numId w:val="2"/>
        </w:numPr>
        <w:kinsoku/>
        <w:overflowPunct/>
        <w:topLinePunct w:val="0"/>
        <w:autoSpaceDE/>
        <w:autoSpaceDN/>
        <w:bidi w:val="0"/>
        <w:adjustRightInd/>
        <w:snapToGrid/>
        <w:spacing w:after="0" w:line="360" w:lineRule="auto"/>
        <w:textAlignment w:val="auto"/>
        <w:rPr>
          <w:rFonts w:hint="eastAsia" w:ascii="仿宋" w:hAnsi="仿宋" w:eastAsia="仿宋" w:cs="仿宋"/>
          <w:color w:val="auto"/>
        </w:rPr>
      </w:pPr>
      <w:r>
        <w:rPr>
          <w:rFonts w:hint="eastAsia" w:ascii="仿宋" w:hAnsi="仿宋" w:eastAsia="仿宋" w:cs="仿宋"/>
          <w:b/>
          <w:bCs/>
          <w:color w:val="auto"/>
        </w:rPr>
        <w:t>创新联合体模式</w:t>
      </w:r>
      <w:r>
        <w:rPr>
          <w:rFonts w:hint="eastAsia" w:ascii="仿宋" w:hAnsi="仿宋" w:eastAsia="仿宋" w:cs="仿宋"/>
          <w:color w:val="auto"/>
        </w:rPr>
        <w:t>：由龙头企业法拉迪牵头，联合高校（杭电）、AI软件企业（轨物科技）、上下游企业组建，符合"强化企业创新主体地位"的要求</w:t>
      </w:r>
    </w:p>
    <w:p w14:paraId="5ED177C4">
      <w:pPr>
        <w:pageBreakBefore w:val="0"/>
        <w:widowControl/>
        <w:numPr>
          <w:ilvl w:val="0"/>
          <w:numId w:val="2"/>
        </w:numPr>
        <w:kinsoku/>
        <w:overflowPunct/>
        <w:topLinePunct w:val="0"/>
        <w:autoSpaceDE/>
        <w:autoSpaceDN/>
        <w:bidi w:val="0"/>
        <w:adjustRightInd/>
        <w:snapToGrid/>
        <w:spacing w:after="0" w:line="360" w:lineRule="auto"/>
        <w:textAlignment w:val="auto"/>
        <w:rPr>
          <w:rFonts w:hint="eastAsia" w:ascii="仿宋" w:hAnsi="仿宋" w:eastAsia="仿宋" w:cs="仿宋"/>
          <w:color w:val="auto"/>
        </w:rPr>
      </w:pPr>
      <w:r>
        <w:rPr>
          <w:rFonts w:hint="eastAsia" w:ascii="仿宋" w:hAnsi="仿宋" w:eastAsia="仿宋" w:cs="仿宋"/>
          <w:b/>
          <w:bCs/>
          <w:color w:val="auto"/>
        </w:rPr>
        <w:t>攻关定位</w:t>
      </w:r>
      <w:r>
        <w:rPr>
          <w:rFonts w:hint="eastAsia" w:ascii="仿宋" w:hAnsi="仿宋" w:eastAsia="仿宋" w:cs="仿宋"/>
          <w:color w:val="auto"/>
        </w:rPr>
        <w:t>：聚焦"技术颠覆性、前沿性、关键性"，以AI</w:t>
      </w:r>
      <w:r>
        <w:rPr>
          <w:rFonts w:hint="eastAsia" w:ascii="仿宋" w:hAnsi="仿宋" w:eastAsia="仿宋" w:cs="仿宋"/>
          <w:color w:val="auto"/>
        </w:rPr>
        <w:t xml:space="preserve"> </w:t>
      </w:r>
      <w:r>
        <w:rPr>
          <w:rFonts w:hint="eastAsia" w:ascii="仿宋" w:hAnsi="仿宋" w:eastAsia="仿宋" w:cs="仿宋"/>
          <w:color w:val="auto"/>
        </w:rPr>
        <w:t>Agent、边缘智能、数字孪生等前沿技术赋能传统变压器产业，形成产品化、场景化的标志性成果</w:t>
      </w:r>
    </w:p>
    <w:p w14:paraId="7D0683DE">
      <w:pPr>
        <w:pageBreakBefore w:val="0"/>
        <w:widowControl/>
        <w:numPr>
          <w:ilvl w:val="0"/>
          <w:numId w:val="2"/>
        </w:numPr>
        <w:kinsoku/>
        <w:overflowPunct/>
        <w:topLinePunct w:val="0"/>
        <w:autoSpaceDE/>
        <w:autoSpaceDN/>
        <w:bidi w:val="0"/>
        <w:adjustRightInd/>
        <w:snapToGrid/>
        <w:spacing w:after="0" w:line="360" w:lineRule="auto"/>
        <w:textAlignment w:val="auto"/>
        <w:rPr>
          <w:rFonts w:hint="eastAsia" w:ascii="仿宋" w:hAnsi="仿宋" w:eastAsia="仿宋" w:cs="仿宋"/>
          <w:color w:val="auto"/>
        </w:rPr>
      </w:pPr>
      <w:r>
        <w:rPr>
          <w:rFonts w:hint="eastAsia" w:ascii="仿宋" w:hAnsi="仿宋" w:eastAsia="仿宋" w:cs="仿宋"/>
          <w:b/>
          <w:bCs/>
          <w:color w:val="auto"/>
        </w:rPr>
        <w:t>资金配比</w:t>
      </w:r>
      <w:r>
        <w:rPr>
          <w:rFonts w:hint="eastAsia" w:ascii="仿宋" w:hAnsi="仿宋" w:eastAsia="仿宋" w:cs="仿宋"/>
          <w:color w:val="auto"/>
        </w:rPr>
        <w:t>：项目总经费1000万元，自筹800万元、申请财政200万元，符合"财政支持不超过20%、最高200万元"的规定</w:t>
      </w:r>
    </w:p>
    <w:bookmarkEnd w:id="4"/>
    <w:p w14:paraId="7839EC32">
      <w:pPr>
        <w:pStyle w:val="5"/>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bookmarkStart w:id="5" w:name="Xcd655287a12ff703aa9af72ae46344e3e1a11b7"/>
      <w:r>
        <w:rPr>
          <w:rFonts w:hint="eastAsia" w:ascii="仿宋" w:hAnsi="仿宋" w:eastAsia="仿宋" w:cs="仿宋"/>
          <w:color w:val="auto"/>
        </w:rPr>
        <w:t xml:space="preserve">1.3 </w:t>
      </w:r>
      <w:r>
        <w:rPr>
          <w:rFonts w:hint="eastAsia" w:ascii="仿宋" w:hAnsi="仿宋" w:eastAsia="仿宋" w:cs="仿宋"/>
          <w:color w:val="auto"/>
        </w:rPr>
        <w:t>项目的战略意义</w:t>
      </w:r>
    </w:p>
    <w:p w14:paraId="3BB2571B">
      <w:pPr>
        <w:pStyle w:val="23"/>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 xml:space="preserve"> </w:t>
      </w:r>
      <w:r>
        <w:rPr>
          <w:rFonts w:hint="eastAsia" w:ascii="仿宋" w:hAnsi="仿宋" w:eastAsia="仿宋" w:cs="仿宋"/>
          <w:color w:val="auto"/>
          <w:lang w:val="en-US" w:eastAsia="zh-CN"/>
        </w:rPr>
        <w:t xml:space="preserve">       </w:t>
      </w:r>
      <w:r>
        <w:rPr>
          <w:rFonts w:hint="eastAsia" w:ascii="仿宋" w:hAnsi="仿宋" w:eastAsia="仿宋" w:cs="仿宋"/>
          <w:color w:val="auto"/>
        </w:rPr>
        <w:t>本项目的实施将系统性解决变压器行业报价效率低、质量管控弱、运维模式被动三大瓶颈，形成可复制的"AI+变压器全流程"解决方案。预期在法拉迪完成全流程验证后，可向温州地区及全国变压器企业推广，带动产业链整体技术水平提升和数字化转型，加快形成新质生产力。</w:t>
      </w:r>
    </w:p>
    <w:p w14:paraId="065760E8">
      <w:pPr>
        <w:pStyle w:val="3"/>
        <w:rPr>
          <w:rFonts w:hint="eastAsia" w:ascii="仿宋" w:hAnsi="仿宋" w:eastAsia="仿宋" w:cs="仿宋"/>
        </w:rPr>
      </w:pPr>
      <w:r>
        <w:drawing>
          <wp:inline distT="0" distB="0" distL="114300" distR="114300">
            <wp:extent cx="5470525" cy="3136900"/>
            <wp:effectExtent l="0" t="0" r="6350" b="6350"/>
            <wp:docPr id="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5"/>
                    <pic:cNvPicPr>
                      <a:picLocks noChangeAspect="1"/>
                    </pic:cNvPicPr>
                  </pic:nvPicPr>
                  <pic:blipFill>
                    <a:blip r:embed="rId5"/>
                    <a:stretch>
                      <a:fillRect/>
                    </a:stretch>
                  </pic:blipFill>
                  <pic:spPr>
                    <a:xfrm>
                      <a:off x="0" y="0"/>
                      <a:ext cx="5470525" cy="3136900"/>
                    </a:xfrm>
                    <a:prstGeom prst="rect">
                      <a:avLst/>
                    </a:prstGeom>
                    <a:noFill/>
                    <a:ln>
                      <a:noFill/>
                    </a:ln>
                  </pic:spPr>
                </pic:pic>
              </a:graphicData>
            </a:graphic>
          </wp:inline>
        </w:drawing>
      </w:r>
    </w:p>
    <w:bookmarkEnd w:id="2"/>
    <w:bookmarkEnd w:id="5"/>
    <w:p w14:paraId="1DFCA3DE">
      <w:pPr>
        <w:pStyle w:val="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bookmarkStart w:id="6" w:name="Xf524ad254c3f893e2b57fc14e78f173c02b5f82"/>
      <w:r>
        <w:rPr>
          <w:rFonts w:hint="eastAsia" w:ascii="仿宋" w:hAnsi="仿宋" w:eastAsia="仿宋" w:cs="仿宋"/>
          <w:color w:val="auto"/>
        </w:rPr>
        <w:t xml:space="preserve">2. </w:t>
      </w:r>
      <w:r>
        <w:rPr>
          <w:rFonts w:hint="eastAsia" w:ascii="仿宋" w:hAnsi="仿宋" w:eastAsia="仿宋" w:cs="仿宋"/>
          <w:color w:val="auto"/>
        </w:rPr>
        <w:t>国内外研究现状和发展趋势</w:t>
      </w:r>
    </w:p>
    <w:p w14:paraId="3F7085D2">
      <w:pPr>
        <w:pStyle w:val="5"/>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bookmarkStart w:id="7" w:name="X868be42748ec879a53f910128cb85f5d6c67b08"/>
      <w:r>
        <w:rPr>
          <w:rFonts w:hint="eastAsia" w:ascii="仿宋" w:hAnsi="仿宋" w:eastAsia="仿宋" w:cs="仿宋"/>
          <w:color w:val="auto"/>
        </w:rPr>
        <w:t xml:space="preserve">2.1 </w:t>
      </w:r>
      <w:r>
        <w:rPr>
          <w:rFonts w:hint="eastAsia" w:ascii="仿宋" w:hAnsi="仿宋" w:eastAsia="仿宋" w:cs="仿宋"/>
          <w:color w:val="auto"/>
        </w:rPr>
        <w:t>国外研究现状</w:t>
      </w:r>
    </w:p>
    <w:p w14:paraId="0B19053E">
      <w:pPr>
        <w:pStyle w:val="23"/>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 xml:space="preserve"> </w:t>
      </w:r>
      <w:r>
        <w:rPr>
          <w:rFonts w:hint="eastAsia" w:ascii="仿宋" w:hAnsi="仿宋" w:eastAsia="仿宋" w:cs="仿宋"/>
          <w:color w:val="auto"/>
          <w:lang w:val="en-US" w:eastAsia="zh-CN"/>
        </w:rPr>
        <w:t xml:space="preserve">      </w:t>
      </w:r>
      <w:r>
        <w:rPr>
          <w:rFonts w:hint="eastAsia" w:ascii="仿宋" w:hAnsi="仿宋" w:eastAsia="仿宋" w:cs="仿宋"/>
          <w:color w:val="auto"/>
        </w:rPr>
        <w:t>在AI驱动的工业智能化领域，欧美发达国家起步较早。德国工业4.0框架下，Siemens的MindSphere平台实现了从设计到运维的数字孪生闭环；ABB</w:t>
      </w:r>
      <w:r>
        <w:rPr>
          <w:rFonts w:hint="eastAsia" w:ascii="仿宋" w:hAnsi="仿宋" w:eastAsia="仿宋" w:cs="仿宋"/>
          <w:color w:val="auto"/>
        </w:rPr>
        <w:t xml:space="preserve"> </w:t>
      </w:r>
      <w:r>
        <w:rPr>
          <w:rFonts w:hint="eastAsia" w:ascii="仿宋" w:hAnsi="仿宋" w:eastAsia="仿宋" w:cs="仿宋"/>
          <w:color w:val="auto"/>
        </w:rPr>
        <w:t>Ability™平台在变压器在线监测方面积累了丰富的传感与诊断算法，其局部放电监测和油中气体分析（DGA）技术处于国际领先水平。在AI报价与方案生成方面，美国能源部支持的Transformer</w:t>
      </w:r>
      <w:r>
        <w:rPr>
          <w:rFonts w:hint="eastAsia" w:ascii="仿宋" w:hAnsi="仿宋" w:eastAsia="仿宋" w:cs="仿宋"/>
          <w:color w:val="auto"/>
        </w:rPr>
        <w:t xml:space="preserve"> Lifecycle </w:t>
      </w:r>
      <w:r>
        <w:rPr>
          <w:rFonts w:hint="eastAsia" w:ascii="仿宋" w:hAnsi="仿宋" w:eastAsia="仿宋" w:cs="仿宋"/>
          <w:color w:val="auto"/>
        </w:rPr>
        <w:t>Management项目尝试将机器学习引入变压器采购与运维决策，但多聚焦于电力公司侧的资产管理和采购优化，面向制造企业（尤其是面向客制化产品）的AI报价系统尚未形成成熟产品。</w:t>
      </w:r>
    </w:p>
    <w:p w14:paraId="34D5FAC1">
      <w:pPr>
        <w:pStyle w:val="3"/>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 xml:space="preserve"> </w:t>
      </w:r>
      <w:r>
        <w:rPr>
          <w:rFonts w:hint="eastAsia" w:ascii="仿宋" w:hAnsi="仿宋" w:eastAsia="仿宋" w:cs="仿宋"/>
          <w:color w:val="auto"/>
          <w:lang w:val="en-US" w:eastAsia="zh-CN"/>
        </w:rPr>
        <w:t xml:space="preserve">      </w:t>
      </w:r>
      <w:r>
        <w:rPr>
          <w:rFonts w:hint="eastAsia" w:ascii="仿宋" w:hAnsi="仿宋" w:eastAsia="仿宋" w:cs="仿宋"/>
          <w:color w:val="auto"/>
        </w:rPr>
        <w:t>在多Agent系统应用方面，国际学术界和工业界已有多Agent协同调度、分布式智能决策等方面的基础研究，但在变压器工程领域的垂直应用研究几乎空白。现有工作更多集中在通用制造场景的排产优化和供应链协同，未涉及变压器设计参数约束下的报价→制造→运维一体化智能决策。</w:t>
      </w:r>
    </w:p>
    <w:bookmarkEnd w:id="7"/>
    <w:p w14:paraId="2091C5AE">
      <w:pPr>
        <w:pStyle w:val="5"/>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bookmarkStart w:id="8" w:name="Xb1626a66615f4090882877bb5eb04e5d506e6d3"/>
      <w:r>
        <w:rPr>
          <w:rFonts w:hint="eastAsia" w:ascii="仿宋" w:hAnsi="仿宋" w:eastAsia="仿宋" w:cs="仿宋"/>
          <w:color w:val="auto"/>
        </w:rPr>
        <w:t xml:space="preserve">2.2 </w:t>
      </w:r>
      <w:r>
        <w:rPr>
          <w:rFonts w:hint="eastAsia" w:ascii="仿宋" w:hAnsi="仿宋" w:eastAsia="仿宋" w:cs="仿宋"/>
          <w:color w:val="auto"/>
        </w:rPr>
        <w:t>国内研究现状</w:t>
      </w:r>
    </w:p>
    <w:p w14:paraId="0365CBDC">
      <w:pPr>
        <w:pStyle w:val="23"/>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 xml:space="preserve"> </w:t>
      </w:r>
      <w:r>
        <w:rPr>
          <w:rFonts w:hint="eastAsia" w:ascii="仿宋" w:hAnsi="仿宋" w:eastAsia="仿宋" w:cs="仿宋"/>
          <w:color w:val="auto"/>
          <w:lang w:val="en-US" w:eastAsia="zh-CN"/>
        </w:rPr>
        <w:t xml:space="preserve">      </w:t>
      </w:r>
      <w:r>
        <w:rPr>
          <w:rFonts w:hint="eastAsia" w:ascii="仿宋" w:hAnsi="仿宋" w:eastAsia="仿宋" w:cs="仿宋"/>
          <w:color w:val="auto"/>
        </w:rPr>
        <w:t>国内在变压器数字化方向已有一定积累。特变电工、正泰电器、许继集团等龙头企业均建有企业级数字化平台，在生产过程数据采集和质量追溯方面取得进展。在变压器状态监测领域，国内已有多个厂商提供局放在线监测、油色谱监测等单点产品，但普遍存在以下不足：</w:t>
      </w:r>
    </w:p>
    <w:p w14:paraId="2F891720">
      <w:pPr>
        <w:pageBreakBefore w:val="0"/>
        <w:widowControl/>
        <w:numPr>
          <w:ilvl w:val="0"/>
          <w:numId w:val="3"/>
        </w:numPr>
        <w:kinsoku/>
        <w:overflowPunct/>
        <w:topLinePunct w:val="0"/>
        <w:autoSpaceDE/>
        <w:autoSpaceDN/>
        <w:bidi w:val="0"/>
        <w:adjustRightInd/>
        <w:snapToGrid/>
        <w:spacing w:after="0" w:line="360" w:lineRule="auto"/>
        <w:textAlignment w:val="auto"/>
        <w:rPr>
          <w:rFonts w:hint="eastAsia" w:ascii="仿宋" w:hAnsi="仿宋" w:eastAsia="仿宋" w:cs="仿宋"/>
          <w:color w:val="auto"/>
        </w:rPr>
      </w:pPr>
      <w:r>
        <w:rPr>
          <w:rFonts w:hint="eastAsia" w:ascii="仿宋" w:hAnsi="仿宋" w:eastAsia="仿宋" w:cs="仿宋"/>
          <w:b/>
          <w:bCs/>
          <w:color w:val="auto"/>
        </w:rPr>
        <w:t>数据孤岛严重</w:t>
      </w:r>
      <w:r>
        <w:rPr>
          <w:rFonts w:hint="eastAsia" w:ascii="仿宋" w:hAnsi="仿宋" w:eastAsia="仿宋" w:cs="仿宋"/>
          <w:color w:val="auto"/>
        </w:rPr>
        <w:t>：报价数据、设计参数、生产数据、运维数据分散在不同系统和部门，缺乏全流程贯通的数据链路</w:t>
      </w:r>
    </w:p>
    <w:p w14:paraId="3EFDA05D">
      <w:pPr>
        <w:pageBreakBefore w:val="0"/>
        <w:widowControl/>
        <w:numPr>
          <w:ilvl w:val="0"/>
          <w:numId w:val="3"/>
        </w:numPr>
        <w:kinsoku/>
        <w:overflowPunct/>
        <w:topLinePunct w:val="0"/>
        <w:autoSpaceDE/>
        <w:autoSpaceDN/>
        <w:bidi w:val="0"/>
        <w:adjustRightInd/>
        <w:snapToGrid/>
        <w:spacing w:after="0" w:line="360" w:lineRule="auto"/>
        <w:textAlignment w:val="auto"/>
        <w:rPr>
          <w:rFonts w:hint="eastAsia" w:ascii="仿宋" w:hAnsi="仿宋" w:eastAsia="仿宋" w:cs="仿宋"/>
          <w:color w:val="auto"/>
        </w:rPr>
      </w:pPr>
      <w:r>
        <w:rPr>
          <w:rFonts w:hint="eastAsia" w:ascii="仿宋" w:hAnsi="仿宋" w:eastAsia="仿宋" w:cs="仿宋"/>
          <w:b/>
          <w:bCs/>
          <w:color w:val="auto"/>
        </w:rPr>
        <w:t>AI应用浅层化</w:t>
      </w:r>
      <w:r>
        <w:rPr>
          <w:rFonts w:hint="eastAsia" w:ascii="仿宋" w:hAnsi="仿宋" w:eastAsia="仿宋" w:cs="仿宋"/>
          <w:color w:val="auto"/>
        </w:rPr>
        <w:t>：多数企业仍停留在报表可视化和简单阈值报警阶段，缺乏深度学习和知识图谱技术的工程化应用</w:t>
      </w:r>
    </w:p>
    <w:p w14:paraId="06824046">
      <w:pPr>
        <w:pageBreakBefore w:val="0"/>
        <w:widowControl/>
        <w:numPr>
          <w:ilvl w:val="0"/>
          <w:numId w:val="3"/>
        </w:numPr>
        <w:kinsoku/>
        <w:overflowPunct/>
        <w:topLinePunct w:val="0"/>
        <w:autoSpaceDE/>
        <w:autoSpaceDN/>
        <w:bidi w:val="0"/>
        <w:adjustRightInd/>
        <w:snapToGrid/>
        <w:spacing w:after="0" w:line="360" w:lineRule="auto"/>
        <w:textAlignment w:val="auto"/>
        <w:rPr>
          <w:rFonts w:hint="eastAsia" w:ascii="仿宋" w:hAnsi="仿宋" w:eastAsia="仿宋" w:cs="仿宋"/>
          <w:color w:val="auto"/>
        </w:rPr>
      </w:pPr>
      <w:r>
        <w:rPr>
          <w:rFonts w:hint="eastAsia" w:ascii="仿宋" w:hAnsi="仿宋" w:eastAsia="仿宋" w:cs="仿宋"/>
          <w:b/>
          <w:bCs/>
          <w:color w:val="auto"/>
        </w:rPr>
        <w:t>报价端严重滞后</w:t>
      </w:r>
      <w:r>
        <w:rPr>
          <w:rFonts w:hint="eastAsia" w:ascii="仿宋" w:hAnsi="仿宋" w:eastAsia="仿宋" w:cs="仿宋"/>
          <w:color w:val="auto"/>
        </w:rPr>
        <w:t>：变压器报价仍以"资深工程师人工评审+Excel核算"为主流模式，AI报价在流程制造业（如PCB、钣金）有初步应用，但因变压器技术参数复杂、电磁计算专业性强，尚未见成熟的AI报价产品</w:t>
      </w:r>
    </w:p>
    <w:p w14:paraId="54A8551A">
      <w:pPr>
        <w:pageBreakBefore w:val="0"/>
        <w:widowControl/>
        <w:numPr>
          <w:ilvl w:val="0"/>
          <w:numId w:val="3"/>
        </w:numPr>
        <w:kinsoku/>
        <w:overflowPunct/>
        <w:topLinePunct w:val="0"/>
        <w:autoSpaceDE/>
        <w:autoSpaceDN/>
        <w:bidi w:val="0"/>
        <w:adjustRightInd/>
        <w:snapToGrid/>
        <w:spacing w:after="0" w:line="360" w:lineRule="auto"/>
        <w:textAlignment w:val="auto"/>
        <w:rPr>
          <w:rFonts w:hint="eastAsia" w:ascii="仿宋" w:hAnsi="仿宋" w:eastAsia="仿宋" w:cs="仿宋"/>
          <w:color w:val="auto"/>
        </w:rPr>
      </w:pPr>
      <w:r>
        <w:rPr>
          <w:rFonts w:hint="eastAsia" w:ascii="仿宋" w:hAnsi="仿宋" w:eastAsia="仿宋" w:cs="仿宋"/>
          <w:b/>
          <w:bCs/>
          <w:color w:val="auto"/>
        </w:rPr>
        <w:t>运维以被动模式为主</w:t>
      </w:r>
      <w:r>
        <w:rPr>
          <w:rFonts w:hint="eastAsia" w:ascii="仿宋" w:hAnsi="仿宋" w:eastAsia="仿宋" w:cs="仿宋"/>
          <w:color w:val="auto"/>
        </w:rPr>
        <w:t>：在线监测数据利用率低，缺乏结合电磁设计参数和运行数据的数字孪生和预测性维护能力</w:t>
      </w:r>
    </w:p>
    <w:bookmarkEnd w:id="8"/>
    <w:p w14:paraId="22C9EAB9">
      <w:pPr>
        <w:pStyle w:val="5"/>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bookmarkStart w:id="9" w:name="X7c9abb02fee9b9786f728bffaba6502d17c1012"/>
      <w:r>
        <w:rPr>
          <w:rFonts w:hint="eastAsia" w:ascii="仿宋" w:hAnsi="仿宋" w:eastAsia="仿宋" w:cs="仿宋"/>
          <w:color w:val="auto"/>
        </w:rPr>
        <w:t xml:space="preserve">2.3 </w:t>
      </w:r>
      <w:r>
        <w:rPr>
          <w:rFonts w:hint="eastAsia" w:ascii="仿宋" w:hAnsi="仿宋" w:eastAsia="仿宋" w:cs="仿宋"/>
          <w:color w:val="auto"/>
        </w:rPr>
        <w:t>发展趋势</w:t>
      </w:r>
    </w:p>
    <w:p w14:paraId="52A0DE8F">
      <w:pPr>
        <w:pStyle w:val="23"/>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 xml:space="preserve"> </w:t>
      </w:r>
      <w:r>
        <w:rPr>
          <w:rFonts w:hint="eastAsia" w:ascii="仿宋" w:hAnsi="仿宋" w:eastAsia="仿宋" w:cs="仿宋"/>
          <w:color w:val="auto"/>
          <w:lang w:val="en-US" w:eastAsia="zh-CN"/>
        </w:rPr>
        <w:t xml:space="preserve">      </w:t>
      </w:r>
      <w:r>
        <w:rPr>
          <w:rFonts w:hint="eastAsia" w:ascii="仿宋" w:hAnsi="仿宋" w:eastAsia="仿宋" w:cs="仿宋"/>
          <w:color w:val="auto"/>
        </w:rPr>
        <w:t>综合分析，变压器行业智能化呈现三大趋势：</w:t>
      </w:r>
    </w:p>
    <w:p w14:paraId="5D5393A0">
      <w:pPr>
        <w:pageBreakBefore w:val="0"/>
        <w:widowControl/>
        <w:numPr>
          <w:ilvl w:val="0"/>
          <w:numId w:val="4"/>
        </w:numPr>
        <w:kinsoku/>
        <w:overflowPunct/>
        <w:topLinePunct w:val="0"/>
        <w:autoSpaceDE/>
        <w:autoSpaceDN/>
        <w:bidi w:val="0"/>
        <w:adjustRightInd/>
        <w:snapToGrid/>
        <w:spacing w:after="0" w:line="360" w:lineRule="auto"/>
        <w:textAlignment w:val="auto"/>
        <w:rPr>
          <w:rFonts w:hint="eastAsia" w:ascii="仿宋" w:hAnsi="仿宋" w:eastAsia="仿宋" w:cs="仿宋"/>
          <w:color w:val="auto"/>
        </w:rPr>
      </w:pPr>
      <w:r>
        <w:rPr>
          <w:rFonts w:hint="eastAsia" w:ascii="仿宋" w:hAnsi="仿宋" w:eastAsia="仿宋" w:cs="仿宋"/>
          <w:b/>
          <w:bCs/>
          <w:color w:val="auto"/>
        </w:rPr>
        <w:t xml:space="preserve">AI </w:t>
      </w:r>
      <w:r>
        <w:rPr>
          <w:rFonts w:hint="eastAsia" w:ascii="仿宋" w:hAnsi="仿宋" w:eastAsia="仿宋" w:cs="仿宋"/>
          <w:b/>
          <w:bCs/>
          <w:color w:val="auto"/>
        </w:rPr>
        <w:t>Agent在垂直制造业的深度渗透</w:t>
      </w:r>
      <w:r>
        <w:rPr>
          <w:rFonts w:hint="eastAsia" w:ascii="仿宋" w:hAnsi="仿宋" w:eastAsia="仿宋" w:cs="仿宋"/>
          <w:color w:val="auto"/>
        </w:rPr>
        <w:t>：从通用型AI聊天机器人向面向特定工业场景的多Agent协同体系演进，实现从需求理解到方案生成、从数据采集到决策执行的完整闭环</w:t>
      </w:r>
    </w:p>
    <w:p w14:paraId="14349848">
      <w:pPr>
        <w:pageBreakBefore w:val="0"/>
        <w:widowControl/>
        <w:numPr>
          <w:ilvl w:val="0"/>
          <w:numId w:val="4"/>
        </w:numPr>
        <w:kinsoku/>
        <w:overflowPunct/>
        <w:topLinePunct w:val="0"/>
        <w:autoSpaceDE/>
        <w:autoSpaceDN/>
        <w:bidi w:val="0"/>
        <w:adjustRightInd/>
        <w:snapToGrid/>
        <w:spacing w:after="0" w:line="360" w:lineRule="auto"/>
        <w:textAlignment w:val="auto"/>
        <w:rPr>
          <w:rFonts w:hint="eastAsia" w:ascii="仿宋" w:hAnsi="仿宋" w:eastAsia="仿宋" w:cs="仿宋"/>
          <w:color w:val="auto"/>
        </w:rPr>
      </w:pPr>
      <w:r>
        <w:rPr>
          <w:rFonts w:hint="eastAsia" w:ascii="仿宋" w:hAnsi="仿宋" w:eastAsia="仿宋" w:cs="仿宋"/>
          <w:b/>
          <w:bCs/>
          <w:color w:val="auto"/>
        </w:rPr>
        <w:t>云边协同的工业智能架构成为主流</w:t>
      </w:r>
      <w:r>
        <w:rPr>
          <w:rFonts w:hint="eastAsia" w:ascii="仿宋" w:hAnsi="仿宋" w:eastAsia="仿宋" w:cs="仿宋"/>
          <w:color w:val="auto"/>
        </w:rPr>
        <w:t>：边缘端实时处理（ms级响应）+云端深度分析（模型训练、复杂推理），兼顾工业场景的实时性要求和AI模型的计算资源需求</w:t>
      </w:r>
    </w:p>
    <w:p w14:paraId="68433F38">
      <w:pPr>
        <w:pageBreakBefore w:val="0"/>
        <w:widowControl/>
        <w:numPr>
          <w:ilvl w:val="0"/>
          <w:numId w:val="4"/>
        </w:numPr>
        <w:kinsoku/>
        <w:overflowPunct/>
        <w:topLinePunct w:val="0"/>
        <w:autoSpaceDE/>
        <w:autoSpaceDN/>
        <w:bidi w:val="0"/>
        <w:adjustRightInd/>
        <w:snapToGrid/>
        <w:spacing w:after="0" w:line="360" w:lineRule="auto"/>
        <w:textAlignment w:val="auto"/>
        <w:rPr>
          <w:rFonts w:hint="eastAsia" w:ascii="仿宋" w:hAnsi="仿宋" w:eastAsia="仿宋" w:cs="仿宋"/>
          <w:color w:val="auto"/>
        </w:rPr>
      </w:pPr>
      <w:r>
        <w:rPr>
          <w:rFonts w:hint="eastAsia" w:ascii="仿宋" w:hAnsi="仿宋" w:eastAsia="仿宋" w:cs="仿宋"/>
          <w:b/>
          <w:bCs/>
          <w:color w:val="auto"/>
        </w:rPr>
        <w:t>全生命周期数字孪生从概念走向工程落地</w:t>
      </w:r>
      <w:r>
        <w:rPr>
          <w:rFonts w:hint="eastAsia" w:ascii="仿宋" w:hAnsi="仿宋" w:eastAsia="仿宋" w:cs="仿宋"/>
          <w:color w:val="auto"/>
        </w:rPr>
        <w:t>：计算设计数据（电磁参数、BOM结构）+制造数据（工艺参数、质检结果）+运行数据（传感数据、故障记录）三源融合，构建可仿真、可推演、可决策的完整数字镜像</w:t>
      </w:r>
    </w:p>
    <w:p w14:paraId="0E63D961">
      <w:pPr>
        <w:pStyle w:val="23"/>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 xml:space="preserve"> </w:t>
      </w:r>
      <w:r>
        <w:rPr>
          <w:rFonts w:hint="eastAsia" w:ascii="仿宋" w:hAnsi="仿宋" w:eastAsia="仿宋" w:cs="仿宋"/>
          <w:color w:val="auto"/>
          <w:lang w:val="en-US" w:eastAsia="zh-CN"/>
        </w:rPr>
        <w:t xml:space="preserve">        </w:t>
      </w:r>
      <w:r>
        <w:rPr>
          <w:rFonts w:hint="eastAsia" w:ascii="仿宋" w:hAnsi="仿宋" w:eastAsia="仿宋" w:cs="仿宋"/>
          <w:color w:val="auto"/>
        </w:rPr>
        <w:t>本项目正是顺应上述趋势，以AI多Agent报价为切入点，向制造质量管控和智能运维两端延伸，打造变压器行业首个"报价→制造→运维"全流程AI一体化解决方案。</w:t>
      </w:r>
    </w:p>
    <w:p w14:paraId="0888FDFA">
      <w:pPr>
        <w:pageBreakBefore w:val="0"/>
        <w:widowControl/>
        <w:kinsoku/>
        <w:overflowPunct/>
        <w:topLinePunct w:val="0"/>
        <w:autoSpaceDE/>
        <w:autoSpaceDN/>
        <w:bidi w:val="0"/>
        <w:adjustRightInd/>
        <w:snapToGrid/>
        <w:spacing w:after="0" w:line="360" w:lineRule="auto"/>
        <w:textAlignment w:val="auto"/>
        <w:rPr>
          <w:rFonts w:hint="eastAsia" w:ascii="仿宋" w:hAnsi="仿宋" w:eastAsia="仿宋" w:cs="仿宋"/>
          <w:color w:val="auto"/>
        </w:rPr>
      </w:pPr>
    </w:p>
    <w:bookmarkEnd w:id="6"/>
    <w:bookmarkEnd w:id="9"/>
    <w:p w14:paraId="7BE0EA87">
      <w:pPr>
        <w:pStyle w:val="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bookmarkStart w:id="10" w:name="X1e804e1a7f9fd70902981830e99f7007b01f721"/>
      <w:r>
        <w:rPr>
          <w:rFonts w:hint="eastAsia" w:ascii="仿宋" w:hAnsi="仿宋" w:eastAsia="仿宋" w:cs="仿宋"/>
          <w:color w:val="auto"/>
        </w:rPr>
        <w:t xml:space="preserve">3. </w:t>
      </w:r>
      <w:r>
        <w:rPr>
          <w:rFonts w:hint="eastAsia" w:ascii="仿宋" w:hAnsi="仿宋" w:eastAsia="仿宋" w:cs="仿宋"/>
          <w:color w:val="auto"/>
        </w:rPr>
        <w:t>研究开发内容和关键技术</w:t>
      </w:r>
    </w:p>
    <w:p w14:paraId="23A8474D">
      <w:pPr>
        <w:pStyle w:val="5"/>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bookmarkStart w:id="11" w:name="X9f97ba5c87c3bc60d3e06c5ee2a22f1b695316f"/>
      <w:r>
        <w:rPr>
          <w:rFonts w:hint="eastAsia" w:ascii="仿宋" w:hAnsi="仿宋" w:eastAsia="仿宋" w:cs="仿宋"/>
          <w:color w:val="auto"/>
        </w:rPr>
        <w:t xml:space="preserve">3.1 </w:t>
      </w:r>
      <w:r>
        <w:rPr>
          <w:rFonts w:hint="eastAsia" w:ascii="仿宋" w:hAnsi="仿宋" w:eastAsia="仿宋" w:cs="仿宋"/>
          <w:color w:val="auto"/>
        </w:rPr>
        <w:t>研发内容</w:t>
      </w:r>
    </w:p>
    <w:p w14:paraId="67E32E98">
      <w:pPr>
        <w:pStyle w:val="23"/>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 xml:space="preserve"> </w:t>
      </w:r>
      <w:r>
        <w:rPr>
          <w:rFonts w:hint="eastAsia" w:ascii="仿宋" w:hAnsi="仿宋" w:eastAsia="仿宋" w:cs="仿宋"/>
          <w:color w:val="auto"/>
          <w:lang w:val="en-US" w:eastAsia="zh-CN"/>
        </w:rPr>
        <w:t xml:space="preserve">  </w:t>
      </w:r>
      <w:r>
        <w:rPr>
          <w:rFonts w:hint="eastAsia" w:ascii="仿宋" w:hAnsi="仿宋" w:eastAsia="仿宋" w:cs="仿宋"/>
          <w:color w:val="auto"/>
        </w:rPr>
        <w:t>本项目设置三个子项目，分别覆盖变压器全生命周期的三个阶段：</w:t>
      </w:r>
    </w:p>
    <w:p w14:paraId="5D52D2F5">
      <w:pPr>
        <w:pStyle w:val="6"/>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b/>
          <w:bCs/>
          <w:i w:val="0"/>
          <w:iCs w:val="0"/>
          <w:color w:val="auto"/>
        </w:rPr>
      </w:pPr>
      <w:bookmarkStart w:id="12" w:name="子项目a基于多agent的变压器智能报价与设计决策系统"/>
      <w:r>
        <w:rPr>
          <w:rFonts w:hint="eastAsia" w:ascii="仿宋" w:hAnsi="仿宋" w:eastAsia="仿宋" w:cs="仿宋"/>
          <w:b/>
          <w:bCs/>
          <w:i w:val="0"/>
          <w:iCs w:val="0"/>
          <w:color w:val="auto"/>
        </w:rPr>
        <w:t>子项目A：基于多Agent的变压器智能报价与设计决策系统</w:t>
      </w:r>
    </w:p>
    <w:p w14:paraId="22EFDE3C">
      <w:pPr>
        <w:pStyle w:val="23"/>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 xml:space="preserve"> </w:t>
      </w:r>
      <w:r>
        <w:rPr>
          <w:rFonts w:hint="eastAsia" w:ascii="仿宋" w:hAnsi="仿宋" w:eastAsia="仿宋" w:cs="仿宋"/>
          <w:color w:val="auto"/>
        </w:rPr>
        <w:t>研发内容：</w:t>
      </w:r>
    </w:p>
    <w:p w14:paraId="04979B21">
      <w:pPr>
        <w:pageBreakBefore w:val="0"/>
        <w:widowControl/>
        <w:numPr>
          <w:ilvl w:val="0"/>
          <w:numId w:val="5"/>
        </w:numPr>
        <w:kinsoku/>
        <w:overflowPunct/>
        <w:topLinePunct w:val="0"/>
        <w:autoSpaceDE/>
        <w:autoSpaceDN/>
        <w:bidi w:val="0"/>
        <w:adjustRightInd/>
        <w:snapToGrid/>
        <w:spacing w:after="0" w:line="360" w:lineRule="auto"/>
        <w:textAlignment w:val="auto"/>
        <w:rPr>
          <w:rFonts w:hint="eastAsia" w:ascii="仿宋" w:hAnsi="仿宋" w:eastAsia="仿宋" w:cs="仿宋"/>
          <w:color w:val="auto"/>
        </w:rPr>
      </w:pPr>
      <w:r>
        <w:rPr>
          <w:rFonts w:hint="eastAsia" w:ascii="仿宋" w:hAnsi="仿宋" w:eastAsia="仿宋" w:cs="仿宋"/>
          <w:b/>
          <w:bCs/>
          <w:color w:val="auto"/>
        </w:rPr>
        <w:t>多Agent报价决策引擎</w:t>
      </w:r>
      <w:r>
        <w:rPr>
          <w:rFonts w:hint="eastAsia" w:ascii="仿宋" w:hAnsi="仿宋" w:eastAsia="仿宋" w:cs="仿宋"/>
          <w:color w:val="auto"/>
        </w:rPr>
        <w:t>：研发需求解析Agent（支持PDF/Word/Excel/图纸/语音等多模态输入，基于LLM进行结构化参数提取和领域同义词映射）、方案匹配Agent（基于向量检索+图检索的混合检索策略，从已完成电磁计算的历史项目中精确匹配最接近方案）、参数优化Agent（自动识别匹配方案与客户需求的差异点，驱动电磁计算引擎做增量优化计算）、BOM拆解Agent（基于方案参数和规则引擎，自动生成标准化物料清单）、成本核算Agent（物料成本+加工工时+管理费分摊+利润策略的自动计算）、报价输出Agent（生成标准报价单PDF+技术方案书+审批流提交）</w:t>
      </w:r>
    </w:p>
    <w:p w14:paraId="5C053C55">
      <w:pPr>
        <w:pageBreakBefore w:val="0"/>
        <w:widowControl/>
        <w:numPr>
          <w:ilvl w:val="0"/>
          <w:numId w:val="5"/>
        </w:numPr>
        <w:kinsoku/>
        <w:overflowPunct/>
        <w:topLinePunct w:val="0"/>
        <w:autoSpaceDE/>
        <w:autoSpaceDN/>
        <w:bidi w:val="0"/>
        <w:adjustRightInd/>
        <w:snapToGrid/>
        <w:spacing w:after="0" w:line="360" w:lineRule="auto"/>
        <w:textAlignment w:val="auto"/>
        <w:rPr>
          <w:rFonts w:hint="eastAsia" w:ascii="仿宋" w:hAnsi="仿宋" w:eastAsia="仿宋" w:cs="仿宋"/>
          <w:color w:val="auto"/>
        </w:rPr>
      </w:pPr>
      <w:r>
        <w:rPr>
          <w:rFonts w:hint="eastAsia" w:ascii="仿宋" w:hAnsi="仿宋" w:eastAsia="仿宋" w:cs="仿宋"/>
          <w:b/>
          <w:bCs/>
          <w:color w:val="auto"/>
        </w:rPr>
        <w:t>大规模全链路知识库</w:t>
      </w:r>
      <w:r>
        <w:rPr>
          <w:rFonts w:hint="eastAsia" w:ascii="仿宋" w:hAnsi="仿宋" w:eastAsia="仿宋" w:cs="仿宋"/>
          <w:color w:val="auto"/>
        </w:rPr>
        <w:t>：设计"历史方案—电磁计算数据—BOM结构—报价单—成交结果—决策原因"六维知识图谱，支持基于参数向量、客户画像、成交率等多维度的智能检索和推荐，目标规模2000+案例</w:t>
      </w:r>
    </w:p>
    <w:p w14:paraId="3225E00C">
      <w:pPr>
        <w:pageBreakBefore w:val="0"/>
        <w:widowControl/>
        <w:numPr>
          <w:ilvl w:val="0"/>
          <w:numId w:val="5"/>
        </w:numPr>
        <w:kinsoku/>
        <w:overflowPunct/>
        <w:topLinePunct w:val="0"/>
        <w:autoSpaceDE/>
        <w:autoSpaceDN/>
        <w:bidi w:val="0"/>
        <w:adjustRightInd/>
        <w:snapToGrid/>
        <w:spacing w:after="0" w:line="360" w:lineRule="auto"/>
        <w:textAlignment w:val="auto"/>
        <w:rPr>
          <w:rFonts w:hint="eastAsia" w:ascii="仿宋" w:hAnsi="仿宋" w:eastAsia="仿宋" w:cs="仿宋"/>
          <w:color w:val="auto"/>
        </w:rPr>
      </w:pPr>
      <w:r>
        <w:rPr>
          <w:rFonts w:hint="eastAsia" w:ascii="仿宋" w:hAnsi="仿宋" w:eastAsia="仿宋" w:cs="仿宋"/>
          <w:b/>
          <w:bCs/>
          <w:color w:val="auto"/>
        </w:rPr>
        <w:t>智能定价策略引擎</w:t>
      </w:r>
      <w:r>
        <w:rPr>
          <w:rFonts w:hint="eastAsia" w:ascii="仿宋" w:hAnsi="仿宋" w:eastAsia="仿宋" w:cs="仿宋"/>
          <w:color w:val="auto"/>
        </w:rPr>
        <w:t>：基于历史报价和成交数据，训练定价优化模型，支持三种定价模式——抢单模式（高折扣、低利润，目标快速占领市场）、利润模式（标准利润空间，适用于常规订单）、清库存模式（针对呆滞库存产品的高折扣出清）</w:t>
      </w:r>
    </w:p>
    <w:p w14:paraId="51A5137E">
      <w:pPr>
        <w:pageBreakBefore w:val="0"/>
        <w:widowControl/>
        <w:numPr>
          <w:ilvl w:val="0"/>
          <w:numId w:val="5"/>
        </w:numPr>
        <w:kinsoku/>
        <w:overflowPunct/>
        <w:topLinePunct w:val="0"/>
        <w:autoSpaceDE/>
        <w:autoSpaceDN/>
        <w:bidi w:val="0"/>
        <w:adjustRightInd/>
        <w:snapToGrid/>
        <w:spacing w:after="0" w:line="360" w:lineRule="auto"/>
        <w:textAlignment w:val="auto"/>
        <w:rPr>
          <w:rFonts w:hint="eastAsia" w:ascii="仿宋" w:hAnsi="仿宋" w:eastAsia="仿宋" w:cs="仿宋"/>
          <w:color w:val="auto"/>
        </w:rPr>
      </w:pPr>
      <w:r>
        <w:rPr>
          <w:rFonts w:hint="eastAsia" w:ascii="仿宋" w:hAnsi="仿宋" w:eastAsia="仿宋" w:cs="仿宋"/>
          <w:b/>
          <w:bCs/>
          <w:color w:val="auto"/>
        </w:rPr>
        <w:t>多模态需求接入与智能解析</w:t>
      </w:r>
      <w:r>
        <w:rPr>
          <w:rFonts w:hint="eastAsia" w:ascii="仿宋" w:hAnsi="仿宋" w:eastAsia="仿宋" w:cs="仿宋"/>
          <w:color w:val="auto"/>
        </w:rPr>
        <w:t>：研发面向变压器领域的OCR+LLM解析管线，支持客户询价文件（PDF/Word/Excel）、技术图纸扫描件、语音询价（飞书语音消息）等多模态输入的结构化提</w:t>
      </w:r>
    </w:p>
    <w:bookmarkEnd w:id="12"/>
    <w:p w14:paraId="012C7AFA">
      <w:pPr>
        <w:pStyle w:val="6"/>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b/>
          <w:bCs/>
          <w:i w:val="0"/>
          <w:iCs w:val="0"/>
          <w:color w:val="auto"/>
        </w:rPr>
      </w:pPr>
      <w:bookmarkStart w:id="13" w:name="子项目b变压器生产过程智能感知与质量管控平台"/>
      <w:r>
        <w:drawing>
          <wp:inline distT="0" distB="0" distL="114300" distR="114300">
            <wp:extent cx="5478780" cy="3180715"/>
            <wp:effectExtent l="0" t="0" r="7620" b="635"/>
            <wp:docPr id="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3"/>
                    <pic:cNvPicPr>
                      <a:picLocks noChangeAspect="1"/>
                    </pic:cNvPicPr>
                  </pic:nvPicPr>
                  <pic:blipFill>
                    <a:blip r:embed="rId6"/>
                    <a:stretch>
                      <a:fillRect/>
                    </a:stretch>
                  </pic:blipFill>
                  <pic:spPr>
                    <a:xfrm>
                      <a:off x="0" y="0"/>
                      <a:ext cx="5478780" cy="3180715"/>
                    </a:xfrm>
                    <a:prstGeom prst="rect">
                      <a:avLst/>
                    </a:prstGeom>
                    <a:noFill/>
                    <a:ln>
                      <a:noFill/>
                    </a:ln>
                  </pic:spPr>
                </pic:pic>
              </a:graphicData>
            </a:graphic>
          </wp:inline>
        </w:drawing>
      </w:r>
    </w:p>
    <w:p w14:paraId="0046BEEF">
      <w:pPr>
        <w:pStyle w:val="6"/>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b/>
          <w:bCs/>
          <w:i w:val="0"/>
          <w:iCs w:val="0"/>
          <w:color w:val="auto"/>
        </w:rPr>
      </w:pPr>
      <w:r>
        <w:rPr>
          <w:rFonts w:hint="eastAsia" w:ascii="仿宋" w:hAnsi="仿宋" w:eastAsia="仿宋" w:cs="仿宋"/>
          <w:b/>
          <w:bCs/>
          <w:i w:val="0"/>
          <w:iCs w:val="0"/>
          <w:color w:val="auto"/>
        </w:rPr>
        <w:t>子项目B：变压器生产过程智能感知与质量管控平台</w:t>
      </w:r>
    </w:p>
    <w:p w14:paraId="72B67E50">
      <w:pPr>
        <w:pStyle w:val="23"/>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 xml:space="preserve"> </w:t>
      </w:r>
      <w:r>
        <w:rPr>
          <w:rFonts w:hint="eastAsia" w:ascii="仿宋" w:hAnsi="仿宋" w:eastAsia="仿宋" w:cs="仿宋"/>
          <w:color w:val="auto"/>
        </w:rPr>
        <w:t>研发内容：</w:t>
      </w:r>
    </w:p>
    <w:p w14:paraId="55FC3A5F">
      <w:pPr>
        <w:pageBreakBefore w:val="0"/>
        <w:widowControl/>
        <w:numPr>
          <w:ilvl w:val="0"/>
          <w:numId w:val="6"/>
        </w:numPr>
        <w:kinsoku/>
        <w:overflowPunct/>
        <w:topLinePunct w:val="0"/>
        <w:autoSpaceDE/>
        <w:autoSpaceDN/>
        <w:bidi w:val="0"/>
        <w:adjustRightInd/>
        <w:snapToGrid/>
        <w:spacing w:after="0" w:line="360" w:lineRule="auto"/>
        <w:textAlignment w:val="auto"/>
        <w:rPr>
          <w:rFonts w:hint="eastAsia" w:ascii="仿宋" w:hAnsi="仿宋" w:eastAsia="仿宋" w:cs="仿宋"/>
          <w:color w:val="auto"/>
        </w:rPr>
      </w:pPr>
      <w:r>
        <w:rPr>
          <w:rFonts w:hint="eastAsia" w:ascii="仿宋" w:hAnsi="仿宋" w:eastAsia="仿宋" w:cs="仿宋"/>
          <w:b/>
          <w:bCs/>
          <w:color w:val="auto"/>
        </w:rPr>
        <w:t>边缘智能感知网关</w:t>
      </w:r>
      <w:r>
        <w:rPr>
          <w:rFonts w:hint="eastAsia" w:ascii="仿宋" w:hAnsi="仿宋" w:eastAsia="仿宋" w:cs="仿宋"/>
          <w:color w:val="auto"/>
        </w:rPr>
        <w:t>：研发面向变压器制造车间的多通道边缘智能网关，支持4-8路模拟量/数字量并行采集（温度、压力、振动、电流、局部放电等），内置ARM</w:t>
      </w:r>
      <w:r>
        <w:rPr>
          <w:rFonts w:hint="eastAsia" w:ascii="仿宋" w:hAnsi="仿宋" w:eastAsia="仿宋" w:cs="仿宋"/>
          <w:color w:val="auto"/>
        </w:rPr>
        <w:t xml:space="preserve"> </w:t>
      </w:r>
      <w:r>
        <w:rPr>
          <w:rFonts w:hint="eastAsia" w:ascii="仿宋" w:hAnsi="仿宋" w:eastAsia="仿宋" w:cs="仿宋"/>
          <w:color w:val="auto"/>
        </w:rPr>
        <w:t>Cortex-A系列处理器+NPU，可在边缘端完成实时信号处理（FFT、小波变换）和轻量级AI推理（异常检测、趋势预测），通过MQTT/OPC</w:t>
      </w:r>
      <w:r>
        <w:rPr>
          <w:rFonts w:hint="eastAsia" w:ascii="仿宋" w:hAnsi="仿宋" w:eastAsia="仿宋" w:cs="仿宋"/>
          <w:color w:val="auto"/>
        </w:rPr>
        <w:t xml:space="preserve"> </w:t>
      </w:r>
      <w:r>
        <w:rPr>
          <w:rFonts w:hint="eastAsia" w:ascii="仿宋" w:hAnsi="仿宋" w:eastAsia="仿宋" w:cs="仿宋"/>
          <w:color w:val="auto"/>
        </w:rPr>
        <w:t>UA协议与云端协同</w:t>
      </w:r>
    </w:p>
    <w:p w14:paraId="586E88FB">
      <w:pPr>
        <w:pageBreakBefore w:val="0"/>
        <w:widowControl/>
        <w:numPr>
          <w:ilvl w:val="0"/>
          <w:numId w:val="6"/>
        </w:numPr>
        <w:kinsoku/>
        <w:overflowPunct/>
        <w:topLinePunct w:val="0"/>
        <w:autoSpaceDE/>
        <w:autoSpaceDN/>
        <w:bidi w:val="0"/>
        <w:adjustRightInd/>
        <w:snapToGrid/>
        <w:spacing w:after="0" w:line="360" w:lineRule="auto"/>
        <w:textAlignment w:val="auto"/>
        <w:rPr>
          <w:rFonts w:hint="eastAsia" w:ascii="仿宋" w:hAnsi="仿宋" w:eastAsia="仿宋" w:cs="仿宋"/>
          <w:color w:val="auto"/>
        </w:rPr>
      </w:pPr>
      <w:r>
        <w:rPr>
          <w:rFonts w:hint="eastAsia" w:ascii="仿宋" w:hAnsi="仿宋" w:eastAsia="仿宋" w:cs="仿宋"/>
          <w:b/>
          <w:bCs/>
          <w:color w:val="auto"/>
        </w:rPr>
        <w:t>工艺参数AI质量预测模型</w:t>
      </w:r>
      <w:r>
        <w:rPr>
          <w:rFonts w:hint="eastAsia" w:ascii="仿宋" w:hAnsi="仿宋" w:eastAsia="仿宋" w:cs="仿宋"/>
          <w:color w:val="auto"/>
        </w:rPr>
        <w:t>：基于历史生产数据（绕线圈数、张紧力、烘干温控曲线、浸漆真空度、装配扭矩等）和对应的成品质检结果（局部放电量、空载损耗、负载损耗、绝缘电阻等），训练工艺参数→成品质量的多变量预测模型。关键技术包括：时序特征提取（LSTM/Transformer）、多目标回归（同时预测多个质量指标）、可解释性输出（标注哪些工艺参数偏差对质量影响最大）</w:t>
      </w:r>
    </w:p>
    <w:p w14:paraId="10703CE2">
      <w:pPr>
        <w:pageBreakBefore w:val="0"/>
        <w:widowControl/>
        <w:numPr>
          <w:ilvl w:val="0"/>
          <w:numId w:val="6"/>
        </w:numPr>
        <w:kinsoku/>
        <w:overflowPunct/>
        <w:topLinePunct w:val="0"/>
        <w:autoSpaceDE/>
        <w:autoSpaceDN/>
        <w:bidi w:val="0"/>
        <w:adjustRightInd/>
        <w:snapToGrid/>
        <w:spacing w:after="0" w:line="360" w:lineRule="auto"/>
        <w:textAlignment w:val="auto"/>
        <w:rPr>
          <w:rFonts w:hint="eastAsia" w:ascii="仿宋" w:hAnsi="仿宋" w:eastAsia="仿宋" w:cs="仿宋"/>
          <w:color w:val="auto"/>
        </w:rPr>
      </w:pPr>
      <w:r>
        <w:rPr>
          <w:rFonts w:hint="eastAsia" w:ascii="仿宋" w:hAnsi="仿宋" w:eastAsia="仿宋" w:cs="仿宋"/>
          <w:b/>
          <w:bCs/>
          <w:color w:val="auto"/>
        </w:rPr>
        <w:t>物料供应链协同</w:t>
      </w:r>
      <w:r>
        <w:rPr>
          <w:rFonts w:hint="eastAsia" w:ascii="仿宋" w:hAnsi="仿宋" w:eastAsia="仿宋" w:cs="仿宋"/>
          <w:color w:val="auto"/>
        </w:rPr>
        <w:t>：开发上游关键物料（硅钢片、铜/铝电磁线、绝缘纸板、变压器油等）供应商数据对接接口，实现采购订单自动核验、到货质量自动比对、交期智能预测预警</w:t>
      </w:r>
    </w:p>
    <w:p w14:paraId="6BFEA9AF">
      <w:pPr>
        <w:pageBreakBefore w:val="0"/>
        <w:widowControl/>
        <w:numPr>
          <w:ilvl w:val="0"/>
          <w:numId w:val="6"/>
        </w:numPr>
        <w:kinsoku/>
        <w:overflowPunct/>
        <w:topLinePunct w:val="0"/>
        <w:autoSpaceDE/>
        <w:autoSpaceDN/>
        <w:bidi w:val="0"/>
        <w:adjustRightInd/>
        <w:snapToGrid/>
        <w:spacing w:after="0" w:line="360" w:lineRule="auto"/>
        <w:textAlignment w:val="auto"/>
        <w:rPr>
          <w:rFonts w:hint="eastAsia" w:ascii="仿宋" w:hAnsi="仿宋" w:eastAsia="仿宋" w:cs="仿宋"/>
          <w:color w:val="auto"/>
        </w:rPr>
      </w:pPr>
      <w:r>
        <w:rPr>
          <w:rFonts w:hint="eastAsia" w:ascii="仿宋" w:hAnsi="仿宋" w:eastAsia="仿宋" w:cs="仿宋"/>
          <w:b/>
          <w:bCs/>
          <w:color w:val="auto"/>
        </w:rPr>
        <w:t>生产过程数字看板</w:t>
      </w:r>
      <w:r>
        <w:rPr>
          <w:rFonts w:hint="eastAsia" w:ascii="仿宋" w:hAnsi="仿宋" w:eastAsia="仿宋" w:cs="仿宋"/>
          <w:color w:val="auto"/>
        </w:rPr>
        <w:t>：基于Web的车间级实时数据可视化系统，展示订单进度、工序状态、质量趋势、设备OEE等核心指标，支持报表自动生成和异常事件追溯</w:t>
      </w:r>
      <w:r>
        <w:rPr>
          <w:rFonts w:hint="eastAsia" w:ascii="仿宋" w:hAnsi="仿宋" w:eastAsia="仿宋" w:cs="仿宋"/>
          <w:color w:val="auto"/>
          <w:lang w:eastAsia="zh-CN"/>
        </w:rPr>
        <w:t>。</w:t>
      </w:r>
    </w:p>
    <w:bookmarkEnd w:id="13"/>
    <w:p w14:paraId="6512888B">
      <w:pPr>
        <w:bidi w:val="0"/>
        <w:rPr>
          <w:rFonts w:hint="eastAsia"/>
        </w:rPr>
      </w:pPr>
      <w:bookmarkStart w:id="14" w:name="子项目c变压器智能运维与数字孪生平台"/>
      <w:r>
        <w:drawing>
          <wp:inline distT="0" distB="0" distL="114300" distR="114300">
            <wp:extent cx="5466715" cy="3119120"/>
            <wp:effectExtent l="0" t="0" r="635" b="5080"/>
            <wp:docPr id="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4"/>
                    <pic:cNvPicPr>
                      <a:picLocks noChangeAspect="1"/>
                    </pic:cNvPicPr>
                  </pic:nvPicPr>
                  <pic:blipFill>
                    <a:blip r:embed="rId7"/>
                    <a:stretch>
                      <a:fillRect/>
                    </a:stretch>
                  </pic:blipFill>
                  <pic:spPr>
                    <a:xfrm>
                      <a:off x="0" y="0"/>
                      <a:ext cx="5466715" cy="3119120"/>
                    </a:xfrm>
                    <a:prstGeom prst="rect">
                      <a:avLst/>
                    </a:prstGeom>
                    <a:noFill/>
                    <a:ln>
                      <a:noFill/>
                    </a:ln>
                  </pic:spPr>
                </pic:pic>
              </a:graphicData>
            </a:graphic>
          </wp:inline>
        </w:drawing>
      </w:r>
    </w:p>
    <w:p w14:paraId="019F8B62">
      <w:pPr>
        <w:pStyle w:val="6"/>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b/>
          <w:bCs/>
          <w:i w:val="0"/>
          <w:iCs w:val="0"/>
          <w:color w:val="auto"/>
        </w:rPr>
      </w:pPr>
      <w:r>
        <w:rPr>
          <w:rFonts w:hint="eastAsia" w:ascii="仿宋" w:hAnsi="仿宋" w:eastAsia="仿宋" w:cs="仿宋"/>
          <w:b/>
          <w:bCs/>
          <w:i w:val="0"/>
          <w:iCs w:val="0"/>
          <w:color w:val="auto"/>
        </w:rPr>
        <w:t>子项目C：变压器智能运维与数字孪生平台</w:t>
      </w:r>
    </w:p>
    <w:p w14:paraId="2687B003">
      <w:pPr>
        <w:pStyle w:val="23"/>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 xml:space="preserve"> </w:t>
      </w:r>
      <w:r>
        <w:rPr>
          <w:rFonts w:hint="eastAsia" w:ascii="仿宋" w:hAnsi="仿宋" w:eastAsia="仿宋" w:cs="仿宋"/>
          <w:color w:val="auto"/>
        </w:rPr>
        <w:t>研发内容：</w:t>
      </w:r>
    </w:p>
    <w:p w14:paraId="77AC77AD">
      <w:pPr>
        <w:pageBreakBefore w:val="0"/>
        <w:widowControl/>
        <w:numPr>
          <w:ilvl w:val="0"/>
          <w:numId w:val="7"/>
        </w:numPr>
        <w:kinsoku/>
        <w:overflowPunct/>
        <w:topLinePunct w:val="0"/>
        <w:autoSpaceDE/>
        <w:autoSpaceDN/>
        <w:bidi w:val="0"/>
        <w:adjustRightInd/>
        <w:snapToGrid/>
        <w:spacing w:after="0" w:line="360" w:lineRule="auto"/>
        <w:textAlignment w:val="auto"/>
        <w:rPr>
          <w:rFonts w:hint="eastAsia" w:ascii="仿宋" w:hAnsi="仿宋" w:eastAsia="仿宋" w:cs="仿宋"/>
          <w:color w:val="auto"/>
        </w:rPr>
      </w:pPr>
      <w:r>
        <w:rPr>
          <w:rFonts w:hint="eastAsia" w:ascii="仿宋" w:hAnsi="仿宋" w:eastAsia="仿宋" w:cs="仿宋"/>
          <w:b/>
          <w:bCs/>
          <w:color w:val="auto"/>
        </w:rPr>
        <w:t>多模态智能传感套件</w:t>
      </w:r>
      <w:r>
        <w:rPr>
          <w:rFonts w:hint="eastAsia" w:ascii="仿宋" w:hAnsi="仿宋" w:eastAsia="仿宋" w:cs="仿宋"/>
          <w:color w:val="auto"/>
        </w:rPr>
        <w:t>：研制集成局放传感器（高频电流法HFCT/超声波法AE）、温度传感器（Pt100/光纤测温）、油位传感器、振动传感器、微水/气体分析传感器（H2、CO、C2H2等关键特征气体）的变压器多模态传感套件，适配干式变压器（加装表带式HFCT+表面温度贴片）和油浸式变压器（油阀接口安装+油箱壁振动传感器）两种典型场景</w:t>
      </w:r>
    </w:p>
    <w:p w14:paraId="152D6529">
      <w:pPr>
        <w:pageBreakBefore w:val="0"/>
        <w:widowControl/>
        <w:numPr>
          <w:ilvl w:val="0"/>
          <w:numId w:val="7"/>
        </w:numPr>
        <w:kinsoku/>
        <w:overflowPunct/>
        <w:topLinePunct w:val="0"/>
        <w:autoSpaceDE/>
        <w:autoSpaceDN/>
        <w:bidi w:val="0"/>
        <w:adjustRightInd/>
        <w:snapToGrid/>
        <w:spacing w:after="0" w:line="360" w:lineRule="auto"/>
        <w:textAlignment w:val="auto"/>
        <w:rPr>
          <w:rFonts w:hint="eastAsia" w:ascii="仿宋" w:hAnsi="仿宋" w:eastAsia="仿宋" w:cs="仿宋"/>
          <w:color w:val="auto"/>
        </w:rPr>
      </w:pPr>
      <w:r>
        <w:rPr>
          <w:rFonts w:hint="eastAsia" w:ascii="仿宋" w:hAnsi="仿宋" w:eastAsia="仿宋" w:cs="仿宋"/>
          <w:b/>
          <w:bCs/>
          <w:color w:val="auto"/>
        </w:rPr>
        <w:t>边缘AI诊断与云边协同</w:t>
      </w:r>
      <w:r>
        <w:rPr>
          <w:rFonts w:hint="eastAsia" w:ascii="仿宋" w:hAnsi="仿宋" w:eastAsia="仿宋" w:cs="仿宋"/>
          <w:color w:val="auto"/>
        </w:rPr>
        <w:t>：边缘端部署轻量级异常检测模型（基于1D-CNN或AutoEncoder），实时分析传感数据流，检出异常后上传原始波形至云端做深度诊断（局部放电模式识别、油中气体比值法（DGA三比值）、剩余寿命预测）。云端与边缘端模型通过增量学习方式持续迭代</w:t>
      </w:r>
    </w:p>
    <w:p w14:paraId="7302A644">
      <w:pPr>
        <w:pageBreakBefore w:val="0"/>
        <w:widowControl/>
        <w:numPr>
          <w:ilvl w:val="0"/>
          <w:numId w:val="7"/>
        </w:numPr>
        <w:kinsoku/>
        <w:overflowPunct/>
        <w:topLinePunct w:val="0"/>
        <w:autoSpaceDE/>
        <w:autoSpaceDN/>
        <w:bidi w:val="0"/>
        <w:adjustRightInd/>
        <w:snapToGrid/>
        <w:spacing w:after="0" w:line="360" w:lineRule="auto"/>
        <w:textAlignment w:val="auto"/>
        <w:rPr>
          <w:rFonts w:hint="eastAsia" w:ascii="仿宋" w:hAnsi="仿宋" w:eastAsia="仿宋" w:cs="仿宋"/>
          <w:color w:val="auto"/>
        </w:rPr>
      </w:pPr>
      <w:r>
        <w:rPr>
          <w:rFonts w:hint="eastAsia" w:ascii="仿宋" w:hAnsi="仿宋" w:eastAsia="仿宋" w:cs="仿宋"/>
          <w:b/>
          <w:bCs/>
          <w:color w:val="auto"/>
        </w:rPr>
        <w:t>变压器数字孪生</w:t>
      </w:r>
      <w:r>
        <w:rPr>
          <w:rFonts w:hint="eastAsia" w:ascii="仿宋" w:hAnsi="仿宋" w:eastAsia="仿宋" w:cs="仿宋"/>
          <w:color w:val="auto"/>
        </w:rPr>
        <w:t>：基于法拉迪电磁计算引擎输出的设计参数（铁芯截面、绕组匝数、阻抗、损耗等）构建初始数字模型，融合运行传感数据实时更新状态，实现"设计参数+制造数据+运行数据"三源融合的数字镜像。支持运行状态推演（负载变化下的温升预测）、故障仿真（指定故障注入后的响应推演）、维护决策仿真（维修方案效果预评估）</w:t>
      </w:r>
    </w:p>
    <w:p w14:paraId="0DD5BE05">
      <w:pPr>
        <w:pageBreakBefore w:val="0"/>
        <w:widowControl/>
        <w:numPr>
          <w:ilvl w:val="0"/>
          <w:numId w:val="7"/>
        </w:numPr>
        <w:kinsoku/>
        <w:overflowPunct/>
        <w:topLinePunct w:val="0"/>
        <w:autoSpaceDE/>
        <w:autoSpaceDN/>
        <w:bidi w:val="0"/>
        <w:adjustRightInd/>
        <w:snapToGrid/>
        <w:spacing w:after="0" w:line="360" w:lineRule="auto"/>
        <w:textAlignment w:val="auto"/>
        <w:rPr>
          <w:rFonts w:hint="eastAsia" w:ascii="仿宋" w:hAnsi="仿宋" w:eastAsia="仿宋" w:cs="仿宋"/>
          <w:color w:val="auto"/>
        </w:rPr>
      </w:pPr>
      <w:r>
        <w:rPr>
          <w:rFonts w:hint="eastAsia" w:ascii="仿宋" w:hAnsi="仿宋" w:eastAsia="仿宋" w:cs="仿宋"/>
          <w:b/>
          <w:bCs/>
          <w:color w:val="auto"/>
        </w:rPr>
        <w:t>预测性运维决策中心</w:t>
      </w:r>
      <w:r>
        <w:rPr>
          <w:rFonts w:hint="eastAsia" w:ascii="仿宋" w:hAnsi="仿宋" w:eastAsia="仿宋" w:cs="仿宋"/>
          <w:color w:val="auto"/>
        </w:rPr>
        <w:t>：基于状态评估结果，自动生成维护工单（含维护类型、所需备件、建议时间窗口），结合备件库存和运维人员排班给出优化排程建议，对接电站/园区运维管理系统</w:t>
      </w:r>
    </w:p>
    <w:bookmarkEnd w:id="11"/>
    <w:bookmarkEnd w:id="14"/>
    <w:p w14:paraId="4B185331">
      <w:pPr>
        <w:pStyle w:val="5"/>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bookmarkStart w:id="15" w:name="X7a4cf5fffe36775a31c3eaebaa058287f144baa"/>
      <w:r>
        <w:drawing>
          <wp:inline distT="0" distB="0" distL="114300" distR="114300">
            <wp:extent cx="5481320" cy="3130550"/>
            <wp:effectExtent l="0" t="0" r="5080" b="3175"/>
            <wp:docPr id="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6"/>
                    <pic:cNvPicPr>
                      <a:picLocks noChangeAspect="1"/>
                    </pic:cNvPicPr>
                  </pic:nvPicPr>
                  <pic:blipFill>
                    <a:blip r:embed="rId8"/>
                    <a:stretch>
                      <a:fillRect/>
                    </a:stretch>
                  </pic:blipFill>
                  <pic:spPr>
                    <a:xfrm>
                      <a:off x="0" y="0"/>
                      <a:ext cx="5481320" cy="3130550"/>
                    </a:xfrm>
                    <a:prstGeom prst="rect">
                      <a:avLst/>
                    </a:prstGeom>
                    <a:noFill/>
                    <a:ln>
                      <a:noFill/>
                    </a:ln>
                  </pic:spPr>
                </pic:pic>
              </a:graphicData>
            </a:graphic>
          </wp:inline>
        </w:drawing>
      </w:r>
      <w:bookmarkStart w:id="39" w:name="_GoBack"/>
      <w:bookmarkEnd w:id="39"/>
    </w:p>
    <w:p w14:paraId="767D94C0">
      <w:pPr>
        <w:pStyle w:val="5"/>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 xml:space="preserve">3.2 </w:t>
      </w:r>
      <w:r>
        <w:rPr>
          <w:rFonts w:hint="eastAsia" w:ascii="仿宋" w:hAnsi="仿宋" w:eastAsia="仿宋" w:cs="仿宋"/>
          <w:color w:val="auto"/>
        </w:rPr>
        <w:t>关键技术</w:t>
      </w:r>
    </w:p>
    <w:tbl>
      <w:tblPr>
        <w:tblStyle w:val="4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3"/>
        <w:gridCol w:w="2113"/>
        <w:gridCol w:w="776"/>
        <w:gridCol w:w="5454"/>
      </w:tblGrid>
      <w:tr w14:paraId="6F390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p w14:paraId="2DD7AAD4">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编号</w:t>
            </w:r>
          </w:p>
        </w:tc>
        <w:tc>
          <w:p w14:paraId="02D3F081">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关键技术</w:t>
            </w:r>
          </w:p>
        </w:tc>
        <w:tc>
          <w:p w14:paraId="09078264">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所属子项目</w:t>
            </w:r>
          </w:p>
        </w:tc>
        <w:tc>
          <w:p w14:paraId="221AA7F2">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技术难点</w:t>
            </w:r>
          </w:p>
        </w:tc>
      </w:tr>
      <w:tr w14:paraId="2A2012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7CCF08F">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K1</w:t>
            </w:r>
          </w:p>
        </w:tc>
        <w:tc>
          <w:p w14:paraId="21E30F0B">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b/>
                <w:bCs/>
                <w:color w:val="auto"/>
              </w:rPr>
              <w:t>面向变压器领域的多Agent协同报价决策技术</w:t>
            </w:r>
          </w:p>
        </w:tc>
        <w:tc>
          <w:p w14:paraId="4ADCEB68">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A</w:t>
            </w:r>
          </w:p>
        </w:tc>
        <w:tc>
          <w:p w14:paraId="68721411">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需求参数的同义词映射和隐式规则挖掘（如客户说的"升压变"隐含特定的联结组别和调压方式），完成项目匹配中的工程约束遵守（不仅看参数相似度，还要考虑制造可行性和成本最优）</w:t>
            </w:r>
          </w:p>
        </w:tc>
      </w:tr>
      <w:tr w14:paraId="67F8F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07485C3">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K2</w:t>
            </w:r>
          </w:p>
        </w:tc>
        <w:tc>
          <w:p w14:paraId="719DC309">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b/>
                <w:bCs/>
                <w:color w:val="auto"/>
              </w:rPr>
              <w:t>面向定制化产品的智能定价优化技术</w:t>
            </w:r>
          </w:p>
        </w:tc>
        <w:tc>
          <w:p w14:paraId="448911A3">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A</w:t>
            </w:r>
          </w:p>
        </w:tc>
        <w:tc>
          <w:p w14:paraId="09D2C955">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成交率受价格、交期、客户关系、市场竞争等多因素耦合影响，如何在数据稀疏场景下（变压器品类多但同型号报价次数少）做出合理定价</w:t>
            </w:r>
          </w:p>
        </w:tc>
      </w:tr>
      <w:tr w14:paraId="51807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CB4CD15">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K3</w:t>
            </w:r>
          </w:p>
        </w:tc>
        <w:tc>
          <w:p w14:paraId="3150DEBA">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b/>
                <w:bCs/>
                <w:color w:val="auto"/>
              </w:rPr>
              <w:t>变压器制造过程多源工艺参数实时感知与质量预测技术</w:t>
            </w:r>
          </w:p>
        </w:tc>
        <w:tc>
          <w:p w14:paraId="0AA69C88">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B</w:t>
            </w:r>
          </w:p>
        </w:tc>
        <w:tc>
          <w:p w14:paraId="7C87246F">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工艺参数的高维耦合（绕线张力变化同时影响局部放电和损耗），小样本下（新品试制阶段数据极少）质量预测模型的迁移和泛化</w:t>
            </w:r>
          </w:p>
        </w:tc>
      </w:tr>
      <w:tr w14:paraId="1F379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99B735F">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K4</w:t>
            </w:r>
          </w:p>
        </w:tc>
        <w:tc>
          <w:p w14:paraId="4628245A">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b/>
                <w:bCs/>
                <w:color w:val="auto"/>
              </w:rPr>
              <w:t>边缘端轻量级AI推理与云端大模型协同技术</w:t>
            </w:r>
          </w:p>
        </w:tc>
        <w:tc>
          <w:p w14:paraId="1D9D26A4">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B/C</w:t>
            </w:r>
          </w:p>
        </w:tc>
        <w:tc>
          <w:p w14:paraId="5BD87F54">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边缘端算力受限（NPU推理），需平衡模型精度与实时性；云端大模型与边缘小模型的增量同步机制</w:t>
            </w:r>
          </w:p>
        </w:tc>
      </w:tr>
      <w:tr w14:paraId="25A3DD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CEEF8B1">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K5</w:t>
            </w:r>
          </w:p>
        </w:tc>
        <w:tc>
          <w:p w14:paraId="3FD77D59">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b/>
                <w:bCs/>
                <w:color w:val="auto"/>
              </w:rPr>
              <w:t>"设计—制造—运行"三源融合的变压器数字孪生建模技术</w:t>
            </w:r>
          </w:p>
        </w:tc>
        <w:tc>
          <w:p w14:paraId="339FDC83">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C</w:t>
            </w:r>
          </w:p>
        </w:tc>
        <w:tc>
          <w:p w14:paraId="27351280">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设计参数（静态）、制造数据（准静态）、运行数据（动态时变）的时间尺度和精度差异，如何建立统一的几何-物理-行为多维模型</w:t>
            </w:r>
          </w:p>
        </w:tc>
      </w:tr>
      <w:tr w14:paraId="40C49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AA78397">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K6</w:t>
            </w:r>
          </w:p>
        </w:tc>
        <w:tc>
          <w:p w14:paraId="066B2FFF">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b/>
                <w:bCs/>
                <w:color w:val="auto"/>
              </w:rPr>
              <w:t>基于多模态传感的变压器早期故障诊断技术</w:t>
            </w:r>
          </w:p>
        </w:tc>
        <w:tc>
          <w:p w14:paraId="77DFC044">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C</w:t>
            </w:r>
          </w:p>
        </w:tc>
        <w:tc>
          <w:p w14:paraId="3ACF45BF">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局放信号在强电磁干扰环境下的信噪比提升，多传感源（电气+声+热+化学）的异构数据融合诊断</w:t>
            </w:r>
          </w:p>
        </w:tc>
      </w:tr>
      <w:bookmarkEnd w:id="15"/>
    </w:tbl>
    <w:p w14:paraId="7BC56791">
      <w:pPr>
        <w:pStyle w:val="5"/>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bookmarkStart w:id="16" w:name="X842ce5736af062364ed1a1ce2695a58ed78e333"/>
      <w:r>
        <w:rPr>
          <w:rFonts w:hint="eastAsia" w:ascii="仿宋" w:hAnsi="仿宋" w:eastAsia="仿宋" w:cs="仿宋"/>
          <w:color w:val="auto"/>
        </w:rPr>
        <w:t xml:space="preserve">3.3 </w:t>
      </w:r>
      <w:r>
        <w:rPr>
          <w:rFonts w:hint="eastAsia" w:ascii="仿宋" w:hAnsi="仿宋" w:eastAsia="仿宋" w:cs="仿宋"/>
          <w:color w:val="auto"/>
        </w:rPr>
        <w:t>创新点</w:t>
      </w:r>
    </w:p>
    <w:p w14:paraId="51DC7B19">
      <w:pPr>
        <w:pageBreakBefore w:val="0"/>
        <w:widowControl/>
        <w:numPr>
          <w:ilvl w:val="0"/>
          <w:numId w:val="8"/>
        </w:numPr>
        <w:kinsoku/>
        <w:overflowPunct/>
        <w:topLinePunct w:val="0"/>
        <w:autoSpaceDE/>
        <w:autoSpaceDN/>
        <w:bidi w:val="0"/>
        <w:adjustRightInd/>
        <w:snapToGrid/>
        <w:spacing w:after="0" w:line="360" w:lineRule="auto"/>
        <w:textAlignment w:val="auto"/>
        <w:rPr>
          <w:rFonts w:hint="eastAsia" w:ascii="仿宋" w:hAnsi="仿宋" w:eastAsia="仿宋" w:cs="仿宋"/>
          <w:color w:val="auto"/>
        </w:rPr>
      </w:pPr>
      <w:r>
        <w:rPr>
          <w:rFonts w:hint="eastAsia" w:ascii="仿宋" w:hAnsi="仿宋" w:eastAsia="仿宋" w:cs="仿宋"/>
          <w:b/>
          <w:bCs/>
          <w:color w:val="auto"/>
        </w:rPr>
        <w:t>行业首创"报价→制造→运维"全流程AI一体化平台</w:t>
      </w:r>
      <w:r>
        <w:rPr>
          <w:rFonts w:hint="eastAsia" w:ascii="仿宋" w:hAnsi="仿宋" w:eastAsia="仿宋" w:cs="仿宋"/>
          <w:color w:val="auto"/>
        </w:rPr>
        <w:t>：现有工作均为单点突破（仅报价、仅监控或仅质量追溯），本项目首次将三个环节数据打通、算法贯通，实现变压器全生命周期的智能化闭环</w:t>
      </w:r>
    </w:p>
    <w:p w14:paraId="3F3FD47D">
      <w:pPr>
        <w:pageBreakBefore w:val="0"/>
        <w:widowControl/>
        <w:numPr>
          <w:ilvl w:val="0"/>
          <w:numId w:val="8"/>
        </w:numPr>
        <w:kinsoku/>
        <w:overflowPunct/>
        <w:topLinePunct w:val="0"/>
        <w:autoSpaceDE/>
        <w:autoSpaceDN/>
        <w:bidi w:val="0"/>
        <w:adjustRightInd/>
        <w:snapToGrid/>
        <w:spacing w:after="0" w:line="360" w:lineRule="auto"/>
        <w:textAlignment w:val="auto"/>
        <w:rPr>
          <w:rFonts w:hint="eastAsia" w:ascii="仿宋" w:hAnsi="仿宋" w:eastAsia="仿宋" w:cs="仿宋"/>
          <w:color w:val="auto"/>
        </w:rPr>
      </w:pPr>
      <w:r>
        <w:rPr>
          <w:rFonts w:hint="eastAsia" w:ascii="仿宋" w:hAnsi="仿宋" w:eastAsia="仿宋" w:cs="仿宋"/>
          <w:b/>
          <w:bCs/>
          <w:color w:val="auto"/>
        </w:rPr>
        <w:t>多Agent协同的工程报价决策体系</w:t>
      </w:r>
      <w:r>
        <w:rPr>
          <w:rFonts w:hint="eastAsia" w:ascii="仿宋" w:hAnsi="仿宋" w:eastAsia="仿宋" w:cs="仿宋"/>
          <w:color w:val="auto"/>
        </w:rPr>
        <w:t>：将AI</w:t>
      </w:r>
      <w:r>
        <w:rPr>
          <w:rFonts w:hint="eastAsia" w:ascii="仿宋" w:hAnsi="仿宋" w:eastAsia="仿宋" w:cs="仿宋"/>
          <w:color w:val="auto"/>
        </w:rPr>
        <w:t xml:space="preserve"> </w:t>
      </w:r>
      <w:r>
        <w:rPr>
          <w:rFonts w:hint="eastAsia" w:ascii="仿宋" w:hAnsi="仿宋" w:eastAsia="仿宋" w:cs="仿宋"/>
          <w:color w:val="auto"/>
        </w:rPr>
        <w:t>Agent思想引入变压器报价领域，通过多个专业Agent的分工协作（需求解析→方案匹配→参数优化→BOM→成本→报价），替代传统7-15天的人工评审流程，将报价响应压缩至分钟级</w:t>
      </w:r>
    </w:p>
    <w:p w14:paraId="797EB9E5">
      <w:pPr>
        <w:pageBreakBefore w:val="0"/>
        <w:widowControl/>
        <w:numPr>
          <w:ilvl w:val="0"/>
          <w:numId w:val="8"/>
        </w:numPr>
        <w:kinsoku/>
        <w:overflowPunct/>
        <w:topLinePunct w:val="0"/>
        <w:autoSpaceDE/>
        <w:autoSpaceDN/>
        <w:bidi w:val="0"/>
        <w:adjustRightInd/>
        <w:snapToGrid/>
        <w:spacing w:after="0" w:line="360" w:lineRule="auto"/>
        <w:textAlignment w:val="auto"/>
        <w:rPr>
          <w:rFonts w:hint="eastAsia" w:ascii="仿宋" w:hAnsi="仿宋" w:eastAsia="仿宋" w:cs="仿宋"/>
          <w:color w:val="auto"/>
        </w:rPr>
      </w:pPr>
      <w:r>
        <w:rPr>
          <w:rFonts w:hint="eastAsia" w:ascii="仿宋" w:hAnsi="仿宋" w:eastAsia="仿宋" w:cs="仿宋"/>
          <w:b/>
          <w:bCs/>
          <w:color w:val="auto"/>
        </w:rPr>
        <w:t>云边协同的实时质量预测—诊断—维护闭环</w:t>
      </w:r>
      <w:r>
        <w:rPr>
          <w:rFonts w:hint="eastAsia" w:ascii="仿宋" w:hAnsi="仿宋" w:eastAsia="仿宋" w:cs="仿宋"/>
          <w:color w:val="auto"/>
        </w:rPr>
        <w:t>：边缘端实时异常检测（工艺过程+运行状态）+云端深度诊断（质量预测+故障识别+寿命评估+维护决策），实现从"被动修复"到"主动预测"的范式转变</w:t>
      </w:r>
    </w:p>
    <w:p w14:paraId="702C42E7">
      <w:pPr>
        <w:pageBreakBefore w:val="0"/>
        <w:widowControl/>
        <w:numPr>
          <w:ilvl w:val="0"/>
          <w:numId w:val="8"/>
        </w:numPr>
        <w:kinsoku/>
        <w:overflowPunct/>
        <w:topLinePunct w:val="0"/>
        <w:autoSpaceDE/>
        <w:autoSpaceDN/>
        <w:bidi w:val="0"/>
        <w:adjustRightInd/>
        <w:snapToGrid/>
        <w:spacing w:after="0" w:line="360" w:lineRule="auto"/>
        <w:textAlignment w:val="auto"/>
        <w:rPr>
          <w:rFonts w:hint="eastAsia" w:ascii="仿宋" w:hAnsi="仿宋" w:eastAsia="仿宋" w:cs="仿宋"/>
          <w:color w:val="auto"/>
        </w:rPr>
      </w:pPr>
      <w:r>
        <w:rPr>
          <w:rFonts w:hint="eastAsia" w:ascii="仿宋" w:hAnsi="仿宋" w:eastAsia="仿宋" w:cs="仿宋"/>
          <w:b/>
          <w:bCs/>
          <w:color w:val="auto"/>
        </w:rPr>
        <w:t>设计—制造—运行三源融合数字孪生</w:t>
      </w:r>
      <w:r>
        <w:rPr>
          <w:rFonts w:hint="eastAsia" w:ascii="仿宋" w:hAnsi="仿宋" w:eastAsia="仿宋" w:cs="仿宋"/>
          <w:color w:val="auto"/>
        </w:rPr>
        <w:t>：利用变压器电磁计算引擎已有的设计参数作为数字孪生模型的物理先验，突破单纯依赖运行数据驱动的建模方法，使模型在小样本下仍具备物理合理性</w:t>
      </w:r>
    </w:p>
    <w:p w14:paraId="77CD39E3">
      <w:pPr>
        <w:pageBreakBefore w:val="0"/>
        <w:widowControl/>
        <w:kinsoku/>
        <w:overflowPunct/>
        <w:topLinePunct w:val="0"/>
        <w:autoSpaceDE/>
        <w:autoSpaceDN/>
        <w:bidi w:val="0"/>
        <w:adjustRightInd/>
        <w:snapToGrid/>
        <w:spacing w:after="0" w:line="360" w:lineRule="auto"/>
        <w:textAlignment w:val="auto"/>
        <w:rPr>
          <w:rFonts w:hint="eastAsia" w:ascii="仿宋" w:hAnsi="仿宋" w:eastAsia="仿宋" w:cs="仿宋"/>
          <w:color w:val="auto"/>
        </w:rPr>
      </w:pPr>
    </w:p>
    <w:bookmarkEnd w:id="10"/>
    <w:bookmarkEnd w:id="16"/>
    <w:p w14:paraId="4494A35D">
      <w:pPr>
        <w:pStyle w:val="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bookmarkStart w:id="17" w:name="X7887610dfe0251be71d1e95f455df00066f2e58"/>
      <w:r>
        <w:rPr>
          <w:rFonts w:hint="eastAsia" w:ascii="仿宋" w:hAnsi="仿宋" w:eastAsia="仿宋" w:cs="仿宋"/>
          <w:color w:val="auto"/>
        </w:rPr>
        <w:t xml:space="preserve">4. </w:t>
      </w:r>
      <w:r>
        <w:rPr>
          <w:rFonts w:hint="eastAsia" w:ascii="仿宋" w:hAnsi="仿宋" w:eastAsia="仿宋" w:cs="仿宋"/>
          <w:color w:val="auto"/>
        </w:rPr>
        <w:t>预期目标</w:t>
      </w:r>
    </w:p>
    <w:p w14:paraId="3724E2B4">
      <w:pPr>
        <w:pStyle w:val="5"/>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bookmarkStart w:id="18" w:name="Xfa0107c271b90388c61d27006c006e5057686fb"/>
      <w:r>
        <w:rPr>
          <w:rFonts w:hint="eastAsia" w:ascii="仿宋" w:hAnsi="仿宋" w:eastAsia="仿宋" w:cs="仿宋"/>
          <w:color w:val="auto"/>
        </w:rPr>
        <w:t xml:space="preserve">4.1 </w:t>
      </w:r>
      <w:r>
        <w:rPr>
          <w:rFonts w:hint="eastAsia" w:ascii="仿宋" w:hAnsi="仿宋" w:eastAsia="仿宋" w:cs="仿宋"/>
          <w:color w:val="auto"/>
        </w:rPr>
        <w:t>主要技术指标</w:t>
      </w:r>
    </w:p>
    <w:p w14:paraId="71C339AC">
      <w:pPr>
        <w:pStyle w:val="6"/>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bookmarkStart w:id="19" w:name="子项目a智能报价与设计决策系统"/>
      <w:r>
        <w:rPr>
          <w:rFonts w:hint="eastAsia" w:ascii="仿宋" w:hAnsi="仿宋" w:eastAsia="仿宋" w:cs="仿宋"/>
          <w:color w:val="auto"/>
        </w:rPr>
        <w:t>子项目A：智能报价与设计决策系统</w:t>
      </w:r>
    </w:p>
    <w:tbl>
      <w:tblPr>
        <w:tblStyle w:val="41"/>
        <w:tblW w:w="0" w:type="auto"/>
        <w:tblInd w:w="0" w:type="dxa"/>
        <w:tblLayout w:type="autofit"/>
        <w:tblCellMar>
          <w:top w:w="0" w:type="dxa"/>
          <w:left w:w="108" w:type="dxa"/>
          <w:bottom w:w="0" w:type="dxa"/>
          <w:right w:w="108" w:type="dxa"/>
        </w:tblCellMar>
      </w:tblPr>
      <w:tblGrid>
        <w:gridCol w:w="4536"/>
        <w:gridCol w:w="3816"/>
      </w:tblGrid>
      <w:tr w14:paraId="07F31DC5">
        <w:tblPrEx>
          <w:tblCellMar>
            <w:top w:w="0" w:type="dxa"/>
            <w:left w:w="108" w:type="dxa"/>
            <w:bottom w:w="0" w:type="dxa"/>
            <w:right w:w="108" w:type="dxa"/>
          </w:tblCellMar>
        </w:tblPrEx>
        <w:trPr>
          <w:tblHeader/>
        </w:trPr>
        <w:tc>
          <w:p w14:paraId="4C084D92">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指标</w:t>
            </w:r>
          </w:p>
        </w:tc>
        <w:tc>
          <w:p w14:paraId="70CE5218">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目标值</w:t>
            </w:r>
          </w:p>
        </w:tc>
      </w:tr>
      <w:tr w14:paraId="50A65FAD">
        <w:tblPrEx>
          <w:tblCellMar>
            <w:top w:w="0" w:type="dxa"/>
            <w:left w:w="108" w:type="dxa"/>
            <w:bottom w:w="0" w:type="dxa"/>
            <w:right w:w="108" w:type="dxa"/>
          </w:tblCellMar>
        </w:tblPrEx>
        <w:tc>
          <w:p w14:paraId="330D07C9">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多模态需求解析准确率</w:t>
            </w:r>
          </w:p>
        </w:tc>
        <w:tc>
          <w:p w14:paraId="615EBA50">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≥90%（以专家审核通过率为准）</w:t>
            </w:r>
          </w:p>
        </w:tc>
      </w:tr>
      <w:tr w14:paraId="585DE33E">
        <w:tblPrEx>
          <w:tblCellMar>
            <w:top w:w="0" w:type="dxa"/>
            <w:left w:w="108" w:type="dxa"/>
            <w:bottom w:w="0" w:type="dxa"/>
            <w:right w:w="108" w:type="dxa"/>
          </w:tblCellMar>
        </w:tblPrEx>
        <w:tc>
          <w:p w14:paraId="64B1961D">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已完成项目匹配召回率</w:t>
            </w:r>
          </w:p>
        </w:tc>
        <w:tc>
          <w:p w14:paraId="7D521C5D">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≥85%（Top-5匹配命中率）</w:t>
            </w:r>
          </w:p>
        </w:tc>
      </w:tr>
      <w:tr w14:paraId="035229F9">
        <w:tblPrEx>
          <w:tblCellMar>
            <w:top w:w="0" w:type="dxa"/>
            <w:left w:w="108" w:type="dxa"/>
            <w:bottom w:w="0" w:type="dxa"/>
            <w:right w:w="108" w:type="dxa"/>
          </w:tblCellMar>
        </w:tblPrEx>
        <w:tc>
          <w:p w14:paraId="6C1D94CD">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报价生成时间（从上传需求到报价草稿）</w:t>
            </w:r>
          </w:p>
        </w:tc>
        <w:tc>
          <w:p w14:paraId="2810ACE6">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≤30分钟</w:t>
            </w:r>
          </w:p>
        </w:tc>
      </w:tr>
      <w:tr w14:paraId="3C377583">
        <w:tblPrEx>
          <w:tblCellMar>
            <w:top w:w="0" w:type="dxa"/>
            <w:left w:w="108" w:type="dxa"/>
            <w:bottom w:w="0" w:type="dxa"/>
            <w:right w:w="108" w:type="dxa"/>
          </w:tblCellMar>
        </w:tblPrEx>
        <w:tc>
          <w:p w14:paraId="62B3768C">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案例知识库规模</w:t>
            </w:r>
          </w:p>
        </w:tc>
        <w:tc>
          <w:p w14:paraId="5251DB46">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≥2000个全链路案例</w:t>
            </w:r>
          </w:p>
        </w:tc>
      </w:tr>
      <w:tr w14:paraId="75C7BC7F">
        <w:tblPrEx>
          <w:tblCellMar>
            <w:top w:w="0" w:type="dxa"/>
            <w:left w:w="108" w:type="dxa"/>
            <w:bottom w:w="0" w:type="dxa"/>
            <w:right w:w="108" w:type="dxa"/>
          </w:tblCellMar>
        </w:tblPrEx>
        <w:tc>
          <w:p w14:paraId="48CB3596">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智能定价成交率提升</w:t>
            </w:r>
          </w:p>
        </w:tc>
        <w:tc>
          <w:p w14:paraId="6CE7D45C">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≥15%（与人工定价基准对比）</w:t>
            </w:r>
          </w:p>
        </w:tc>
      </w:tr>
      <w:tr w14:paraId="4A377347">
        <w:tblPrEx>
          <w:tblCellMar>
            <w:top w:w="0" w:type="dxa"/>
            <w:left w:w="108" w:type="dxa"/>
            <w:bottom w:w="0" w:type="dxa"/>
            <w:right w:w="108" w:type="dxa"/>
          </w:tblCellMar>
        </w:tblPrEx>
        <w:tc>
          <w:p w14:paraId="48043D03">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报价方案一致性</w:t>
            </w:r>
          </w:p>
        </w:tc>
        <w:tc>
          <w:p w14:paraId="698A565A">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100%（同一输入输出标准化报价）</w:t>
            </w:r>
          </w:p>
        </w:tc>
      </w:tr>
      <w:bookmarkEnd w:id="19"/>
    </w:tbl>
    <w:p w14:paraId="2E8B39EE">
      <w:pPr>
        <w:pStyle w:val="6"/>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bookmarkStart w:id="20" w:name="子项目b生产过程智能感知与质量管控"/>
      <w:r>
        <w:rPr>
          <w:rFonts w:hint="eastAsia" w:ascii="仿宋" w:hAnsi="仿宋" w:eastAsia="仿宋" w:cs="仿宋"/>
          <w:color w:val="auto"/>
        </w:rPr>
        <w:t>子项目B：生产过程智能感知与质量管控</w:t>
      </w:r>
    </w:p>
    <w:tbl>
      <w:tblPr>
        <w:tblStyle w:val="41"/>
        <w:tblW w:w="0" w:type="auto"/>
        <w:tblInd w:w="0" w:type="dxa"/>
        <w:tblLayout w:type="autofit"/>
        <w:tblCellMar>
          <w:top w:w="0" w:type="dxa"/>
          <w:left w:w="108" w:type="dxa"/>
          <w:bottom w:w="0" w:type="dxa"/>
          <w:right w:w="108" w:type="dxa"/>
        </w:tblCellMar>
      </w:tblPr>
      <w:tblGrid>
        <w:gridCol w:w="2736"/>
        <w:gridCol w:w="3876"/>
      </w:tblGrid>
      <w:tr w14:paraId="4D624E9F">
        <w:tblPrEx>
          <w:tblCellMar>
            <w:top w:w="0" w:type="dxa"/>
            <w:left w:w="108" w:type="dxa"/>
            <w:bottom w:w="0" w:type="dxa"/>
            <w:right w:w="108" w:type="dxa"/>
          </w:tblCellMar>
        </w:tblPrEx>
        <w:trPr>
          <w:tblHeader/>
        </w:trPr>
        <w:tc>
          <w:p w14:paraId="6543CAB8">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指标</w:t>
            </w:r>
          </w:p>
        </w:tc>
        <w:tc>
          <w:p w14:paraId="63DE2FC8">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目标值</w:t>
            </w:r>
          </w:p>
        </w:tc>
      </w:tr>
      <w:tr w14:paraId="64EB3372">
        <w:tblPrEx>
          <w:tblCellMar>
            <w:top w:w="0" w:type="dxa"/>
            <w:left w:w="108" w:type="dxa"/>
            <w:bottom w:w="0" w:type="dxa"/>
            <w:right w:w="108" w:type="dxa"/>
          </w:tblCellMar>
        </w:tblPrEx>
        <w:tc>
          <w:p w14:paraId="57FB5765">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边缘网关通道数</w:t>
            </w:r>
          </w:p>
        </w:tc>
        <w:tc>
          <w:p w14:paraId="20CC4345">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≥8通道并行采集</w:t>
            </w:r>
          </w:p>
        </w:tc>
      </w:tr>
      <w:tr w14:paraId="11B16E4C">
        <w:tblPrEx>
          <w:tblCellMar>
            <w:top w:w="0" w:type="dxa"/>
            <w:left w:w="108" w:type="dxa"/>
            <w:bottom w:w="0" w:type="dxa"/>
            <w:right w:w="108" w:type="dxa"/>
          </w:tblCellMar>
        </w:tblPrEx>
        <w:tc>
          <w:p w14:paraId="17036AE4">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边缘端AI推理响应时间</w:t>
            </w:r>
          </w:p>
        </w:tc>
        <w:tc>
          <w:p w14:paraId="5EA94DED">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≤100ms</w:t>
            </w:r>
          </w:p>
        </w:tc>
      </w:tr>
      <w:tr w14:paraId="1679C804">
        <w:tblPrEx>
          <w:tblCellMar>
            <w:top w:w="0" w:type="dxa"/>
            <w:left w:w="108" w:type="dxa"/>
            <w:bottom w:w="0" w:type="dxa"/>
            <w:right w:w="108" w:type="dxa"/>
          </w:tblCellMar>
        </w:tblPrEx>
        <w:tc>
          <w:p w14:paraId="32AD58CC">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工艺参数采集覆盖率</w:t>
            </w:r>
          </w:p>
        </w:tc>
        <w:tc>
          <w:p w14:paraId="0BEE464F">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≥关键工序的90%</w:t>
            </w:r>
          </w:p>
        </w:tc>
      </w:tr>
      <w:tr w14:paraId="4FF334E4">
        <w:tblPrEx>
          <w:tblCellMar>
            <w:top w:w="0" w:type="dxa"/>
            <w:left w:w="108" w:type="dxa"/>
            <w:bottom w:w="0" w:type="dxa"/>
            <w:right w:w="108" w:type="dxa"/>
          </w:tblCellMar>
        </w:tblPrEx>
        <w:tc>
          <w:p w14:paraId="18905705">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质量预测准确率</w:t>
            </w:r>
          </w:p>
        </w:tc>
        <w:tc>
          <w:p w14:paraId="741ABEFE">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≥85%（Top-3可能缺陷的命中率）</w:t>
            </w:r>
          </w:p>
        </w:tc>
      </w:tr>
      <w:tr w14:paraId="6AF5CA3B">
        <w:tblPrEx>
          <w:tblCellMar>
            <w:top w:w="0" w:type="dxa"/>
            <w:left w:w="108" w:type="dxa"/>
            <w:bottom w:w="0" w:type="dxa"/>
            <w:right w:w="108" w:type="dxa"/>
          </w:tblCellMar>
        </w:tblPrEx>
        <w:tc>
          <w:p w14:paraId="050024D5">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生产过程数据可追溯率</w:t>
            </w:r>
          </w:p>
        </w:tc>
        <w:tc>
          <w:p w14:paraId="3028ED53">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100%（订单级全链路）</w:t>
            </w:r>
          </w:p>
        </w:tc>
      </w:tr>
      <w:bookmarkEnd w:id="20"/>
    </w:tbl>
    <w:p w14:paraId="5930D2D3">
      <w:pPr>
        <w:pStyle w:val="6"/>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bookmarkStart w:id="21" w:name="子项目c智能运维与数字孪生"/>
      <w:r>
        <w:rPr>
          <w:rFonts w:hint="eastAsia" w:ascii="仿宋" w:hAnsi="仿宋" w:eastAsia="仿宋" w:cs="仿宋"/>
          <w:color w:val="auto"/>
        </w:rPr>
        <w:t>子项目C：智能运维与数字孪生</w:t>
      </w:r>
    </w:p>
    <w:tbl>
      <w:tblPr>
        <w:tblStyle w:val="41"/>
        <w:tblW w:w="0" w:type="auto"/>
        <w:tblInd w:w="0" w:type="dxa"/>
        <w:tblLayout w:type="autofit"/>
        <w:tblCellMar>
          <w:top w:w="0" w:type="dxa"/>
          <w:left w:w="108" w:type="dxa"/>
          <w:bottom w:w="0" w:type="dxa"/>
          <w:right w:w="108" w:type="dxa"/>
        </w:tblCellMar>
      </w:tblPr>
      <w:tblGrid>
        <w:gridCol w:w="2616"/>
        <w:gridCol w:w="4356"/>
      </w:tblGrid>
      <w:tr w14:paraId="481CBF5D">
        <w:tblPrEx>
          <w:tblCellMar>
            <w:top w:w="0" w:type="dxa"/>
            <w:left w:w="108" w:type="dxa"/>
            <w:bottom w:w="0" w:type="dxa"/>
            <w:right w:w="108" w:type="dxa"/>
          </w:tblCellMar>
        </w:tblPrEx>
        <w:trPr>
          <w:tblHeader/>
        </w:trPr>
        <w:tc>
          <w:p w14:paraId="048C456E">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指标</w:t>
            </w:r>
          </w:p>
        </w:tc>
        <w:tc>
          <w:p w14:paraId="6936EA20">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目标值</w:t>
            </w:r>
          </w:p>
        </w:tc>
      </w:tr>
      <w:tr w14:paraId="60C05C87">
        <w:tblPrEx>
          <w:tblCellMar>
            <w:top w:w="0" w:type="dxa"/>
            <w:left w:w="108" w:type="dxa"/>
            <w:bottom w:w="0" w:type="dxa"/>
            <w:right w:w="108" w:type="dxa"/>
          </w:tblCellMar>
        </w:tblPrEx>
        <w:tc>
          <w:p w14:paraId="405197F8">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局放传感器灵敏度</w:t>
            </w:r>
          </w:p>
        </w:tc>
        <w:tc>
          <w:p w14:paraId="111E0CB9">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≥10pC（HFCT法）</w:t>
            </w:r>
          </w:p>
        </w:tc>
      </w:tr>
      <w:tr w14:paraId="00FBA615">
        <w:tblPrEx>
          <w:tblCellMar>
            <w:top w:w="0" w:type="dxa"/>
            <w:left w:w="108" w:type="dxa"/>
            <w:bottom w:w="0" w:type="dxa"/>
            <w:right w:w="108" w:type="dxa"/>
          </w:tblCellMar>
        </w:tblPrEx>
        <w:tc>
          <w:p w14:paraId="3FBEC6C1">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温度测量精度</w:t>
            </w:r>
          </w:p>
        </w:tc>
        <w:tc>
          <w:p w14:paraId="567CEDF9">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±0.5℃（PT100）/</w:t>
            </w:r>
            <w:r>
              <w:rPr>
                <w:rFonts w:hint="eastAsia" w:ascii="仿宋" w:hAnsi="仿宋" w:eastAsia="仿宋" w:cs="仿宋"/>
                <w:color w:val="auto"/>
              </w:rPr>
              <w:t xml:space="preserve"> </w:t>
            </w:r>
            <w:r>
              <w:rPr>
                <w:rFonts w:hint="eastAsia" w:ascii="仿宋" w:hAnsi="仿宋" w:eastAsia="仿宋" w:cs="仿宋"/>
                <w:color w:val="auto"/>
              </w:rPr>
              <w:t>±2℃（光纤）</w:t>
            </w:r>
          </w:p>
        </w:tc>
      </w:tr>
      <w:tr w14:paraId="7393C8A8">
        <w:tblPrEx>
          <w:tblCellMar>
            <w:top w:w="0" w:type="dxa"/>
            <w:left w:w="108" w:type="dxa"/>
            <w:bottom w:w="0" w:type="dxa"/>
            <w:right w:w="108" w:type="dxa"/>
          </w:tblCellMar>
        </w:tblPrEx>
        <w:tc>
          <w:p w14:paraId="136BCA33">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异常检出率</w:t>
            </w:r>
          </w:p>
        </w:tc>
        <w:tc>
          <w:p w14:paraId="6BE041FB">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≥95%（已知故障类型）</w:t>
            </w:r>
          </w:p>
        </w:tc>
      </w:tr>
      <w:tr w14:paraId="602C4B4F">
        <w:tblPrEx>
          <w:tblCellMar>
            <w:top w:w="0" w:type="dxa"/>
            <w:left w:w="108" w:type="dxa"/>
            <w:bottom w:w="0" w:type="dxa"/>
            <w:right w:w="108" w:type="dxa"/>
          </w:tblCellMar>
        </w:tblPrEx>
        <w:tc>
          <w:p w14:paraId="49E97326">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误报率</w:t>
            </w:r>
          </w:p>
        </w:tc>
        <w:tc>
          <w:p w14:paraId="24D49559">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≤5%</w:t>
            </w:r>
          </w:p>
        </w:tc>
      </w:tr>
      <w:tr w14:paraId="5029EA21">
        <w:tblPrEx>
          <w:tblCellMar>
            <w:top w:w="0" w:type="dxa"/>
            <w:left w:w="108" w:type="dxa"/>
            <w:bottom w:w="0" w:type="dxa"/>
            <w:right w:w="108" w:type="dxa"/>
          </w:tblCellMar>
        </w:tblPrEx>
        <w:tc>
          <w:p w14:paraId="5BD83209">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剩余寿命预测误差</w:t>
            </w:r>
          </w:p>
        </w:tc>
        <w:tc>
          <w:p w14:paraId="682F7366">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≤15%（相对误差，≥2年运行数据后）</w:t>
            </w:r>
          </w:p>
        </w:tc>
      </w:tr>
      <w:tr w14:paraId="6C8F7137">
        <w:tblPrEx>
          <w:tblCellMar>
            <w:top w:w="0" w:type="dxa"/>
            <w:left w:w="108" w:type="dxa"/>
            <w:bottom w:w="0" w:type="dxa"/>
            <w:right w:w="108" w:type="dxa"/>
          </w:tblCellMar>
        </w:tblPrEx>
        <w:tc>
          <w:p w14:paraId="189F51DA">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数字孪生模型更新频率</w:t>
            </w:r>
          </w:p>
        </w:tc>
        <w:tc>
          <w:p w14:paraId="0A57768B">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≤5分钟（运行数据驱动）</w:t>
            </w:r>
          </w:p>
        </w:tc>
      </w:tr>
      <w:bookmarkEnd w:id="18"/>
      <w:bookmarkEnd w:id="21"/>
    </w:tbl>
    <w:p w14:paraId="19F29CAB">
      <w:pPr>
        <w:pStyle w:val="5"/>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bookmarkStart w:id="22" w:name="Xb7fc8998c75f0a88fea338b144d8eea16577e9c"/>
      <w:r>
        <w:rPr>
          <w:rFonts w:hint="eastAsia" w:ascii="仿宋" w:hAnsi="仿宋" w:eastAsia="仿宋" w:cs="仿宋"/>
          <w:color w:val="auto"/>
        </w:rPr>
        <w:t xml:space="preserve">4.2 </w:t>
      </w:r>
      <w:r>
        <w:rPr>
          <w:rFonts w:hint="eastAsia" w:ascii="仿宋" w:hAnsi="仿宋" w:eastAsia="仿宋" w:cs="仿宋"/>
          <w:color w:val="auto"/>
        </w:rPr>
        <w:t>主要经济指标</w:t>
      </w:r>
    </w:p>
    <w:tbl>
      <w:tblPr>
        <w:tblStyle w:val="41"/>
        <w:tblW w:w="0" w:type="auto"/>
        <w:tblInd w:w="0" w:type="dxa"/>
        <w:tblLayout w:type="autofit"/>
        <w:tblCellMar>
          <w:top w:w="0" w:type="dxa"/>
          <w:left w:w="108" w:type="dxa"/>
          <w:bottom w:w="0" w:type="dxa"/>
          <w:right w:w="108" w:type="dxa"/>
        </w:tblCellMar>
      </w:tblPr>
      <w:tblGrid>
        <w:gridCol w:w="2616"/>
        <w:gridCol w:w="2856"/>
      </w:tblGrid>
      <w:tr w14:paraId="092DBAEB">
        <w:tblPrEx>
          <w:tblCellMar>
            <w:top w:w="0" w:type="dxa"/>
            <w:left w:w="108" w:type="dxa"/>
            <w:bottom w:w="0" w:type="dxa"/>
            <w:right w:w="108" w:type="dxa"/>
          </w:tblCellMar>
        </w:tblPrEx>
        <w:trPr>
          <w:tblHeader/>
        </w:trPr>
        <w:tc>
          <w:p w14:paraId="2D3E6433">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指标</w:t>
            </w:r>
          </w:p>
        </w:tc>
        <w:tc>
          <w:p w14:paraId="39E20D8B">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目标值（项目执行期内）</w:t>
            </w:r>
          </w:p>
        </w:tc>
      </w:tr>
      <w:tr w14:paraId="0B1E3B87">
        <w:tblPrEx>
          <w:tblCellMar>
            <w:top w:w="0" w:type="dxa"/>
            <w:left w:w="108" w:type="dxa"/>
            <w:bottom w:w="0" w:type="dxa"/>
            <w:right w:w="108" w:type="dxa"/>
          </w:tblCellMar>
        </w:tblPrEx>
        <w:tc>
          <w:p w14:paraId="1C167165">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新增产值</w:t>
            </w:r>
          </w:p>
        </w:tc>
        <w:tc>
          <w:p w14:paraId="206D070F">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≥3000万元</w:t>
            </w:r>
          </w:p>
        </w:tc>
      </w:tr>
      <w:tr w14:paraId="4B6DC18A">
        <w:tblPrEx>
          <w:tblCellMar>
            <w:top w:w="0" w:type="dxa"/>
            <w:left w:w="108" w:type="dxa"/>
            <w:bottom w:w="0" w:type="dxa"/>
            <w:right w:w="108" w:type="dxa"/>
          </w:tblCellMar>
        </w:tblPrEx>
        <w:tc>
          <w:p w14:paraId="21D514FC">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新增销售收入</w:t>
            </w:r>
          </w:p>
        </w:tc>
        <w:tc>
          <w:p w14:paraId="00A0693B">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≥2500万元</w:t>
            </w:r>
          </w:p>
        </w:tc>
      </w:tr>
      <w:tr w14:paraId="068AC215">
        <w:tblPrEx>
          <w:tblCellMar>
            <w:top w:w="0" w:type="dxa"/>
            <w:left w:w="108" w:type="dxa"/>
            <w:bottom w:w="0" w:type="dxa"/>
            <w:right w:w="108" w:type="dxa"/>
          </w:tblCellMar>
        </w:tblPrEx>
        <w:tc>
          <w:p w14:paraId="0A1022B1">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新增利润</w:t>
            </w:r>
          </w:p>
        </w:tc>
        <w:tc>
          <w:p w14:paraId="2BD26204">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≥400万元</w:t>
            </w:r>
          </w:p>
        </w:tc>
      </w:tr>
      <w:tr w14:paraId="4C8204BF">
        <w:tblPrEx>
          <w:tblCellMar>
            <w:top w:w="0" w:type="dxa"/>
            <w:left w:w="108" w:type="dxa"/>
            <w:bottom w:w="0" w:type="dxa"/>
            <w:right w:w="108" w:type="dxa"/>
          </w:tblCellMar>
        </w:tblPrEx>
        <w:tc>
          <w:p w14:paraId="3B9EA4F6">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新增税金</w:t>
            </w:r>
          </w:p>
        </w:tc>
        <w:tc>
          <w:p w14:paraId="3CED8DB3">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≥200万元</w:t>
            </w:r>
          </w:p>
        </w:tc>
      </w:tr>
      <w:tr w14:paraId="4003AD43">
        <w:tblPrEx>
          <w:tblCellMar>
            <w:top w:w="0" w:type="dxa"/>
            <w:left w:w="108" w:type="dxa"/>
            <w:bottom w:w="0" w:type="dxa"/>
            <w:right w:w="108" w:type="dxa"/>
          </w:tblCellMar>
        </w:tblPrEx>
        <w:tc>
          <w:p w14:paraId="50AAFB2C">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报价人工成本降低</w:t>
            </w:r>
          </w:p>
        </w:tc>
        <w:tc>
          <w:p w14:paraId="13201A8F">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≥60%</w:t>
            </w:r>
          </w:p>
        </w:tc>
      </w:tr>
      <w:tr w14:paraId="3623CCD3">
        <w:tblPrEx>
          <w:tblCellMar>
            <w:top w:w="0" w:type="dxa"/>
            <w:left w:w="108" w:type="dxa"/>
            <w:bottom w:w="0" w:type="dxa"/>
            <w:right w:w="108" w:type="dxa"/>
          </w:tblCellMar>
        </w:tblPrEx>
        <w:tc>
          <w:p w14:paraId="0F4C64ED">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客制化报价丢单率下降</w:t>
            </w:r>
          </w:p>
        </w:tc>
        <w:tc>
          <w:p w14:paraId="143B36FC">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≥10个百分点</w:t>
            </w:r>
          </w:p>
        </w:tc>
      </w:tr>
      <w:bookmarkEnd w:id="22"/>
    </w:tbl>
    <w:p w14:paraId="5F4B27A6">
      <w:pPr>
        <w:pStyle w:val="5"/>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bookmarkStart w:id="23" w:name="Xe7e8a21cf64d19416b2bbe2ee07adf371c7bfdb"/>
      <w:r>
        <w:rPr>
          <w:rFonts w:hint="eastAsia" w:ascii="仿宋" w:hAnsi="仿宋" w:eastAsia="仿宋" w:cs="仿宋"/>
          <w:color w:val="auto"/>
        </w:rPr>
        <w:t xml:space="preserve">4.3 </w:t>
      </w:r>
      <w:r>
        <w:rPr>
          <w:rFonts w:hint="eastAsia" w:ascii="仿宋" w:hAnsi="仿宋" w:eastAsia="仿宋" w:cs="仿宋"/>
          <w:color w:val="auto"/>
        </w:rPr>
        <w:t>知识产权申请情况</w:t>
      </w:r>
    </w:p>
    <w:tbl>
      <w:tblPr>
        <w:tblStyle w:val="41"/>
        <w:tblW w:w="0" w:type="auto"/>
        <w:tblInd w:w="0" w:type="dxa"/>
        <w:tblLayout w:type="autofit"/>
        <w:tblCellMar>
          <w:top w:w="0" w:type="dxa"/>
          <w:left w:w="108" w:type="dxa"/>
          <w:bottom w:w="0" w:type="dxa"/>
          <w:right w:w="108" w:type="dxa"/>
        </w:tblCellMar>
      </w:tblPr>
      <w:tblGrid>
        <w:gridCol w:w="2616"/>
        <w:gridCol w:w="1176"/>
      </w:tblGrid>
      <w:tr w14:paraId="425BF7EB">
        <w:tblPrEx>
          <w:tblCellMar>
            <w:top w:w="0" w:type="dxa"/>
            <w:left w:w="108" w:type="dxa"/>
            <w:bottom w:w="0" w:type="dxa"/>
            <w:right w:w="108" w:type="dxa"/>
          </w:tblCellMar>
        </w:tblPrEx>
        <w:trPr>
          <w:tblHeader/>
        </w:trPr>
        <w:tc>
          <w:p w14:paraId="600B9BBF">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成果类型</w:t>
            </w:r>
          </w:p>
        </w:tc>
        <w:tc>
          <w:p w14:paraId="47002504">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目标数量</w:t>
            </w:r>
          </w:p>
        </w:tc>
      </w:tr>
      <w:tr w14:paraId="5DC998D6">
        <w:tblPrEx>
          <w:tblCellMar>
            <w:top w:w="0" w:type="dxa"/>
            <w:left w:w="108" w:type="dxa"/>
            <w:bottom w:w="0" w:type="dxa"/>
            <w:right w:w="108" w:type="dxa"/>
          </w:tblCellMar>
        </w:tblPrEx>
        <w:tc>
          <w:p w14:paraId="1B815A72">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发明专利（申请）</w:t>
            </w:r>
          </w:p>
        </w:tc>
        <w:tc>
          <w:p w14:paraId="5A17D832">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≥4件</w:t>
            </w:r>
          </w:p>
        </w:tc>
      </w:tr>
      <w:tr w14:paraId="22478CD7">
        <w:tblPrEx>
          <w:tblCellMar>
            <w:top w:w="0" w:type="dxa"/>
            <w:left w:w="108" w:type="dxa"/>
            <w:bottom w:w="0" w:type="dxa"/>
            <w:right w:w="108" w:type="dxa"/>
          </w:tblCellMar>
        </w:tblPrEx>
        <w:tc>
          <w:p w14:paraId="013575FD">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实用新型专利（申请）</w:t>
            </w:r>
          </w:p>
        </w:tc>
        <w:tc>
          <w:p w14:paraId="5299F68D">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≥2件</w:t>
            </w:r>
          </w:p>
        </w:tc>
      </w:tr>
      <w:tr w14:paraId="06A5FA90">
        <w:tblPrEx>
          <w:tblCellMar>
            <w:top w:w="0" w:type="dxa"/>
            <w:left w:w="108" w:type="dxa"/>
            <w:bottom w:w="0" w:type="dxa"/>
            <w:right w:w="108" w:type="dxa"/>
          </w:tblCellMar>
        </w:tblPrEx>
        <w:tc>
          <w:p w14:paraId="2C44B6FF">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软件著作权</w:t>
            </w:r>
          </w:p>
        </w:tc>
        <w:tc>
          <w:p w14:paraId="4C79F717">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≥6件</w:t>
            </w:r>
          </w:p>
        </w:tc>
      </w:tr>
      <w:tr w14:paraId="45B4F15A">
        <w:tblPrEx>
          <w:tblCellMar>
            <w:top w:w="0" w:type="dxa"/>
            <w:left w:w="108" w:type="dxa"/>
            <w:bottom w:w="0" w:type="dxa"/>
            <w:right w:w="108" w:type="dxa"/>
          </w:tblCellMar>
        </w:tblPrEx>
        <w:tc>
          <w:p w14:paraId="49CAAAC4">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参与制定团体标准</w:t>
            </w:r>
          </w:p>
        </w:tc>
        <w:tc>
          <w:p w14:paraId="39654F7C">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≥2项</w:t>
            </w:r>
          </w:p>
        </w:tc>
      </w:tr>
      <w:tr w14:paraId="42D97FFE">
        <w:tblPrEx>
          <w:tblCellMar>
            <w:top w:w="0" w:type="dxa"/>
            <w:left w:w="108" w:type="dxa"/>
            <w:bottom w:w="0" w:type="dxa"/>
            <w:right w:w="108" w:type="dxa"/>
          </w:tblCellMar>
        </w:tblPrEx>
        <w:tc>
          <w:p w14:paraId="3ED01B21">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发表高水平论文</w:t>
            </w:r>
          </w:p>
        </w:tc>
        <w:tc>
          <w:p w14:paraId="04D962D8">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≥3篇</w:t>
            </w:r>
          </w:p>
        </w:tc>
      </w:tr>
      <w:bookmarkEnd w:id="23"/>
    </w:tbl>
    <w:p w14:paraId="451E78BA">
      <w:pPr>
        <w:pStyle w:val="5"/>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bookmarkStart w:id="24" w:name="X82bced9f80fabee418cbdee2e112d50c6b18ccb"/>
      <w:r>
        <w:rPr>
          <w:rFonts w:hint="eastAsia" w:ascii="仿宋" w:hAnsi="仿宋" w:eastAsia="仿宋" w:cs="仿宋"/>
          <w:color w:val="auto"/>
        </w:rPr>
        <w:t xml:space="preserve">4.4 </w:t>
      </w:r>
      <w:r>
        <w:rPr>
          <w:rFonts w:hint="eastAsia" w:ascii="仿宋" w:hAnsi="仿宋" w:eastAsia="仿宋" w:cs="仿宋"/>
          <w:color w:val="auto"/>
        </w:rPr>
        <w:t>应用前景</w:t>
      </w:r>
    </w:p>
    <w:p w14:paraId="13E43B38">
      <w:pPr>
        <w:pStyle w:val="23"/>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 xml:space="preserve"> </w:t>
      </w:r>
      <w:r>
        <w:rPr>
          <w:rFonts w:hint="eastAsia" w:ascii="仿宋" w:hAnsi="仿宋" w:eastAsia="仿宋" w:cs="仿宋"/>
          <w:color w:val="auto"/>
        </w:rPr>
        <w:t>本项目的直接应用场景是法拉迪电气有限公司的变压器报价、生产与运维环节。项目完成后，法拉迪可实现：</w:t>
      </w:r>
    </w:p>
    <w:p w14:paraId="197FD6AC">
      <w:pPr>
        <w:pageBreakBefore w:val="0"/>
        <w:widowControl/>
        <w:numPr>
          <w:ilvl w:val="0"/>
          <w:numId w:val="2"/>
        </w:numPr>
        <w:kinsoku/>
        <w:overflowPunct/>
        <w:topLinePunct w:val="0"/>
        <w:autoSpaceDE/>
        <w:autoSpaceDN/>
        <w:bidi w:val="0"/>
        <w:adjustRightInd/>
        <w:snapToGrid/>
        <w:spacing w:after="0" w:line="360" w:lineRule="auto"/>
        <w:textAlignment w:val="auto"/>
        <w:rPr>
          <w:rFonts w:hint="eastAsia" w:ascii="仿宋" w:hAnsi="仿宋" w:eastAsia="仿宋" w:cs="仿宋"/>
          <w:color w:val="auto"/>
        </w:rPr>
      </w:pPr>
      <w:r>
        <w:rPr>
          <w:rFonts w:hint="eastAsia" w:ascii="仿宋" w:hAnsi="仿宋" w:eastAsia="仿宋" w:cs="仿宋"/>
          <w:b/>
          <w:bCs/>
          <w:color w:val="auto"/>
        </w:rPr>
        <w:t>报价环节</w:t>
      </w:r>
      <w:r>
        <w:rPr>
          <w:rFonts w:hint="eastAsia" w:ascii="仿宋" w:hAnsi="仿宋" w:eastAsia="仿宋" w:cs="仿宋"/>
          <w:color w:val="auto"/>
        </w:rPr>
        <w:t>：客户需求文件上传→30分钟拿到报价单草案，替代传统7-15天人工流程，预计丢单率下降10个百分点以上</w:t>
      </w:r>
    </w:p>
    <w:p w14:paraId="61F46791">
      <w:pPr>
        <w:pageBreakBefore w:val="0"/>
        <w:widowControl/>
        <w:numPr>
          <w:ilvl w:val="0"/>
          <w:numId w:val="2"/>
        </w:numPr>
        <w:kinsoku/>
        <w:overflowPunct/>
        <w:topLinePunct w:val="0"/>
        <w:autoSpaceDE/>
        <w:autoSpaceDN/>
        <w:bidi w:val="0"/>
        <w:adjustRightInd/>
        <w:snapToGrid/>
        <w:spacing w:after="0" w:line="360" w:lineRule="auto"/>
        <w:textAlignment w:val="auto"/>
        <w:rPr>
          <w:rFonts w:hint="eastAsia" w:ascii="仿宋" w:hAnsi="仿宋" w:eastAsia="仿宋" w:cs="仿宋"/>
          <w:color w:val="auto"/>
        </w:rPr>
      </w:pPr>
      <w:r>
        <w:rPr>
          <w:rFonts w:hint="eastAsia" w:ascii="仿宋" w:hAnsi="仿宋" w:eastAsia="仿宋" w:cs="仿宋"/>
          <w:b/>
          <w:bCs/>
          <w:color w:val="auto"/>
        </w:rPr>
        <w:t>生产环节</w:t>
      </w:r>
      <w:r>
        <w:rPr>
          <w:rFonts w:hint="eastAsia" w:ascii="仿宋" w:hAnsi="仿宋" w:eastAsia="仿宋" w:cs="仿宋"/>
          <w:color w:val="auto"/>
        </w:rPr>
        <w:t>：关键工序工艺参数实时感知与质量预测，降低返工率≥20%，提升一次合格率</w:t>
      </w:r>
    </w:p>
    <w:p w14:paraId="6BFCD451">
      <w:pPr>
        <w:pageBreakBefore w:val="0"/>
        <w:widowControl/>
        <w:numPr>
          <w:ilvl w:val="0"/>
          <w:numId w:val="2"/>
        </w:numPr>
        <w:kinsoku/>
        <w:overflowPunct/>
        <w:topLinePunct w:val="0"/>
        <w:autoSpaceDE/>
        <w:autoSpaceDN/>
        <w:bidi w:val="0"/>
        <w:adjustRightInd/>
        <w:snapToGrid/>
        <w:spacing w:after="0" w:line="360" w:lineRule="auto"/>
        <w:textAlignment w:val="auto"/>
        <w:rPr>
          <w:rFonts w:hint="eastAsia" w:ascii="仿宋" w:hAnsi="仿宋" w:eastAsia="仿宋" w:cs="仿宋"/>
          <w:color w:val="auto"/>
        </w:rPr>
      </w:pPr>
      <w:r>
        <w:rPr>
          <w:rFonts w:hint="eastAsia" w:ascii="仿宋" w:hAnsi="仿宋" w:eastAsia="仿宋" w:cs="仿宋"/>
          <w:b/>
          <w:bCs/>
          <w:color w:val="auto"/>
        </w:rPr>
        <w:t>运维环节</w:t>
      </w:r>
      <w:r>
        <w:rPr>
          <w:rFonts w:hint="eastAsia" w:ascii="仿宋" w:hAnsi="仿宋" w:eastAsia="仿宋" w:cs="仿宋"/>
          <w:color w:val="auto"/>
        </w:rPr>
        <w:t>：已部署变压器在线监测与数字孪生，从"坏了大修"转向"预测性维护"，降低突发故障率≥50%</w:t>
      </w:r>
    </w:p>
    <w:p w14:paraId="15B4A7BA">
      <w:pPr>
        <w:pageBreakBefore w:val="0"/>
        <w:widowControl/>
        <w:numPr>
          <w:ilvl w:val="0"/>
          <w:numId w:val="9"/>
        </w:numPr>
        <w:kinsoku/>
        <w:overflowPunct/>
        <w:topLinePunct w:val="0"/>
        <w:autoSpaceDE/>
        <w:autoSpaceDN/>
        <w:bidi w:val="0"/>
        <w:adjustRightInd/>
        <w:snapToGrid/>
        <w:spacing w:after="0" w:line="360" w:lineRule="auto"/>
        <w:textAlignment w:val="auto"/>
        <w:rPr>
          <w:rFonts w:hint="eastAsia" w:ascii="仿宋" w:hAnsi="仿宋" w:eastAsia="仿宋" w:cs="仿宋"/>
          <w:color w:val="auto"/>
        </w:rPr>
      </w:pPr>
      <w:r>
        <w:rPr>
          <w:rFonts w:hint="eastAsia" w:ascii="仿宋" w:hAnsi="仿宋" w:eastAsia="仿宋" w:cs="仿宋"/>
          <w:color w:val="auto"/>
        </w:rPr>
        <w:t>项目具有显著的推广价值：（1）温州地区集聚了大量中小型变压器和电气装备企业，平台可快速复制推广；（2）技术架构模块化设计，三个子项目可独立部署、分步实施，降低中小企业的数字化转型门槛；（3）"报价→制造→运维"的一体化模式可向其他机电装备制造行业（电机、开关柜、电抗器等）迁移。</w:t>
      </w:r>
    </w:p>
    <w:p w14:paraId="6C63E0FA">
      <w:pPr>
        <w:pageBreakBefore w:val="0"/>
        <w:widowControl/>
        <w:numPr>
          <w:ilvl w:val="0"/>
          <w:numId w:val="9"/>
        </w:numPr>
        <w:kinsoku/>
        <w:overflowPunct/>
        <w:topLinePunct w:val="0"/>
        <w:autoSpaceDE/>
        <w:autoSpaceDN/>
        <w:bidi w:val="0"/>
        <w:adjustRightInd/>
        <w:snapToGrid/>
        <w:spacing w:after="0" w:line="360" w:lineRule="auto"/>
        <w:textAlignment w:val="auto"/>
        <w:rPr>
          <w:rFonts w:hint="eastAsia" w:ascii="仿宋" w:hAnsi="仿宋" w:eastAsia="仿宋" w:cs="仿宋"/>
          <w:color w:val="auto"/>
        </w:rPr>
      </w:pPr>
      <w:r>
        <w:rPr>
          <w:rFonts w:hint="eastAsia" w:ascii="仿宋" w:hAnsi="仿宋" w:eastAsia="仿宋" w:cs="仿宋"/>
          <w:color w:val="auto"/>
        </w:rPr>
        <w:t>预计项目执行期内直接带动≥3000万元产值，推广期内（3年）形成≥1亿元的行业级经济效益。</w:t>
      </w:r>
    </w:p>
    <w:p w14:paraId="63BE179B">
      <w:pPr>
        <w:pageBreakBefore w:val="0"/>
        <w:widowControl/>
        <w:kinsoku/>
        <w:overflowPunct/>
        <w:topLinePunct w:val="0"/>
        <w:autoSpaceDE/>
        <w:autoSpaceDN/>
        <w:bidi w:val="0"/>
        <w:adjustRightInd/>
        <w:snapToGrid/>
        <w:spacing w:after="0" w:line="360" w:lineRule="auto"/>
        <w:textAlignment w:val="auto"/>
        <w:rPr>
          <w:rFonts w:hint="eastAsia" w:ascii="仿宋" w:hAnsi="仿宋" w:eastAsia="仿宋" w:cs="仿宋"/>
          <w:color w:val="auto"/>
        </w:rPr>
      </w:pPr>
    </w:p>
    <w:bookmarkEnd w:id="17"/>
    <w:bookmarkEnd w:id="24"/>
    <w:p w14:paraId="46124335">
      <w:pPr>
        <w:pStyle w:val="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bookmarkStart w:id="25" w:name="X7b91de6ad754209c93cd5f348cea058be2a5208"/>
      <w:r>
        <w:rPr>
          <w:rFonts w:hint="eastAsia" w:ascii="仿宋" w:hAnsi="仿宋" w:eastAsia="仿宋" w:cs="仿宋"/>
          <w:color w:val="auto"/>
        </w:rPr>
        <w:t xml:space="preserve">5. </w:t>
      </w:r>
      <w:r>
        <w:rPr>
          <w:rFonts w:hint="eastAsia" w:ascii="仿宋" w:hAnsi="仿宋" w:eastAsia="仿宋" w:cs="仿宋"/>
          <w:color w:val="auto"/>
        </w:rPr>
        <w:t>研究方案、技术路线、计划进度安排</w:t>
      </w:r>
    </w:p>
    <w:p w14:paraId="69B8B91E">
      <w:pPr>
        <w:pStyle w:val="5"/>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bookmarkStart w:id="26" w:name="X7b2744ba77b998b3017887889de356873d8b9d4"/>
      <w:r>
        <w:rPr>
          <w:rFonts w:hint="eastAsia" w:ascii="仿宋" w:hAnsi="仿宋" w:eastAsia="仿宋" w:cs="仿宋"/>
          <w:color w:val="auto"/>
        </w:rPr>
        <w:t xml:space="preserve">5.1 </w:t>
      </w:r>
      <w:r>
        <w:rPr>
          <w:rFonts w:hint="eastAsia" w:ascii="仿宋" w:hAnsi="仿宋" w:eastAsia="仿宋" w:cs="仿宋"/>
          <w:color w:val="auto"/>
        </w:rPr>
        <w:t>研究方案</w:t>
      </w:r>
    </w:p>
    <w:p w14:paraId="7E231948">
      <w:pPr>
        <w:pStyle w:val="3"/>
        <w:rPr>
          <w:rFonts w:hint="eastAsia"/>
        </w:rPr>
      </w:pPr>
      <w:r>
        <w:drawing>
          <wp:inline distT="0" distB="0" distL="114300" distR="114300">
            <wp:extent cx="5483225" cy="2736215"/>
            <wp:effectExtent l="0" t="0" r="3175" b="6985"/>
            <wp:docPr id="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1"/>
                    <pic:cNvPicPr>
                      <a:picLocks noChangeAspect="1"/>
                    </pic:cNvPicPr>
                  </pic:nvPicPr>
                  <pic:blipFill>
                    <a:blip r:embed="rId9"/>
                    <a:stretch>
                      <a:fillRect/>
                    </a:stretch>
                  </pic:blipFill>
                  <pic:spPr>
                    <a:xfrm>
                      <a:off x="0" y="0"/>
                      <a:ext cx="5483225" cy="2736215"/>
                    </a:xfrm>
                    <a:prstGeom prst="rect">
                      <a:avLst/>
                    </a:prstGeom>
                    <a:noFill/>
                    <a:ln>
                      <a:noFill/>
                    </a:ln>
                  </pic:spPr>
                </pic:pic>
              </a:graphicData>
            </a:graphic>
          </wp:inline>
        </w:drawing>
      </w:r>
    </w:p>
    <w:p w14:paraId="0EC53217">
      <w:pPr>
        <w:pStyle w:val="23"/>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 xml:space="preserve"> </w:t>
      </w:r>
      <w:r>
        <w:rPr>
          <w:rFonts w:hint="eastAsia" w:ascii="仿宋" w:hAnsi="仿宋" w:eastAsia="仿宋" w:cs="仿宋"/>
          <w:color w:val="auto"/>
          <w:lang w:val="en-US" w:eastAsia="zh-CN"/>
        </w:rPr>
        <w:t xml:space="preserve">  </w:t>
      </w:r>
      <w:r>
        <w:rPr>
          <w:rFonts w:hint="eastAsia" w:ascii="仿宋" w:hAnsi="仿宋" w:eastAsia="仿宋" w:cs="仿宋"/>
          <w:color w:val="auto"/>
        </w:rPr>
        <w:t>本项目采用"场景驱动、数据闭环、增量迭代"的研究范式。</w:t>
      </w:r>
    </w:p>
    <w:p w14:paraId="292E178C">
      <w:pPr>
        <w:pStyle w:val="3"/>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 xml:space="preserve"> </w:t>
      </w:r>
      <w:r>
        <w:rPr>
          <w:rFonts w:hint="eastAsia" w:ascii="仿宋" w:hAnsi="仿宋" w:eastAsia="仿宋" w:cs="仿宋"/>
          <w:color w:val="auto"/>
          <w:lang w:val="en-US" w:eastAsia="zh-CN"/>
        </w:rPr>
        <w:t xml:space="preserve">  </w:t>
      </w:r>
      <w:r>
        <w:rPr>
          <w:rFonts w:hint="eastAsia" w:ascii="仿宋" w:hAnsi="仿宋" w:eastAsia="仿宋" w:cs="仿宋"/>
          <w:b/>
          <w:bCs/>
          <w:color w:val="auto"/>
        </w:rPr>
        <w:t>总体研究方案</w:t>
      </w:r>
      <w:r>
        <w:rPr>
          <w:rFonts w:hint="eastAsia" w:ascii="仿宋" w:hAnsi="仿宋" w:eastAsia="仿宋" w:cs="仿宋"/>
          <w:color w:val="auto"/>
        </w:rPr>
        <w:t>：以法拉迪实际业务场景为驱动，采用三阶段递进策略——第一阶段（前6个月）优先攻克报价Agent核心功能并在法拉迪试运行；第二阶段（6-12个月）扩展生产过程质量管控和智能运维功能，形成"报价+制造"联动；第三阶段（12-18个月）完成数字孪生和预测性运维，实现全流程贯通。</w:t>
      </w:r>
    </w:p>
    <w:p w14:paraId="6B94692E">
      <w:pPr>
        <w:pStyle w:val="3"/>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 xml:space="preserve"> </w:t>
      </w:r>
      <w:r>
        <w:rPr>
          <w:rFonts w:hint="eastAsia" w:ascii="仿宋" w:hAnsi="仿宋" w:eastAsia="仿宋" w:cs="仿宋"/>
          <w:color w:val="auto"/>
          <w:lang w:val="en-US" w:eastAsia="zh-CN"/>
        </w:rPr>
        <w:t xml:space="preserve">   </w:t>
      </w:r>
      <w:r>
        <w:rPr>
          <w:rFonts w:hint="eastAsia" w:ascii="仿宋" w:hAnsi="仿宋" w:eastAsia="仿宋" w:cs="仿宋"/>
          <w:b/>
          <w:bCs/>
          <w:color w:val="auto"/>
        </w:rPr>
        <w:t>数据策略</w:t>
      </w:r>
      <w:r>
        <w:rPr>
          <w:rFonts w:hint="eastAsia" w:ascii="仿宋" w:hAnsi="仿宋" w:eastAsia="仿宋" w:cs="仿宋"/>
          <w:color w:val="auto"/>
        </w:rPr>
        <w:t>：三个子项目所需数据来源明确——子项目A依赖法拉迪历史报价数据和已完成电磁计算项目数据（已累计2000+份）；子项目B依赖生产车间工艺参数采集（新部署传感器采集6个月以上）；子项目C依赖在运变压器监测数据和</w:t>
      </w:r>
      <w:r>
        <w:rPr>
          <w:rFonts w:hint="eastAsia" w:ascii="仿宋" w:hAnsi="仿宋" w:eastAsia="仿宋" w:cs="仿宋"/>
          <w:color w:val="auto"/>
          <w:lang w:val="en-US" w:eastAsia="zh-CN"/>
        </w:rPr>
        <w:t xml:space="preserve"> </w:t>
      </w:r>
      <w:r>
        <w:rPr>
          <w:rFonts w:hint="eastAsia" w:ascii="仿宋" w:hAnsi="仿宋" w:eastAsia="仿宋" w:cs="仿宋"/>
          <w:color w:val="auto"/>
        </w:rPr>
        <w:t>故障记录（法拉迪现有已部署的监测设备数据+历史故障台账）。</w:t>
      </w:r>
    </w:p>
    <w:p w14:paraId="6B0A84B4">
      <w:pPr>
        <w:pStyle w:val="3"/>
        <w:pageBreakBefore w:val="0"/>
        <w:widowControl/>
        <w:kinsoku/>
        <w:overflowPunct/>
        <w:topLinePunct w:val="0"/>
        <w:autoSpaceDE/>
        <w:autoSpaceDN/>
        <w:bidi w:val="0"/>
        <w:adjustRightInd/>
        <w:snapToGrid/>
        <w:spacing w:before="0" w:after="0" w:line="360" w:lineRule="auto"/>
        <w:ind w:firstLine="482" w:firstLineChars="200"/>
        <w:textAlignment w:val="auto"/>
        <w:rPr>
          <w:rFonts w:hint="eastAsia" w:ascii="仿宋" w:hAnsi="仿宋" w:eastAsia="仿宋" w:cs="仿宋"/>
          <w:color w:val="auto"/>
        </w:rPr>
      </w:pPr>
      <w:r>
        <w:rPr>
          <w:rFonts w:hint="eastAsia" w:ascii="仿宋" w:hAnsi="仿宋" w:eastAsia="仿宋" w:cs="仿宋"/>
          <w:b/>
          <w:bCs/>
          <w:color w:val="auto"/>
        </w:rPr>
        <w:t>验证策略</w:t>
      </w:r>
      <w:r>
        <w:rPr>
          <w:rFonts w:hint="eastAsia" w:ascii="仿宋" w:hAnsi="仿宋" w:eastAsia="仿宋" w:cs="仿宋"/>
          <w:color w:val="auto"/>
        </w:rPr>
        <w:t>：每个子项目采用"原型开发→内部测试→用户试用→指标达标"四步验证。子项目A以法拉迪销售团队为实际用户进行A/B测试（AI报价</w:t>
      </w:r>
      <w:r>
        <w:rPr>
          <w:rFonts w:hint="eastAsia" w:ascii="仿宋" w:hAnsi="仿宋" w:eastAsia="仿宋" w:cs="仿宋"/>
          <w:color w:val="auto"/>
        </w:rPr>
        <w:t xml:space="preserve"> vs </w:t>
      </w:r>
      <w:r>
        <w:rPr>
          <w:rFonts w:hint="eastAsia" w:ascii="仿宋" w:hAnsi="仿宋" w:eastAsia="仿宋" w:cs="仿宋"/>
          <w:color w:val="auto"/>
        </w:rPr>
        <w:t>人工报价）；子项目B在法拉迪生产车间选择一条核心产线作为验证线；子项目C选取法拉迪已交付的3-5台在运变压器作为试点对象。</w:t>
      </w:r>
    </w:p>
    <w:p w14:paraId="7B777F44">
      <w:pPr>
        <w:pStyle w:val="3"/>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p>
    <w:bookmarkEnd w:id="26"/>
    <w:p w14:paraId="4691F246">
      <w:pPr>
        <w:pStyle w:val="5"/>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bookmarkStart w:id="27" w:name="Xeb48b94efa60f162fcaa6fa17cc7cd955ab0570"/>
      <w:r>
        <w:rPr>
          <w:rFonts w:hint="eastAsia" w:ascii="仿宋" w:hAnsi="仿宋" w:eastAsia="仿宋" w:cs="仿宋"/>
          <w:color w:val="auto"/>
        </w:rPr>
        <w:t xml:space="preserve">5.2 </w:t>
      </w:r>
      <w:r>
        <w:rPr>
          <w:rFonts w:hint="eastAsia" w:ascii="仿宋" w:hAnsi="仿宋" w:eastAsia="仿宋" w:cs="仿宋"/>
          <w:color w:val="auto"/>
        </w:rPr>
        <w:t>技术路线</w:t>
      </w:r>
    </w:p>
    <w:p w14:paraId="2B7057C1">
      <w:pPr>
        <w:pStyle w:val="23"/>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 xml:space="preserve"> </w:t>
      </w:r>
      <w:r>
        <w:rPr>
          <w:rFonts w:hint="eastAsia" w:ascii="仿宋" w:hAnsi="仿宋" w:eastAsia="仿宋" w:cs="仿宋"/>
          <w:color w:val="auto"/>
        </w:rPr>
        <w:t>全项目技术路线如下图所示：</w:t>
      </w:r>
    </w:p>
    <w:p w14:paraId="77B53542">
      <w:pPr>
        <w:pStyle w:val="23"/>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drawing>
          <wp:inline distT="0" distB="0" distL="114300" distR="114300">
            <wp:extent cx="5472430" cy="3025140"/>
            <wp:effectExtent l="0" t="0" r="4445" b="3810"/>
            <wp:docPr id="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0"/>
                    <pic:cNvPicPr>
                      <a:picLocks noChangeAspect="1"/>
                    </pic:cNvPicPr>
                  </pic:nvPicPr>
                  <pic:blipFill>
                    <a:blip r:embed="rId10"/>
                    <a:stretch>
                      <a:fillRect/>
                    </a:stretch>
                  </pic:blipFill>
                  <pic:spPr>
                    <a:xfrm>
                      <a:off x="0" y="0"/>
                      <a:ext cx="5472430" cy="3025140"/>
                    </a:xfrm>
                    <a:prstGeom prst="rect">
                      <a:avLst/>
                    </a:prstGeom>
                    <a:noFill/>
                    <a:ln>
                      <a:noFill/>
                    </a:ln>
                  </pic:spPr>
                </pic:pic>
              </a:graphicData>
            </a:graphic>
          </wp:inline>
        </w:drawing>
      </w:r>
      <w:r>
        <w:rPr>
          <w:rFonts w:hint="eastAsia" w:ascii="仿宋" w:hAnsi="仿宋" w:eastAsia="仿宋" w:cs="仿宋"/>
          <w:color w:val="auto"/>
        </w:rPr>
        <w:t xml:space="preserve"> </w:t>
      </w:r>
      <w:r>
        <w:rPr>
          <w:rFonts w:hint="eastAsia" w:ascii="仿宋" w:hAnsi="仿宋" w:eastAsia="仿宋" w:cs="仿宋"/>
          <w:color w:val="auto"/>
        </w:rPr>
        <w:t>三个子项目之间的数据流：</w:t>
      </w:r>
    </w:p>
    <w:p w14:paraId="142140F8">
      <w:pPr>
        <w:pageBreakBefore w:val="0"/>
        <w:widowControl/>
        <w:numPr>
          <w:ilvl w:val="0"/>
          <w:numId w:val="2"/>
        </w:numPr>
        <w:kinsoku/>
        <w:overflowPunct/>
        <w:topLinePunct w:val="0"/>
        <w:autoSpaceDE/>
        <w:autoSpaceDN/>
        <w:bidi w:val="0"/>
        <w:adjustRightInd/>
        <w:snapToGrid/>
        <w:spacing w:after="0" w:line="360" w:lineRule="auto"/>
        <w:textAlignment w:val="auto"/>
        <w:rPr>
          <w:rFonts w:hint="eastAsia" w:ascii="仿宋" w:hAnsi="仿宋" w:eastAsia="仿宋" w:cs="仿宋"/>
          <w:color w:val="auto"/>
        </w:rPr>
      </w:pPr>
      <w:r>
        <w:rPr>
          <w:rFonts w:hint="eastAsia" w:ascii="仿宋" w:hAnsi="仿宋" w:eastAsia="仿宋" w:cs="仿宋"/>
          <w:b/>
          <w:bCs/>
          <w:color w:val="auto"/>
        </w:rPr>
        <w:t>子项目A</w:t>
      </w:r>
      <w:r>
        <w:rPr>
          <w:rFonts w:hint="eastAsia" w:ascii="仿宋" w:hAnsi="仿宋" w:eastAsia="仿宋" w:cs="仿宋"/>
          <w:b/>
          <w:bCs/>
          <w:color w:val="auto"/>
        </w:rPr>
        <w:t xml:space="preserve"> → </w:t>
      </w:r>
      <w:r>
        <w:rPr>
          <w:rFonts w:hint="eastAsia" w:ascii="仿宋" w:hAnsi="仿宋" w:eastAsia="仿宋" w:cs="仿宋"/>
          <w:b/>
          <w:bCs/>
          <w:color w:val="auto"/>
        </w:rPr>
        <w:t>子项目B</w:t>
      </w:r>
      <w:r>
        <w:rPr>
          <w:rFonts w:hint="eastAsia" w:ascii="仿宋" w:hAnsi="仿宋" w:eastAsia="仿宋" w:cs="仿宋"/>
          <w:color w:val="auto"/>
        </w:rPr>
        <w:t>：报价阶段生成的产品参数（电磁设计方案、BOM结构）传递给生产过程，作为工艺参数设定和质检标准制定的输入</w:t>
      </w:r>
    </w:p>
    <w:p w14:paraId="1B205EE9">
      <w:pPr>
        <w:pageBreakBefore w:val="0"/>
        <w:widowControl/>
        <w:numPr>
          <w:ilvl w:val="0"/>
          <w:numId w:val="2"/>
        </w:numPr>
        <w:kinsoku/>
        <w:overflowPunct/>
        <w:topLinePunct w:val="0"/>
        <w:autoSpaceDE/>
        <w:autoSpaceDN/>
        <w:bidi w:val="0"/>
        <w:adjustRightInd/>
        <w:snapToGrid/>
        <w:spacing w:after="0" w:line="360" w:lineRule="auto"/>
        <w:textAlignment w:val="auto"/>
        <w:rPr>
          <w:rFonts w:hint="eastAsia" w:ascii="仿宋" w:hAnsi="仿宋" w:eastAsia="仿宋" w:cs="仿宋"/>
          <w:color w:val="auto"/>
        </w:rPr>
      </w:pPr>
      <w:r>
        <w:rPr>
          <w:rFonts w:hint="eastAsia" w:ascii="仿宋" w:hAnsi="仿宋" w:eastAsia="仿宋" w:cs="仿宋"/>
          <w:b/>
          <w:bCs/>
          <w:color w:val="auto"/>
        </w:rPr>
        <w:t>子项目B</w:t>
      </w:r>
      <w:r>
        <w:rPr>
          <w:rFonts w:hint="eastAsia" w:ascii="仿宋" w:hAnsi="仿宋" w:eastAsia="仿宋" w:cs="仿宋"/>
          <w:b/>
          <w:bCs/>
          <w:color w:val="auto"/>
        </w:rPr>
        <w:t xml:space="preserve"> → </w:t>
      </w:r>
      <w:r>
        <w:rPr>
          <w:rFonts w:hint="eastAsia" w:ascii="仿宋" w:hAnsi="仿宋" w:eastAsia="仿宋" w:cs="仿宋"/>
          <w:b/>
          <w:bCs/>
          <w:color w:val="auto"/>
        </w:rPr>
        <w:t>子项目C</w:t>
      </w:r>
      <w:r>
        <w:rPr>
          <w:rFonts w:hint="eastAsia" w:ascii="仿宋" w:hAnsi="仿宋" w:eastAsia="仿宋" w:cs="仿宋"/>
          <w:color w:val="auto"/>
        </w:rPr>
        <w:t>：生产过程数据（质检报告、工艺参数记录）写入数字孪生的制造回溯层</w:t>
      </w:r>
    </w:p>
    <w:p w14:paraId="5B4E9CFF">
      <w:pPr>
        <w:pageBreakBefore w:val="0"/>
        <w:widowControl/>
        <w:numPr>
          <w:ilvl w:val="0"/>
          <w:numId w:val="2"/>
        </w:numPr>
        <w:kinsoku/>
        <w:overflowPunct/>
        <w:topLinePunct w:val="0"/>
        <w:autoSpaceDE/>
        <w:autoSpaceDN/>
        <w:bidi w:val="0"/>
        <w:adjustRightInd/>
        <w:snapToGrid/>
        <w:spacing w:after="0" w:line="360" w:lineRule="auto"/>
        <w:textAlignment w:val="auto"/>
        <w:rPr>
          <w:rFonts w:hint="eastAsia" w:ascii="仿宋" w:hAnsi="仿宋" w:eastAsia="仿宋" w:cs="仿宋"/>
          <w:color w:val="auto"/>
        </w:rPr>
      </w:pPr>
      <w:r>
        <w:rPr>
          <w:rFonts w:hint="eastAsia" w:ascii="仿宋" w:hAnsi="仿宋" w:eastAsia="仿宋" w:cs="仿宋"/>
          <w:b/>
          <w:bCs/>
          <w:color w:val="auto"/>
        </w:rPr>
        <w:t>子项目C</w:t>
      </w:r>
      <w:r>
        <w:rPr>
          <w:rFonts w:hint="eastAsia" w:ascii="仿宋" w:hAnsi="仿宋" w:eastAsia="仿宋" w:cs="仿宋"/>
          <w:b/>
          <w:bCs/>
          <w:color w:val="auto"/>
        </w:rPr>
        <w:t xml:space="preserve"> → </w:t>
      </w:r>
      <w:r>
        <w:rPr>
          <w:rFonts w:hint="eastAsia" w:ascii="仿宋" w:hAnsi="仿宋" w:eastAsia="仿宋" w:cs="仿宋"/>
          <w:b/>
          <w:bCs/>
          <w:color w:val="auto"/>
        </w:rPr>
        <w:t>子项目A</w:t>
      </w:r>
      <w:r>
        <w:rPr>
          <w:rFonts w:hint="eastAsia" w:ascii="仿宋" w:hAnsi="仿宋" w:eastAsia="仿宋" w:cs="仿宋"/>
          <w:color w:val="auto"/>
        </w:rPr>
        <w:t>：运维阶段积累的故障数据和实际运行表现反馈给设计环节，优化报价阶段的方案匹配规则和定价策略</w:t>
      </w:r>
    </w:p>
    <w:bookmarkEnd w:id="27"/>
    <w:p w14:paraId="1D09A590">
      <w:pPr>
        <w:pStyle w:val="5"/>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bookmarkStart w:id="28" w:name="Xd6ec320d23d89273ebc866fd192091c7baf367b"/>
      <w:r>
        <w:rPr>
          <w:rFonts w:hint="eastAsia" w:ascii="仿宋" w:hAnsi="仿宋" w:eastAsia="仿宋" w:cs="仿宋"/>
          <w:color w:val="auto"/>
        </w:rPr>
        <w:t xml:space="preserve">5.3 </w:t>
      </w:r>
      <w:r>
        <w:rPr>
          <w:rFonts w:hint="eastAsia" w:ascii="仿宋" w:hAnsi="仿宋" w:eastAsia="仿宋" w:cs="仿宋"/>
          <w:color w:val="auto"/>
        </w:rPr>
        <w:t>计划进度安排</w:t>
      </w:r>
    </w:p>
    <w:p w14:paraId="587DD473">
      <w:pPr>
        <w:pStyle w:val="23"/>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 xml:space="preserve"> </w:t>
      </w:r>
      <w:r>
        <w:rPr>
          <w:rFonts w:hint="eastAsia" w:ascii="仿宋" w:hAnsi="仿宋" w:eastAsia="仿宋" w:cs="仿宋"/>
          <w:color w:val="auto"/>
        </w:rPr>
        <w:t>项目总周期18个月。</w:t>
      </w:r>
    </w:p>
    <w:tbl>
      <w:tblPr>
        <w:tblStyle w:val="4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97"/>
        <w:gridCol w:w="1429"/>
        <w:gridCol w:w="3321"/>
        <w:gridCol w:w="3409"/>
      </w:tblGrid>
      <w:tr w14:paraId="4D5ED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p w14:paraId="46D7C89B">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时间节点</w:t>
            </w:r>
          </w:p>
        </w:tc>
        <w:tc>
          <w:p w14:paraId="1B10C178">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里程碑</w:t>
            </w:r>
          </w:p>
        </w:tc>
        <w:tc>
          <w:p w14:paraId="07FF8650">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子项目进度</w:t>
            </w:r>
          </w:p>
        </w:tc>
        <w:tc>
          <w:p w14:paraId="32657DA9">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标志性成果</w:t>
            </w:r>
          </w:p>
        </w:tc>
      </w:tr>
      <w:tr w14:paraId="5C64F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81C116D">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b/>
                <w:bCs/>
                <w:color w:val="auto"/>
              </w:rPr>
              <w:t>前3个月</w:t>
            </w:r>
          </w:p>
        </w:tc>
        <w:tc>
          <w:p w14:paraId="21888D20">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 xml:space="preserve">M1 - </w:t>
            </w:r>
            <w:r>
              <w:rPr>
                <w:rFonts w:hint="eastAsia" w:ascii="仿宋" w:hAnsi="仿宋" w:eastAsia="仿宋" w:cs="仿宋"/>
                <w:color w:val="auto"/>
              </w:rPr>
              <w:t>基础架构搭建</w:t>
            </w:r>
          </w:p>
        </w:tc>
        <w:tc>
          <w:p w14:paraId="1C735950">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 xml:space="preserve">A: </w:t>
            </w:r>
            <w:r>
              <w:rPr>
                <w:rFonts w:hint="eastAsia" w:ascii="仿宋" w:hAnsi="仿宋" w:eastAsia="仿宋" w:cs="仿宋"/>
                <w:color w:val="auto"/>
              </w:rPr>
              <w:t>Agent架构设计、知识库Schema设计、需求解析模块开发</w:t>
            </w:r>
            <w:r>
              <w:rPr>
                <w:rFonts w:hint="eastAsia" w:ascii="仿宋" w:hAnsi="仿宋" w:eastAsia="仿宋" w:cs="仿宋"/>
                <w:color w:val="auto"/>
              </w:rPr>
              <w:br w:type="textWrapping"/>
            </w:r>
            <w:r>
              <w:rPr>
                <w:rFonts w:hint="eastAsia" w:ascii="仿宋" w:hAnsi="仿宋" w:eastAsia="仿宋" w:cs="仿宋"/>
                <w:color w:val="auto"/>
              </w:rPr>
              <w:t xml:space="preserve">B: </w:t>
            </w:r>
            <w:r>
              <w:rPr>
                <w:rFonts w:hint="eastAsia" w:ascii="仿宋" w:hAnsi="仿宋" w:eastAsia="仿宋" w:cs="仿宋"/>
                <w:color w:val="auto"/>
              </w:rPr>
              <w:t>边缘网关硬件选型与驱动开发</w:t>
            </w:r>
            <w:r>
              <w:rPr>
                <w:rFonts w:hint="eastAsia" w:ascii="仿宋" w:hAnsi="仿宋" w:eastAsia="仿宋" w:cs="仿宋"/>
                <w:color w:val="auto"/>
              </w:rPr>
              <w:br w:type="textWrapping"/>
            </w:r>
            <w:r>
              <w:rPr>
                <w:rFonts w:hint="eastAsia" w:ascii="仿宋" w:hAnsi="仿宋" w:eastAsia="仿宋" w:cs="仿宋"/>
                <w:color w:val="auto"/>
              </w:rPr>
              <w:t xml:space="preserve">C: </w:t>
            </w:r>
            <w:r>
              <w:rPr>
                <w:rFonts w:hint="eastAsia" w:ascii="仿宋" w:hAnsi="仿宋" w:eastAsia="仿宋" w:cs="仿宋"/>
                <w:color w:val="auto"/>
              </w:rPr>
              <w:t>传感套件选型与样机设计</w:t>
            </w:r>
          </w:p>
        </w:tc>
        <w:tc>
          <w:p w14:paraId="0F3F67A2">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需求解析Agent原型（可处理PDF/Word）</w:t>
            </w:r>
          </w:p>
        </w:tc>
      </w:tr>
      <w:tr w14:paraId="4A84A1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37683B6">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b/>
                <w:bCs/>
                <w:color w:val="auto"/>
              </w:rPr>
              <w:t>前6个月</w:t>
            </w:r>
          </w:p>
        </w:tc>
        <w:tc>
          <w:p w14:paraId="2FDB3255">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 xml:space="preserve">M2 - </w:t>
            </w:r>
            <w:r>
              <w:rPr>
                <w:rFonts w:hint="eastAsia" w:ascii="仿宋" w:hAnsi="仿宋" w:eastAsia="仿宋" w:cs="仿宋"/>
                <w:color w:val="auto"/>
              </w:rPr>
              <w:t>报价Agent</w:t>
            </w:r>
            <w:r>
              <w:rPr>
                <w:rFonts w:hint="eastAsia" w:ascii="仿宋" w:hAnsi="仿宋" w:eastAsia="仿宋" w:cs="仿宋"/>
                <w:color w:val="auto"/>
              </w:rPr>
              <w:t xml:space="preserve"> </w:t>
            </w:r>
            <w:r>
              <w:rPr>
                <w:rFonts w:hint="eastAsia" w:ascii="仿宋" w:hAnsi="仿宋" w:eastAsia="仿宋" w:cs="仿宋"/>
                <w:color w:val="auto"/>
              </w:rPr>
              <w:t>MVP上线</w:t>
            </w:r>
          </w:p>
        </w:tc>
        <w:tc>
          <w:p w14:paraId="1643C0D5">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 xml:space="preserve">A: </w:t>
            </w:r>
            <w:r>
              <w:rPr>
                <w:rFonts w:hint="eastAsia" w:ascii="仿宋" w:hAnsi="仿宋" w:eastAsia="仿宋" w:cs="仿宋"/>
                <w:color w:val="auto"/>
              </w:rPr>
              <w:t>完成方案匹配、参数优化Agent开发，法拉迪内部试运行</w:t>
            </w:r>
            <w:r>
              <w:rPr>
                <w:rFonts w:hint="eastAsia" w:ascii="仿宋" w:hAnsi="仿宋" w:eastAsia="仿宋" w:cs="仿宋"/>
                <w:color w:val="auto"/>
              </w:rPr>
              <w:br w:type="textWrapping"/>
            </w:r>
            <w:r>
              <w:rPr>
                <w:rFonts w:hint="eastAsia" w:ascii="仿宋" w:hAnsi="仿宋" w:eastAsia="仿宋" w:cs="仿宋"/>
                <w:color w:val="auto"/>
              </w:rPr>
              <w:t xml:space="preserve">B: </w:t>
            </w:r>
            <w:r>
              <w:rPr>
                <w:rFonts w:hint="eastAsia" w:ascii="仿宋" w:hAnsi="仿宋" w:eastAsia="仿宋" w:cs="仿宋"/>
                <w:color w:val="auto"/>
              </w:rPr>
              <w:t>边缘网关样机+产线试点安装</w:t>
            </w:r>
            <w:r>
              <w:rPr>
                <w:rFonts w:hint="eastAsia" w:ascii="仿宋" w:hAnsi="仿宋" w:eastAsia="仿宋" w:cs="仿宋"/>
                <w:color w:val="auto"/>
              </w:rPr>
              <w:br w:type="textWrapping"/>
            </w:r>
            <w:r>
              <w:rPr>
                <w:rFonts w:hint="eastAsia" w:ascii="仿宋" w:hAnsi="仿宋" w:eastAsia="仿宋" w:cs="仿宋"/>
                <w:color w:val="auto"/>
              </w:rPr>
              <w:t xml:space="preserve">C: </w:t>
            </w:r>
            <w:r>
              <w:rPr>
                <w:rFonts w:hint="eastAsia" w:ascii="仿宋" w:hAnsi="仿宋" w:eastAsia="仿宋" w:cs="仿宋"/>
                <w:color w:val="auto"/>
              </w:rPr>
              <w:t>传感套件样机+实验室标定</w:t>
            </w:r>
          </w:p>
        </w:tc>
        <w:tc>
          <w:p w14:paraId="43ACFC56">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法拉迪销售可独立使用报价Agent出草稿（30分钟内）；边缘网关在现场运行</w:t>
            </w:r>
          </w:p>
        </w:tc>
      </w:tr>
      <w:tr w14:paraId="6395D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E8DDB9E">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b/>
                <w:bCs/>
                <w:color w:val="auto"/>
              </w:rPr>
              <w:t>前9个月</w:t>
            </w:r>
          </w:p>
        </w:tc>
        <w:tc>
          <w:p w14:paraId="2C5F0DB8">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 xml:space="preserve">M3 - </w:t>
            </w:r>
            <w:r>
              <w:rPr>
                <w:rFonts w:hint="eastAsia" w:ascii="仿宋" w:hAnsi="仿宋" w:eastAsia="仿宋" w:cs="仿宋"/>
                <w:color w:val="auto"/>
              </w:rPr>
              <w:t>报价格全链路打通</w:t>
            </w:r>
          </w:p>
        </w:tc>
        <w:tc>
          <w:p w14:paraId="376B40CF">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 xml:space="preserve">A: </w:t>
            </w:r>
            <w:r>
              <w:rPr>
                <w:rFonts w:hint="eastAsia" w:ascii="仿宋" w:hAnsi="仿宋" w:eastAsia="仿宋" w:cs="仿宋"/>
                <w:color w:val="auto"/>
              </w:rPr>
              <w:t>BOM拆解、成本核算、报价输出Agent上线，报价→审批全链路运行</w:t>
            </w:r>
            <w:r>
              <w:rPr>
                <w:rFonts w:hint="eastAsia" w:ascii="仿宋" w:hAnsi="仿宋" w:eastAsia="仿宋" w:cs="仿宋"/>
                <w:color w:val="auto"/>
              </w:rPr>
              <w:br w:type="textWrapping"/>
            </w:r>
            <w:r>
              <w:rPr>
                <w:rFonts w:hint="eastAsia" w:ascii="仿宋" w:hAnsi="仿宋" w:eastAsia="仿宋" w:cs="仿宋"/>
                <w:color w:val="auto"/>
              </w:rPr>
              <w:t xml:space="preserve">B: </w:t>
            </w:r>
            <w:r>
              <w:rPr>
                <w:rFonts w:hint="eastAsia" w:ascii="仿宋" w:hAnsi="仿宋" w:eastAsia="仿宋" w:cs="仿宋"/>
                <w:color w:val="auto"/>
              </w:rPr>
              <w:t>质量预测模型第一版（基于3个月数据训练），质量看板上线</w:t>
            </w:r>
            <w:r>
              <w:rPr>
                <w:rFonts w:hint="eastAsia" w:ascii="仿宋" w:hAnsi="仿宋" w:eastAsia="仿宋" w:cs="仿宋"/>
                <w:color w:val="auto"/>
              </w:rPr>
              <w:br w:type="textWrapping"/>
            </w:r>
            <w:r>
              <w:rPr>
                <w:rFonts w:hint="eastAsia" w:ascii="仿宋" w:hAnsi="仿宋" w:eastAsia="仿宋" w:cs="仿宋"/>
                <w:color w:val="auto"/>
              </w:rPr>
              <w:t xml:space="preserve">C: </w:t>
            </w:r>
            <w:r>
              <w:rPr>
                <w:rFonts w:hint="eastAsia" w:ascii="仿宋" w:hAnsi="仿宋" w:eastAsia="仿宋" w:cs="仿宋"/>
                <w:color w:val="auto"/>
              </w:rPr>
              <w:t>云边诊断框架部署，基础异常检测模型上线</w:t>
            </w:r>
          </w:p>
        </w:tc>
        <w:tc>
          <w:p w14:paraId="6D39E042">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全链路报价系统正式运行（HITL模式）；第一条产线的质量数据可视化</w:t>
            </w:r>
          </w:p>
        </w:tc>
      </w:tr>
      <w:tr w14:paraId="50091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EFDB275">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b/>
                <w:bCs/>
                <w:color w:val="auto"/>
              </w:rPr>
              <w:t>前12个月</w:t>
            </w:r>
          </w:p>
        </w:tc>
        <w:tc>
          <w:p w14:paraId="30B7E455">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 xml:space="preserve">M4 - </w:t>
            </w:r>
            <w:r>
              <w:rPr>
                <w:rFonts w:hint="eastAsia" w:ascii="仿宋" w:hAnsi="仿宋" w:eastAsia="仿宋" w:cs="仿宋"/>
                <w:color w:val="auto"/>
              </w:rPr>
              <w:t>制造+运维初版</w:t>
            </w:r>
          </w:p>
        </w:tc>
        <w:tc>
          <w:p w14:paraId="27F2FF9F">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 xml:space="preserve">A: </w:t>
            </w:r>
            <w:r>
              <w:rPr>
                <w:rFonts w:hint="eastAsia" w:ascii="仿宋" w:hAnsi="仿宋" w:eastAsia="仿宋" w:cs="仿宋"/>
                <w:color w:val="auto"/>
              </w:rPr>
              <w:t>智能定价引擎第一版，报价分析仪表盘</w:t>
            </w:r>
            <w:r>
              <w:rPr>
                <w:rFonts w:hint="eastAsia" w:ascii="仿宋" w:hAnsi="仿宋" w:eastAsia="仿宋" w:cs="仿宋"/>
                <w:color w:val="auto"/>
              </w:rPr>
              <w:br w:type="textWrapping"/>
            </w:r>
            <w:r>
              <w:rPr>
                <w:rFonts w:hint="eastAsia" w:ascii="仿宋" w:hAnsi="仿宋" w:eastAsia="仿宋" w:cs="仿宋"/>
                <w:color w:val="auto"/>
              </w:rPr>
              <w:t xml:space="preserve">B: </w:t>
            </w:r>
            <w:r>
              <w:rPr>
                <w:rFonts w:hint="eastAsia" w:ascii="仿宋" w:hAnsi="仿宋" w:eastAsia="仿宋" w:cs="仿宋"/>
                <w:color w:val="auto"/>
              </w:rPr>
              <w:t>质量预测准确率≥80%，供应链协同功能上线</w:t>
            </w:r>
            <w:r>
              <w:rPr>
                <w:rFonts w:hint="eastAsia" w:ascii="仿宋" w:hAnsi="仿宋" w:eastAsia="仿宋" w:cs="仿宋"/>
                <w:color w:val="auto"/>
              </w:rPr>
              <w:br w:type="textWrapping"/>
            </w:r>
            <w:r>
              <w:rPr>
                <w:rFonts w:hint="eastAsia" w:ascii="仿宋" w:hAnsi="仿宋" w:eastAsia="仿宋" w:cs="仿宋"/>
                <w:color w:val="auto"/>
              </w:rPr>
              <w:t xml:space="preserve">C: </w:t>
            </w:r>
            <w:r>
              <w:rPr>
                <w:rFonts w:hint="eastAsia" w:ascii="仿宋" w:hAnsi="仿宋" w:eastAsia="仿宋" w:cs="仿宋"/>
                <w:color w:val="auto"/>
              </w:rPr>
              <w:t>多模态传感套件安装到3台在运变压器，在线诊断运行</w:t>
            </w:r>
          </w:p>
        </w:tc>
        <w:tc>
          <w:p w14:paraId="5EA221F8">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生产质量预测准确率达标；3台变压器在线监测数据上云</w:t>
            </w:r>
          </w:p>
        </w:tc>
      </w:tr>
      <w:tr w14:paraId="394DC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7EE4332">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b/>
                <w:bCs/>
                <w:color w:val="auto"/>
              </w:rPr>
              <w:t>前15个月</w:t>
            </w:r>
          </w:p>
        </w:tc>
        <w:tc>
          <w:p w14:paraId="30C66492">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 xml:space="preserve">M5 - </w:t>
            </w:r>
            <w:r>
              <w:rPr>
                <w:rFonts w:hint="eastAsia" w:ascii="仿宋" w:hAnsi="仿宋" w:eastAsia="仿宋" w:cs="仿宋"/>
                <w:color w:val="auto"/>
              </w:rPr>
              <w:t>数字孪生+运维决策</w:t>
            </w:r>
          </w:p>
        </w:tc>
        <w:tc>
          <w:p w14:paraId="2EC34403">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 xml:space="preserve">C: </w:t>
            </w:r>
            <w:r>
              <w:rPr>
                <w:rFonts w:hint="eastAsia" w:ascii="仿宋" w:hAnsi="仿宋" w:eastAsia="仿宋" w:cs="仿宋"/>
                <w:color w:val="auto"/>
              </w:rPr>
              <w:t>数字孪生模型第一版（基于3台试点变压器的设计+运行数据），运维决策中心原型</w:t>
            </w:r>
          </w:p>
        </w:tc>
        <w:tc>
          <w:p w14:paraId="64A89679">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数字孪生模型可实时同步运行状态</w:t>
            </w:r>
          </w:p>
        </w:tc>
      </w:tr>
      <w:tr w14:paraId="025DC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D2A2D1F">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b/>
                <w:bCs/>
                <w:color w:val="auto"/>
              </w:rPr>
              <w:t>前18个月</w:t>
            </w:r>
          </w:p>
        </w:tc>
        <w:tc>
          <w:p w14:paraId="3E6E927E">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 xml:space="preserve">M6 - </w:t>
            </w:r>
            <w:r>
              <w:rPr>
                <w:rFonts w:hint="eastAsia" w:ascii="仿宋" w:hAnsi="仿宋" w:eastAsia="仿宋" w:cs="仿宋"/>
                <w:color w:val="auto"/>
              </w:rPr>
              <w:t>全流程贯通验收</w:t>
            </w:r>
          </w:p>
        </w:tc>
        <w:tc>
          <w:p w14:paraId="79406BB0">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三个子项目全功能运行，指标达标验收</w:t>
            </w:r>
          </w:p>
        </w:tc>
        <w:tc>
          <w:p w14:paraId="26EC1AE0">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项目验收</w:t>
            </w:r>
          </w:p>
        </w:tc>
      </w:tr>
      <w:bookmarkEnd w:id="28"/>
    </w:tbl>
    <w:p w14:paraId="2A88D8CA">
      <w:pPr>
        <w:pStyle w:val="5"/>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bookmarkStart w:id="29" w:name="X67031bed2db8e9a406c50d3d2f012b1386f12fe"/>
      <w:r>
        <w:rPr>
          <w:rFonts w:hint="eastAsia" w:ascii="仿宋" w:hAnsi="仿宋" w:eastAsia="仿宋" w:cs="仿宋"/>
          <w:color w:val="auto"/>
        </w:rPr>
        <w:t xml:space="preserve">5.4 </w:t>
      </w:r>
      <w:r>
        <w:rPr>
          <w:rFonts w:hint="eastAsia" w:ascii="仿宋" w:hAnsi="仿宋" w:eastAsia="仿宋" w:cs="仿宋"/>
          <w:color w:val="auto"/>
        </w:rPr>
        <w:t>里程碑节点及阶段性标志性成果</w:t>
      </w:r>
    </w:p>
    <w:tbl>
      <w:tblPr>
        <w:tblStyle w:val="4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89"/>
        <w:gridCol w:w="7567"/>
      </w:tblGrid>
      <w:tr w14:paraId="334E85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p w14:paraId="12DEF095">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成果形成时间</w:t>
            </w:r>
          </w:p>
        </w:tc>
        <w:tc>
          <w:p w14:paraId="42C57634">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成果内容</w:t>
            </w:r>
          </w:p>
        </w:tc>
      </w:tr>
      <w:tr w14:paraId="38BDE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4B7C3CC">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第6个月</w:t>
            </w:r>
          </w:p>
        </w:tc>
        <w:tc>
          <w:p w14:paraId="418F230F">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法拉迪报价Agent</w:t>
            </w:r>
            <w:r>
              <w:rPr>
                <w:rFonts w:hint="eastAsia" w:ascii="仿宋" w:hAnsi="仿宋" w:eastAsia="仿宋" w:cs="仿宋"/>
                <w:color w:val="auto"/>
              </w:rPr>
              <w:t xml:space="preserve"> </w:t>
            </w:r>
            <w:r>
              <w:rPr>
                <w:rFonts w:hint="eastAsia" w:ascii="仿宋" w:hAnsi="仿宋" w:eastAsia="仿宋" w:cs="仿宋"/>
                <w:color w:val="auto"/>
              </w:rPr>
              <w:t>MVP上线，销售可独立使用系统在30分钟内完成报价草稿生成</w:t>
            </w:r>
          </w:p>
        </w:tc>
      </w:tr>
      <w:tr w14:paraId="1BCA0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6B4BED3">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第12个月</w:t>
            </w:r>
          </w:p>
        </w:tc>
        <w:tc>
          <w:p w14:paraId="733D0989">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报价全链路+生产过程质量管控+在运变压器在线监测三大系统均在法拉迪实际运行，核心指标达标</w:t>
            </w:r>
          </w:p>
        </w:tc>
      </w:tr>
      <w:tr w14:paraId="2B8E5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BAC734B">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第18个月</w:t>
            </w:r>
          </w:p>
        </w:tc>
        <w:tc>
          <w:p w14:paraId="474DB7D2">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"报价→制造→运维"全流程贯通的AI一体化平台完成验收，3个子项目核心指标全部达标</w:t>
            </w:r>
          </w:p>
        </w:tc>
      </w:tr>
      <w:bookmarkEnd w:id="25"/>
      <w:bookmarkEnd w:id="29"/>
    </w:tbl>
    <w:p w14:paraId="691FB13B">
      <w:pPr>
        <w:pStyle w:val="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bookmarkStart w:id="30" w:name="X6aba83cf09559632d4e598f26def080a0960fa7"/>
    </w:p>
    <w:p w14:paraId="6BF54784">
      <w:pPr>
        <w:pStyle w:val="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 xml:space="preserve">6. </w:t>
      </w:r>
      <w:r>
        <w:rPr>
          <w:rFonts w:hint="eastAsia" w:ascii="仿宋" w:hAnsi="仿宋" w:eastAsia="仿宋" w:cs="仿宋"/>
          <w:color w:val="auto"/>
        </w:rPr>
        <w:t>现有工作基础和条件</w:t>
      </w:r>
    </w:p>
    <w:p w14:paraId="2B65ECD6">
      <w:pPr>
        <w:pStyle w:val="5"/>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bookmarkStart w:id="31" w:name="Xa4f483fda290c8c3eae2b899c5cb09a05131d87"/>
      <w:r>
        <w:rPr>
          <w:rFonts w:hint="eastAsia" w:ascii="仿宋" w:hAnsi="仿宋" w:eastAsia="仿宋" w:cs="仿宋"/>
          <w:color w:val="auto"/>
        </w:rPr>
        <w:t xml:space="preserve">6.1 </w:t>
      </w:r>
      <w:r>
        <w:rPr>
          <w:rFonts w:hint="eastAsia" w:ascii="仿宋" w:hAnsi="仿宋" w:eastAsia="仿宋" w:cs="仿宋"/>
          <w:color w:val="auto"/>
        </w:rPr>
        <w:t>牵头单位——浙江法拉迪电气有限公司</w:t>
      </w:r>
    </w:p>
    <w:p w14:paraId="3148C37C">
      <w:pPr>
        <w:pStyle w:val="23"/>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 xml:space="preserve"> </w:t>
      </w:r>
      <w:r>
        <w:rPr>
          <w:rFonts w:hint="eastAsia" w:ascii="仿宋" w:hAnsi="仿宋" w:eastAsia="仿宋" w:cs="仿宋"/>
          <w:color w:val="auto"/>
          <w:lang w:val="en-US" w:eastAsia="zh-CN"/>
        </w:rPr>
        <w:t xml:space="preserve">   </w:t>
      </w:r>
      <w:r>
        <w:rPr>
          <w:rFonts w:hint="eastAsia" w:ascii="仿宋" w:hAnsi="仿宋" w:eastAsia="仿宋" w:cs="仿宋"/>
          <w:b/>
          <w:bCs/>
          <w:color w:val="auto"/>
        </w:rPr>
        <w:t>企业概况</w:t>
      </w:r>
      <w:r>
        <w:rPr>
          <w:rFonts w:hint="eastAsia" w:ascii="仿宋" w:hAnsi="仿宋" w:eastAsia="仿宋" w:cs="仿宋"/>
          <w:color w:val="auto"/>
        </w:rPr>
        <w:t>：法拉迪电气有限公司是温州地区变压器制造骨干企业，主营干式变压器、油浸式变压器、箱式变电站等产品，客户覆盖全国主要电网公司和新能源电站。</w:t>
      </w:r>
    </w:p>
    <w:p w14:paraId="254B6514">
      <w:pPr>
        <w:pStyle w:val="3"/>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 xml:space="preserve"> </w:t>
      </w:r>
      <w:r>
        <w:rPr>
          <w:rFonts w:hint="eastAsia" w:ascii="仿宋" w:hAnsi="仿宋" w:eastAsia="仿宋" w:cs="仿宋"/>
          <w:color w:val="auto"/>
          <w:lang w:val="en-US" w:eastAsia="zh-CN"/>
        </w:rPr>
        <w:t xml:space="preserve">  </w:t>
      </w:r>
      <w:r>
        <w:rPr>
          <w:rFonts w:hint="eastAsia" w:ascii="仿宋" w:hAnsi="仿宋" w:eastAsia="仿宋" w:cs="仿宋"/>
          <w:b/>
          <w:bCs/>
          <w:color w:val="auto"/>
        </w:rPr>
        <w:t>报价智能体基础</w:t>
      </w:r>
      <w:r>
        <w:rPr>
          <w:rFonts w:hint="eastAsia" w:ascii="仿宋" w:hAnsi="仿宋" w:eastAsia="仿宋" w:cs="仿宋"/>
          <w:color w:val="auto"/>
        </w:rPr>
        <w:t>：法拉迪已与杭州轨物科技有限公司签订AI报价系统开发合同，目前已完成：</w:t>
      </w:r>
    </w:p>
    <w:p w14:paraId="71CE7B43">
      <w:pPr>
        <w:pageBreakBefore w:val="0"/>
        <w:widowControl/>
        <w:numPr>
          <w:ilvl w:val="0"/>
          <w:numId w:val="2"/>
        </w:numPr>
        <w:kinsoku/>
        <w:overflowPunct/>
        <w:topLinePunct w:val="0"/>
        <w:autoSpaceDE/>
        <w:autoSpaceDN/>
        <w:bidi w:val="0"/>
        <w:adjustRightInd/>
        <w:snapToGrid/>
        <w:spacing w:after="0" w:line="360" w:lineRule="auto"/>
        <w:textAlignment w:val="auto"/>
        <w:rPr>
          <w:rFonts w:hint="eastAsia" w:ascii="仿宋" w:hAnsi="仿宋" w:eastAsia="仿宋" w:cs="仿宋"/>
          <w:color w:val="auto"/>
        </w:rPr>
      </w:pPr>
      <w:r>
        <w:rPr>
          <w:rFonts w:hint="eastAsia" w:ascii="仿宋" w:hAnsi="仿宋" w:eastAsia="仿宋" w:cs="仿宋"/>
          <w:color w:val="auto"/>
        </w:rPr>
        <w:t xml:space="preserve">Agent </w:t>
      </w:r>
      <w:r>
        <w:rPr>
          <w:rFonts w:hint="eastAsia" w:ascii="仿宋" w:hAnsi="仿宋" w:eastAsia="仿宋" w:cs="仿宋"/>
          <w:color w:val="auto"/>
        </w:rPr>
        <w:t>Runtime核心架构开发（Planner/slot_llm/qa_llm/Tool</w:t>
      </w:r>
      <w:r>
        <w:rPr>
          <w:rFonts w:hint="eastAsia" w:ascii="仿宋" w:hAnsi="仿宋" w:eastAsia="仿宋" w:cs="仿宋"/>
          <w:color w:val="auto"/>
        </w:rPr>
        <w:t xml:space="preserve"> </w:t>
      </w:r>
      <w:r>
        <w:rPr>
          <w:rFonts w:hint="eastAsia" w:ascii="仿宋" w:hAnsi="仿宋" w:eastAsia="仿宋" w:cs="仿宋"/>
          <w:color w:val="auto"/>
        </w:rPr>
        <w:t>Executor）</w:t>
      </w:r>
    </w:p>
    <w:p w14:paraId="0EEFD8CD">
      <w:pPr>
        <w:pageBreakBefore w:val="0"/>
        <w:widowControl/>
        <w:numPr>
          <w:ilvl w:val="0"/>
          <w:numId w:val="2"/>
        </w:numPr>
        <w:kinsoku/>
        <w:overflowPunct/>
        <w:topLinePunct w:val="0"/>
        <w:autoSpaceDE/>
        <w:autoSpaceDN/>
        <w:bidi w:val="0"/>
        <w:adjustRightInd/>
        <w:snapToGrid/>
        <w:spacing w:after="0" w:line="360" w:lineRule="auto"/>
        <w:textAlignment w:val="auto"/>
        <w:rPr>
          <w:rFonts w:hint="eastAsia" w:ascii="仿宋" w:hAnsi="仿宋" w:eastAsia="仿宋" w:cs="仿宋"/>
          <w:color w:val="auto"/>
        </w:rPr>
      </w:pPr>
      <w:r>
        <w:rPr>
          <w:rFonts w:hint="eastAsia" w:ascii="仿宋" w:hAnsi="仿宋" w:eastAsia="仿宋" w:cs="仿宋"/>
          <w:color w:val="auto"/>
        </w:rPr>
        <w:t>电磁计算引擎API化，支持远程调用</w:t>
      </w:r>
    </w:p>
    <w:p w14:paraId="60A5C81E">
      <w:pPr>
        <w:pageBreakBefore w:val="0"/>
        <w:widowControl/>
        <w:numPr>
          <w:ilvl w:val="0"/>
          <w:numId w:val="2"/>
        </w:numPr>
        <w:kinsoku/>
        <w:overflowPunct/>
        <w:topLinePunct w:val="0"/>
        <w:autoSpaceDE/>
        <w:autoSpaceDN/>
        <w:bidi w:val="0"/>
        <w:adjustRightInd/>
        <w:snapToGrid/>
        <w:spacing w:after="0" w:line="360" w:lineRule="auto"/>
        <w:textAlignment w:val="auto"/>
        <w:rPr>
          <w:rFonts w:hint="eastAsia" w:ascii="仿宋" w:hAnsi="仿宋" w:eastAsia="仿宋" w:cs="仿宋"/>
          <w:color w:val="auto"/>
        </w:rPr>
      </w:pPr>
      <w:r>
        <w:rPr>
          <w:rFonts w:hint="eastAsia" w:ascii="仿宋" w:hAnsi="仿宋" w:eastAsia="仿宋" w:cs="仿宋"/>
          <w:color w:val="auto"/>
        </w:rPr>
        <w:t>历史已完成电磁计算项目数据100+份的标准化整理</w:t>
      </w:r>
    </w:p>
    <w:p w14:paraId="6E6AD043">
      <w:pPr>
        <w:pageBreakBefore w:val="0"/>
        <w:widowControl/>
        <w:numPr>
          <w:ilvl w:val="0"/>
          <w:numId w:val="2"/>
        </w:numPr>
        <w:kinsoku/>
        <w:overflowPunct/>
        <w:topLinePunct w:val="0"/>
        <w:autoSpaceDE/>
        <w:autoSpaceDN/>
        <w:bidi w:val="0"/>
        <w:adjustRightInd/>
        <w:snapToGrid/>
        <w:spacing w:after="0" w:line="360" w:lineRule="auto"/>
        <w:textAlignment w:val="auto"/>
        <w:rPr>
          <w:rFonts w:hint="eastAsia" w:ascii="仿宋" w:hAnsi="仿宋" w:eastAsia="仿宋" w:cs="仿宋"/>
          <w:color w:val="auto"/>
        </w:rPr>
      </w:pPr>
      <w:r>
        <w:rPr>
          <w:rFonts w:hint="eastAsia" w:ascii="仿宋" w:hAnsi="仿宋" w:eastAsia="仿宋" w:cs="仿宋"/>
          <w:color w:val="auto"/>
        </w:rPr>
        <w:t>需求解析Agent原型（支持PDF/Word输入→结构化参数提取）</w:t>
      </w:r>
    </w:p>
    <w:p w14:paraId="55336A82">
      <w:pPr>
        <w:pageBreakBefore w:val="0"/>
        <w:widowControl/>
        <w:numPr>
          <w:ilvl w:val="0"/>
          <w:numId w:val="2"/>
        </w:numPr>
        <w:kinsoku/>
        <w:overflowPunct/>
        <w:topLinePunct w:val="0"/>
        <w:autoSpaceDE/>
        <w:autoSpaceDN/>
        <w:bidi w:val="0"/>
        <w:adjustRightInd/>
        <w:snapToGrid/>
        <w:spacing w:after="0" w:line="360" w:lineRule="auto"/>
        <w:textAlignment w:val="auto"/>
        <w:rPr>
          <w:rFonts w:hint="eastAsia" w:ascii="仿宋" w:hAnsi="仿宋" w:eastAsia="仿宋" w:cs="仿宋"/>
          <w:color w:val="auto"/>
        </w:rPr>
      </w:pPr>
      <w:r>
        <w:rPr>
          <w:rFonts w:hint="eastAsia" w:ascii="仿宋" w:hAnsi="仿宋" w:eastAsia="仿宋" w:cs="仿宋"/>
          <w:color w:val="auto"/>
        </w:rPr>
        <w:t>报价Agent</w:t>
      </w:r>
      <w:r>
        <w:rPr>
          <w:rFonts w:hint="eastAsia" w:ascii="仿宋" w:hAnsi="仿宋" w:eastAsia="仿宋" w:cs="仿宋"/>
          <w:color w:val="auto"/>
        </w:rPr>
        <w:t xml:space="preserve"> </w:t>
      </w:r>
      <w:r>
        <w:rPr>
          <w:rFonts w:hint="eastAsia" w:ascii="仿宋" w:hAnsi="仿宋" w:eastAsia="仿宋" w:cs="仿宋"/>
          <w:color w:val="auto"/>
        </w:rPr>
        <w:t>MVP已完成设计，进入开发阶段</w:t>
      </w:r>
    </w:p>
    <w:p w14:paraId="109A1F11">
      <w:pPr>
        <w:pageBreakBefore w:val="0"/>
        <w:widowControl/>
        <w:numPr>
          <w:ilvl w:val="0"/>
          <w:numId w:val="9"/>
        </w:numPr>
        <w:kinsoku/>
        <w:overflowPunct/>
        <w:topLinePunct w:val="0"/>
        <w:autoSpaceDE/>
        <w:autoSpaceDN/>
        <w:bidi w:val="0"/>
        <w:adjustRightInd/>
        <w:snapToGrid/>
        <w:spacing w:after="0" w:line="360" w:lineRule="auto"/>
        <w:textAlignment w:val="auto"/>
        <w:rPr>
          <w:rFonts w:hint="eastAsia" w:ascii="仿宋" w:hAnsi="仿宋" w:eastAsia="仿宋" w:cs="仿宋"/>
          <w:color w:val="auto"/>
        </w:rPr>
      </w:pPr>
      <w:r>
        <w:rPr>
          <w:rFonts w:hint="eastAsia" w:ascii="仿宋" w:hAnsi="仿宋" w:eastAsia="仿宋" w:cs="仿宋"/>
          <w:b/>
          <w:bCs/>
          <w:color w:val="auto"/>
        </w:rPr>
        <w:t>研发投入与创新平台</w:t>
      </w:r>
      <w:r>
        <w:rPr>
          <w:rFonts w:hint="eastAsia" w:ascii="仿宋" w:hAnsi="仿宋" w:eastAsia="仿宋" w:cs="仿宋"/>
          <w:color w:val="auto"/>
        </w:rPr>
        <w:t>：法拉迪近三年研发投入持续增长，已建有企业技术中心，拥有变压器电磁设计、工艺仿真等自主知识产权。</w:t>
      </w:r>
    </w:p>
    <w:bookmarkEnd w:id="31"/>
    <w:p w14:paraId="6BF07407">
      <w:pPr>
        <w:pStyle w:val="5"/>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bookmarkStart w:id="32" w:name="X26616cbf9c320a0bff384a3783b2830488d499b"/>
      <w:r>
        <w:rPr>
          <w:rFonts w:hint="eastAsia" w:ascii="仿宋" w:hAnsi="仿宋" w:eastAsia="仿宋" w:cs="仿宋"/>
          <w:color w:val="auto"/>
        </w:rPr>
        <w:t xml:space="preserve">6.2 </w:t>
      </w:r>
      <w:r>
        <w:rPr>
          <w:rFonts w:hint="eastAsia" w:ascii="仿宋" w:hAnsi="仿宋" w:eastAsia="仿宋" w:cs="仿宋"/>
          <w:color w:val="auto"/>
        </w:rPr>
        <w:t>参与单位工作基础</w:t>
      </w:r>
    </w:p>
    <w:p w14:paraId="4F581A41">
      <w:pPr>
        <w:pStyle w:val="6"/>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bookmarkStart w:id="33" w:name="杭州电子科技大学陈科明团队"/>
      <w:r>
        <w:rPr>
          <w:rFonts w:hint="eastAsia" w:ascii="仿宋" w:hAnsi="仿宋" w:eastAsia="仿宋" w:cs="仿宋"/>
          <w:color w:val="auto"/>
        </w:rPr>
        <w:t>杭州电子科技大学（陈科明团队）</w:t>
      </w:r>
    </w:p>
    <w:p w14:paraId="6459AEFB">
      <w:pPr>
        <w:pStyle w:val="23"/>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 xml:space="preserve"> </w:t>
      </w:r>
      <w:r>
        <w:rPr>
          <w:rFonts w:hint="eastAsia" w:ascii="仿宋" w:hAnsi="仿宋" w:eastAsia="仿宋" w:cs="仿宋"/>
          <w:color w:val="auto"/>
        </w:rPr>
        <w:t>陈科明教授团队长期从事物联网、人工智能、工业大数据及嵌入式系统研究，在工业数据采集、边缘智能计算、传感网络等领域有深厚的学术积累和工程实践经验。团队主持或参与多项国家级/省部级科研项目，拥有多项发明专利和软件著作权。</w:t>
      </w:r>
    </w:p>
    <w:p w14:paraId="708D5DF3">
      <w:pPr>
        <w:pStyle w:val="3"/>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b/>
          <w:bCs/>
          <w:color w:val="auto"/>
        </w:rPr>
        <w:t>本项目的核心参与人员：</w:t>
      </w:r>
    </w:p>
    <w:tbl>
      <w:tblPr>
        <w:tblStyle w:val="41"/>
        <w:tblW w:w="0" w:type="auto"/>
        <w:tblInd w:w="0" w:type="dxa"/>
        <w:tblLayout w:type="autofit"/>
        <w:tblCellMar>
          <w:top w:w="0" w:type="dxa"/>
          <w:left w:w="108" w:type="dxa"/>
          <w:bottom w:w="0" w:type="dxa"/>
          <w:right w:w="108" w:type="dxa"/>
        </w:tblCellMar>
      </w:tblPr>
      <w:tblGrid>
        <w:gridCol w:w="936"/>
        <w:gridCol w:w="1296"/>
        <w:gridCol w:w="5496"/>
      </w:tblGrid>
      <w:tr w14:paraId="4E61348A">
        <w:tblPrEx>
          <w:tblCellMar>
            <w:top w:w="0" w:type="dxa"/>
            <w:left w:w="108" w:type="dxa"/>
            <w:bottom w:w="0" w:type="dxa"/>
            <w:right w:w="108" w:type="dxa"/>
          </w:tblCellMar>
        </w:tblPrEx>
        <w:trPr>
          <w:tblHeader/>
        </w:trPr>
        <w:tc>
          <w:p w14:paraId="56C2C483">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姓名</w:t>
            </w:r>
          </w:p>
        </w:tc>
        <w:tc>
          <w:p w14:paraId="64DE006E">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职称</w:t>
            </w:r>
          </w:p>
        </w:tc>
        <w:tc>
          <w:p w14:paraId="657E88D9">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在本项目中的角色</w:t>
            </w:r>
          </w:p>
        </w:tc>
      </w:tr>
      <w:tr w14:paraId="310C0E9F">
        <w:tblPrEx>
          <w:tblCellMar>
            <w:top w:w="0" w:type="dxa"/>
            <w:left w:w="108" w:type="dxa"/>
            <w:bottom w:w="0" w:type="dxa"/>
            <w:right w:w="108" w:type="dxa"/>
          </w:tblCellMar>
        </w:tblPrEx>
        <w:tc>
          <w:p w14:paraId="428EE4A9">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陈科明</w:t>
            </w:r>
          </w:p>
        </w:tc>
        <w:tc>
          <w:p w14:paraId="602995EB">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教授/博导</w:t>
            </w:r>
          </w:p>
        </w:tc>
        <w:tc>
          <w:p w14:paraId="68734653">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技术总负责人，总体技术方案设计</w:t>
            </w:r>
          </w:p>
        </w:tc>
      </w:tr>
      <w:tr w14:paraId="5256D4EB">
        <w:tblPrEx>
          <w:tblCellMar>
            <w:top w:w="0" w:type="dxa"/>
            <w:left w:w="108" w:type="dxa"/>
            <w:bottom w:w="0" w:type="dxa"/>
            <w:right w:w="108" w:type="dxa"/>
          </w:tblCellMar>
        </w:tblPrEx>
        <w:tc>
          <w:p w14:paraId="72CADF0A">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洪慧</w:t>
            </w:r>
          </w:p>
        </w:tc>
        <w:tc>
          <w:p w14:paraId="2103CA39">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副教授</w:t>
            </w:r>
          </w:p>
        </w:tc>
        <w:tc>
          <w:p w14:paraId="2C849407">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子项目B负责人，工业大数据分析、质量预测模型</w:t>
            </w:r>
          </w:p>
        </w:tc>
      </w:tr>
      <w:tr w14:paraId="25BC5715">
        <w:tblPrEx>
          <w:tblCellMar>
            <w:top w:w="0" w:type="dxa"/>
            <w:left w:w="108" w:type="dxa"/>
            <w:bottom w:w="0" w:type="dxa"/>
            <w:right w:w="108" w:type="dxa"/>
          </w:tblCellMar>
        </w:tblPrEx>
        <w:tc>
          <w:p w14:paraId="09ABB000">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张晓红</w:t>
            </w:r>
          </w:p>
        </w:tc>
        <w:tc>
          <w:p w14:paraId="322D9B52">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副教授</w:t>
            </w:r>
          </w:p>
        </w:tc>
        <w:tc>
          <w:p w14:paraId="66282BEA">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子项目C负责人，传感技术、信号处理</w:t>
            </w:r>
          </w:p>
        </w:tc>
      </w:tr>
      <w:tr w14:paraId="3691FBEA">
        <w:tblPrEx>
          <w:tblCellMar>
            <w:top w:w="0" w:type="dxa"/>
            <w:left w:w="108" w:type="dxa"/>
            <w:bottom w:w="0" w:type="dxa"/>
            <w:right w:w="108" w:type="dxa"/>
          </w:tblCellMar>
        </w:tblPrEx>
        <w:tc>
          <w:p w14:paraId="23EB2053">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邵李焕</w:t>
            </w:r>
          </w:p>
        </w:tc>
        <w:tc>
          <w:p w14:paraId="09C756C4">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讲师/博士</w:t>
            </w:r>
          </w:p>
        </w:tc>
        <w:tc>
          <w:p w14:paraId="50E17C64">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边缘计算、嵌入式系统研发</w:t>
            </w:r>
          </w:p>
        </w:tc>
      </w:tr>
    </w:tbl>
    <w:p w14:paraId="59353030">
      <w:pPr>
        <w:pStyle w:val="3"/>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 xml:space="preserve"> </w:t>
      </w:r>
      <w:r>
        <w:rPr>
          <w:rFonts w:hint="eastAsia" w:ascii="仿宋" w:hAnsi="仿宋" w:eastAsia="仿宋" w:cs="仿宋"/>
          <w:color w:val="auto"/>
        </w:rPr>
        <w:t>团队在以下方面与本项目高度匹配：</w:t>
      </w:r>
    </w:p>
    <w:p w14:paraId="6D912235">
      <w:pPr>
        <w:pageBreakBefore w:val="0"/>
        <w:widowControl/>
        <w:numPr>
          <w:ilvl w:val="0"/>
          <w:numId w:val="2"/>
        </w:numPr>
        <w:kinsoku/>
        <w:overflowPunct/>
        <w:topLinePunct w:val="0"/>
        <w:autoSpaceDE/>
        <w:autoSpaceDN/>
        <w:bidi w:val="0"/>
        <w:adjustRightInd/>
        <w:snapToGrid/>
        <w:spacing w:after="0" w:line="360" w:lineRule="auto"/>
        <w:textAlignment w:val="auto"/>
        <w:rPr>
          <w:rFonts w:hint="eastAsia" w:ascii="仿宋" w:hAnsi="仿宋" w:eastAsia="仿宋" w:cs="仿宋"/>
          <w:color w:val="auto"/>
        </w:rPr>
      </w:pPr>
      <w:r>
        <w:rPr>
          <w:rFonts w:hint="eastAsia" w:ascii="仿宋" w:hAnsi="仿宋" w:eastAsia="仿宋" w:cs="仿宋"/>
          <w:b/>
          <w:bCs/>
          <w:color w:val="auto"/>
        </w:rPr>
        <w:t xml:space="preserve">Edge </w:t>
      </w:r>
      <w:r>
        <w:rPr>
          <w:rFonts w:hint="eastAsia" w:ascii="仿宋" w:hAnsi="仿宋" w:eastAsia="仿宋" w:cs="仿宋"/>
          <w:b/>
          <w:bCs/>
          <w:color w:val="auto"/>
        </w:rPr>
        <w:t>AI与云边协同</w:t>
      </w:r>
      <w:r>
        <w:rPr>
          <w:rFonts w:hint="eastAsia" w:ascii="仿宋" w:hAnsi="仿宋" w:eastAsia="仿宋" w:cs="仿宋"/>
          <w:color w:val="auto"/>
        </w:rPr>
        <w:t>：已在实际工业场景中验证的边缘智能架构，可快速迁移至变压器制造车间</w:t>
      </w:r>
    </w:p>
    <w:p w14:paraId="3B48E10B">
      <w:pPr>
        <w:pageBreakBefore w:val="0"/>
        <w:widowControl/>
        <w:numPr>
          <w:ilvl w:val="0"/>
          <w:numId w:val="2"/>
        </w:numPr>
        <w:kinsoku/>
        <w:overflowPunct/>
        <w:topLinePunct w:val="0"/>
        <w:autoSpaceDE/>
        <w:autoSpaceDN/>
        <w:bidi w:val="0"/>
        <w:adjustRightInd/>
        <w:snapToGrid/>
        <w:spacing w:after="0" w:line="360" w:lineRule="auto"/>
        <w:textAlignment w:val="auto"/>
        <w:rPr>
          <w:rFonts w:hint="eastAsia" w:ascii="仿宋" w:hAnsi="仿宋" w:eastAsia="仿宋" w:cs="仿宋"/>
          <w:color w:val="auto"/>
        </w:rPr>
      </w:pPr>
      <w:r>
        <w:rPr>
          <w:rFonts w:hint="eastAsia" w:ascii="仿宋" w:hAnsi="仿宋" w:eastAsia="仿宋" w:cs="仿宋"/>
          <w:b/>
          <w:bCs/>
          <w:color w:val="auto"/>
        </w:rPr>
        <w:t>工业大数据建模与分析</w:t>
      </w:r>
      <w:r>
        <w:rPr>
          <w:rFonts w:hint="eastAsia" w:ascii="仿宋" w:hAnsi="仿宋" w:eastAsia="仿宋" w:cs="仿宋"/>
          <w:color w:val="auto"/>
        </w:rPr>
        <w:t>：具备多源异构数据融合、时序分析、预测模型开发的核心能力</w:t>
      </w:r>
    </w:p>
    <w:p w14:paraId="7EF2165A">
      <w:pPr>
        <w:pageBreakBefore w:val="0"/>
        <w:widowControl/>
        <w:numPr>
          <w:ilvl w:val="0"/>
          <w:numId w:val="2"/>
        </w:numPr>
        <w:kinsoku/>
        <w:overflowPunct/>
        <w:topLinePunct w:val="0"/>
        <w:autoSpaceDE/>
        <w:autoSpaceDN/>
        <w:bidi w:val="0"/>
        <w:adjustRightInd/>
        <w:snapToGrid/>
        <w:spacing w:after="0" w:line="360" w:lineRule="auto"/>
        <w:textAlignment w:val="auto"/>
        <w:rPr>
          <w:rFonts w:hint="eastAsia" w:ascii="仿宋" w:hAnsi="仿宋" w:eastAsia="仿宋" w:cs="仿宋"/>
          <w:color w:val="auto"/>
        </w:rPr>
      </w:pPr>
      <w:r>
        <w:rPr>
          <w:rFonts w:hint="eastAsia" w:ascii="仿宋" w:hAnsi="仿宋" w:eastAsia="仿宋" w:cs="仿宋"/>
          <w:b/>
          <w:bCs/>
          <w:color w:val="auto"/>
        </w:rPr>
        <w:t>智能传感与信号处理</w:t>
      </w:r>
      <w:r>
        <w:rPr>
          <w:rFonts w:hint="eastAsia" w:ascii="仿宋" w:hAnsi="仿宋" w:eastAsia="仿宋" w:cs="仿宋"/>
          <w:color w:val="auto"/>
        </w:rPr>
        <w:t>：在局放检测、振动分析等非电量传感领域有前期研究基础</w:t>
      </w:r>
    </w:p>
    <w:bookmarkEnd w:id="33"/>
    <w:p w14:paraId="681D8714">
      <w:pPr>
        <w:pStyle w:val="6"/>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bookmarkStart w:id="34" w:name="杭州轨物科技有限公司"/>
      <w:r>
        <w:rPr>
          <w:rFonts w:hint="eastAsia" w:ascii="仿宋" w:hAnsi="仿宋" w:eastAsia="仿宋" w:cs="仿宋"/>
          <w:color w:val="auto"/>
        </w:rPr>
        <w:t>杭州轨物科技有限公司</w:t>
      </w:r>
    </w:p>
    <w:p w14:paraId="007A18BD">
      <w:pPr>
        <w:pStyle w:val="23"/>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 xml:space="preserve"> </w:t>
      </w:r>
      <w:r>
        <w:rPr>
          <w:rFonts w:hint="eastAsia" w:ascii="仿宋" w:hAnsi="仿宋" w:eastAsia="仿宋" w:cs="仿宋"/>
          <w:color w:val="auto"/>
          <w:lang w:val="en-US" w:eastAsia="zh-CN"/>
        </w:rPr>
        <w:t xml:space="preserve">   </w:t>
      </w:r>
      <w:r>
        <w:rPr>
          <w:rFonts w:hint="eastAsia" w:ascii="仿宋" w:hAnsi="仿宋" w:eastAsia="仿宋" w:cs="仿宋"/>
          <w:color w:val="auto"/>
        </w:rPr>
        <w:t>轨物科技成立于2014年，系国家级高新技术企业、国家标准起草单位、华为物联网解决方案提供商。专注于物联网平台、AI</w:t>
      </w:r>
      <w:r>
        <w:rPr>
          <w:rFonts w:hint="eastAsia" w:ascii="仿宋" w:hAnsi="仿宋" w:eastAsia="仿宋" w:cs="仿宋"/>
          <w:color w:val="auto"/>
        </w:rPr>
        <w:t xml:space="preserve"> </w:t>
      </w:r>
      <w:r>
        <w:rPr>
          <w:rFonts w:hint="eastAsia" w:ascii="仿宋" w:hAnsi="仿宋" w:eastAsia="仿宋" w:cs="仿宋"/>
          <w:color w:val="auto"/>
        </w:rPr>
        <w:t>Agent、工业大数据分析及智能传感技术的工程化应用。</w:t>
      </w:r>
    </w:p>
    <w:p w14:paraId="2B6F9110">
      <w:pPr>
        <w:pStyle w:val="3"/>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b/>
          <w:bCs/>
          <w:color w:val="auto"/>
        </w:rPr>
        <w:t>本项目的核心参与人员：</w:t>
      </w:r>
    </w:p>
    <w:tbl>
      <w:tblPr>
        <w:tblStyle w:val="41"/>
        <w:tblW w:w="0" w:type="auto"/>
        <w:tblInd w:w="0" w:type="dxa"/>
        <w:tblLayout w:type="autofit"/>
        <w:tblCellMar>
          <w:top w:w="0" w:type="dxa"/>
          <w:left w:w="108" w:type="dxa"/>
          <w:bottom w:w="0" w:type="dxa"/>
          <w:right w:w="108" w:type="dxa"/>
        </w:tblCellMar>
      </w:tblPr>
      <w:tblGrid>
        <w:gridCol w:w="936"/>
        <w:gridCol w:w="1896"/>
        <w:gridCol w:w="5076"/>
      </w:tblGrid>
      <w:tr w14:paraId="78CD2CAF">
        <w:tblPrEx>
          <w:tblCellMar>
            <w:top w:w="0" w:type="dxa"/>
            <w:left w:w="108" w:type="dxa"/>
            <w:bottom w:w="0" w:type="dxa"/>
            <w:right w:w="108" w:type="dxa"/>
          </w:tblCellMar>
        </w:tblPrEx>
        <w:trPr>
          <w:tblHeader/>
        </w:trPr>
        <w:tc>
          <w:p w14:paraId="2C652038">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姓名</w:t>
            </w:r>
          </w:p>
        </w:tc>
        <w:tc>
          <w:p w14:paraId="071178C7">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职务</w:t>
            </w:r>
          </w:p>
        </w:tc>
        <w:tc>
          <w:p w14:paraId="71A9103B">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在本项目中的角色</w:t>
            </w:r>
          </w:p>
        </w:tc>
      </w:tr>
      <w:tr w14:paraId="1538C407">
        <w:tblPrEx>
          <w:tblCellMar>
            <w:top w:w="0" w:type="dxa"/>
            <w:left w:w="108" w:type="dxa"/>
            <w:bottom w:w="0" w:type="dxa"/>
            <w:right w:w="108" w:type="dxa"/>
          </w:tblCellMar>
        </w:tblPrEx>
        <w:tc>
          <w:p w14:paraId="5D3DE024">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倪凯</w:t>
            </w:r>
          </w:p>
        </w:tc>
        <w:tc>
          <w:p w14:paraId="784AF155">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技术总监</w:t>
            </w:r>
          </w:p>
        </w:tc>
        <w:tc>
          <w:p w14:paraId="42C85347">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子项目A负责人，AI</w:t>
            </w:r>
            <w:r>
              <w:rPr>
                <w:rFonts w:hint="eastAsia" w:ascii="仿宋" w:hAnsi="仿宋" w:eastAsia="仿宋" w:cs="仿宋"/>
                <w:color w:val="auto"/>
              </w:rPr>
              <w:t xml:space="preserve"> </w:t>
            </w:r>
            <w:r>
              <w:rPr>
                <w:rFonts w:hint="eastAsia" w:ascii="仿宋" w:hAnsi="仿宋" w:eastAsia="仿宋" w:cs="仿宋"/>
                <w:color w:val="auto"/>
              </w:rPr>
              <w:t>Agent工程化、系统架构</w:t>
            </w:r>
          </w:p>
        </w:tc>
      </w:tr>
      <w:tr w14:paraId="5E9D47E9">
        <w:tblPrEx>
          <w:tblCellMar>
            <w:top w:w="0" w:type="dxa"/>
            <w:left w:w="108" w:type="dxa"/>
            <w:bottom w:w="0" w:type="dxa"/>
            <w:right w:w="108" w:type="dxa"/>
          </w:tblCellMar>
        </w:tblPrEx>
        <w:tc>
          <w:p w14:paraId="243BDD16">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曾佳</w:t>
            </w:r>
          </w:p>
        </w:tc>
        <w:tc>
          <w:p w14:paraId="586318CA">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高级开发工程师</w:t>
            </w:r>
          </w:p>
        </w:tc>
        <w:tc>
          <w:p w14:paraId="27E043B5">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Agent开发、后端系统</w:t>
            </w:r>
          </w:p>
        </w:tc>
      </w:tr>
      <w:tr w14:paraId="68C7327B">
        <w:tblPrEx>
          <w:tblCellMar>
            <w:top w:w="0" w:type="dxa"/>
            <w:left w:w="108" w:type="dxa"/>
            <w:bottom w:w="0" w:type="dxa"/>
            <w:right w:w="108" w:type="dxa"/>
          </w:tblCellMar>
        </w:tblPrEx>
        <w:tc>
          <w:p w14:paraId="57E3956E">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周柏楠</w:t>
            </w:r>
          </w:p>
        </w:tc>
        <w:tc>
          <w:p w14:paraId="1DCF6C57">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高级开发工程师</w:t>
            </w:r>
          </w:p>
        </w:tc>
        <w:tc>
          <w:p w14:paraId="6E6EB769">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边缘网关开发、嵌入式系统</w:t>
            </w:r>
          </w:p>
        </w:tc>
      </w:tr>
      <w:tr w14:paraId="1BA71A43">
        <w:tblPrEx>
          <w:tblCellMar>
            <w:top w:w="0" w:type="dxa"/>
            <w:left w:w="108" w:type="dxa"/>
            <w:bottom w:w="0" w:type="dxa"/>
            <w:right w:w="108" w:type="dxa"/>
          </w:tblCellMar>
        </w:tblPrEx>
        <w:tc>
          <w:p w14:paraId="37D7F44A">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陈楠槟</w:t>
            </w:r>
          </w:p>
        </w:tc>
        <w:tc>
          <w:p w14:paraId="034D673A">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开发工程师</w:t>
            </w:r>
          </w:p>
        </w:tc>
        <w:tc>
          <w:p w14:paraId="53FC742F">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前端开发、物联网平台</w:t>
            </w:r>
          </w:p>
        </w:tc>
      </w:tr>
    </w:tbl>
    <w:p w14:paraId="7373E30D">
      <w:pPr>
        <w:pStyle w:val="3"/>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 xml:space="preserve"> </w:t>
      </w:r>
      <w:r>
        <w:rPr>
          <w:rFonts w:hint="eastAsia" w:ascii="仿宋" w:hAnsi="仿宋" w:eastAsia="仿宋" w:cs="仿宋"/>
          <w:color w:val="auto"/>
        </w:rPr>
        <w:t>核心能力：</w:t>
      </w:r>
    </w:p>
    <w:p w14:paraId="091AA921">
      <w:pPr>
        <w:pageBreakBefore w:val="0"/>
        <w:widowControl/>
        <w:numPr>
          <w:ilvl w:val="0"/>
          <w:numId w:val="2"/>
        </w:numPr>
        <w:kinsoku/>
        <w:overflowPunct/>
        <w:topLinePunct w:val="0"/>
        <w:autoSpaceDE/>
        <w:autoSpaceDN/>
        <w:bidi w:val="0"/>
        <w:adjustRightInd/>
        <w:snapToGrid/>
        <w:spacing w:after="0" w:line="360" w:lineRule="auto"/>
        <w:textAlignment w:val="auto"/>
        <w:rPr>
          <w:rFonts w:hint="eastAsia" w:ascii="仿宋" w:hAnsi="仿宋" w:eastAsia="仿宋" w:cs="仿宋"/>
          <w:color w:val="auto"/>
        </w:rPr>
      </w:pPr>
      <w:r>
        <w:rPr>
          <w:rFonts w:hint="eastAsia" w:ascii="仿宋" w:hAnsi="仿宋" w:eastAsia="仿宋" w:cs="仿宋"/>
          <w:b/>
          <w:bCs/>
          <w:color w:val="auto"/>
        </w:rPr>
        <w:t xml:space="preserve">AI </w:t>
      </w:r>
      <w:r>
        <w:rPr>
          <w:rFonts w:hint="eastAsia" w:ascii="仿宋" w:hAnsi="仿宋" w:eastAsia="仿宋" w:cs="仿宋"/>
          <w:b/>
          <w:bCs/>
          <w:color w:val="auto"/>
        </w:rPr>
        <w:t>Agent工程化能力</w:t>
      </w:r>
      <w:r>
        <w:rPr>
          <w:rFonts w:hint="eastAsia" w:ascii="仿宋" w:hAnsi="仿宋" w:eastAsia="仿宋" w:cs="仿宋"/>
          <w:color w:val="auto"/>
        </w:rPr>
        <w:t>：已为法拉迪开发Agent</w:t>
      </w:r>
      <w:r>
        <w:rPr>
          <w:rFonts w:hint="eastAsia" w:ascii="仿宋" w:hAnsi="仿宋" w:eastAsia="仿宋" w:cs="仿宋"/>
          <w:color w:val="auto"/>
        </w:rPr>
        <w:t xml:space="preserve"> </w:t>
      </w:r>
      <w:r>
        <w:rPr>
          <w:rFonts w:hint="eastAsia" w:ascii="仿宋" w:hAnsi="仿宋" w:eastAsia="仿宋" w:cs="仿宋"/>
          <w:color w:val="auto"/>
        </w:rPr>
        <w:t>Runtime核心架构，对变压器领域的数据模型、业务逻辑、工程约束有深入理解</w:t>
      </w:r>
    </w:p>
    <w:p w14:paraId="7FC61135">
      <w:pPr>
        <w:pageBreakBefore w:val="0"/>
        <w:widowControl/>
        <w:numPr>
          <w:ilvl w:val="0"/>
          <w:numId w:val="2"/>
        </w:numPr>
        <w:kinsoku/>
        <w:overflowPunct/>
        <w:topLinePunct w:val="0"/>
        <w:autoSpaceDE/>
        <w:autoSpaceDN/>
        <w:bidi w:val="0"/>
        <w:adjustRightInd/>
        <w:snapToGrid/>
        <w:spacing w:after="0" w:line="360" w:lineRule="auto"/>
        <w:textAlignment w:val="auto"/>
        <w:rPr>
          <w:rFonts w:hint="eastAsia" w:ascii="仿宋" w:hAnsi="仿宋" w:eastAsia="仿宋" w:cs="仿宋"/>
          <w:color w:val="auto"/>
        </w:rPr>
      </w:pPr>
      <w:r>
        <w:rPr>
          <w:rFonts w:hint="eastAsia" w:ascii="仿宋" w:hAnsi="仿宋" w:eastAsia="仿宋" w:cs="仿宋"/>
          <w:b/>
          <w:bCs/>
          <w:color w:val="auto"/>
        </w:rPr>
        <w:t>物联网平台</w:t>
      </w:r>
      <w:r>
        <w:rPr>
          <w:rFonts w:hint="eastAsia" w:ascii="仿宋" w:hAnsi="仿宋" w:eastAsia="仿宋" w:cs="仿宋"/>
          <w:color w:val="auto"/>
        </w:rPr>
        <w:t>：自研物联网接入平台，支持多种工业协议（MQTT/OPC</w:t>
      </w:r>
      <w:r>
        <w:rPr>
          <w:rFonts w:hint="eastAsia" w:ascii="仿宋" w:hAnsi="仿宋" w:eastAsia="仿宋" w:cs="仿宋"/>
          <w:color w:val="auto"/>
        </w:rPr>
        <w:t xml:space="preserve"> </w:t>
      </w:r>
      <w:r>
        <w:rPr>
          <w:rFonts w:hint="eastAsia" w:ascii="仿宋" w:hAnsi="仿宋" w:eastAsia="仿宋" w:cs="仿宋"/>
          <w:color w:val="auto"/>
        </w:rPr>
        <w:t>UA/Modbus）和设备接入</w:t>
      </w:r>
    </w:p>
    <w:p w14:paraId="3C91716E">
      <w:pPr>
        <w:pageBreakBefore w:val="0"/>
        <w:widowControl/>
        <w:numPr>
          <w:ilvl w:val="0"/>
          <w:numId w:val="2"/>
        </w:numPr>
        <w:kinsoku/>
        <w:overflowPunct/>
        <w:topLinePunct w:val="0"/>
        <w:autoSpaceDE/>
        <w:autoSpaceDN/>
        <w:bidi w:val="0"/>
        <w:adjustRightInd/>
        <w:snapToGrid/>
        <w:spacing w:after="0" w:line="360" w:lineRule="auto"/>
        <w:textAlignment w:val="auto"/>
        <w:rPr>
          <w:rFonts w:hint="eastAsia" w:ascii="仿宋" w:hAnsi="仿宋" w:eastAsia="仿宋" w:cs="仿宋"/>
          <w:color w:val="auto"/>
        </w:rPr>
      </w:pPr>
      <w:r>
        <w:rPr>
          <w:rFonts w:hint="eastAsia" w:ascii="仿宋" w:hAnsi="仿宋" w:eastAsia="仿宋" w:cs="仿宋"/>
          <w:b/>
          <w:bCs/>
          <w:color w:val="auto"/>
        </w:rPr>
        <w:t>边缘计算网关</w:t>
      </w:r>
      <w:r>
        <w:rPr>
          <w:rFonts w:hint="eastAsia" w:ascii="仿宋" w:hAnsi="仿宋" w:eastAsia="仿宋" w:cs="仿宋"/>
          <w:color w:val="auto"/>
        </w:rPr>
        <w:t>：已推出面向工业场景的自研边缘智能网关产品，具备NPU推理能力</w:t>
      </w:r>
    </w:p>
    <w:p w14:paraId="529EEAC7">
      <w:pPr>
        <w:pageBreakBefore w:val="0"/>
        <w:widowControl/>
        <w:numPr>
          <w:ilvl w:val="0"/>
          <w:numId w:val="2"/>
        </w:numPr>
        <w:kinsoku/>
        <w:overflowPunct/>
        <w:topLinePunct w:val="0"/>
        <w:autoSpaceDE/>
        <w:autoSpaceDN/>
        <w:bidi w:val="0"/>
        <w:adjustRightInd/>
        <w:snapToGrid/>
        <w:spacing w:after="0" w:line="360" w:lineRule="auto"/>
        <w:textAlignment w:val="auto"/>
        <w:rPr>
          <w:rFonts w:hint="eastAsia" w:ascii="仿宋" w:hAnsi="仿宋" w:eastAsia="仿宋" w:cs="仿宋"/>
          <w:color w:val="auto"/>
        </w:rPr>
      </w:pPr>
      <w:r>
        <w:rPr>
          <w:rFonts w:hint="eastAsia" w:ascii="仿宋" w:hAnsi="仿宋" w:eastAsia="仿宋" w:cs="仿宋"/>
          <w:color w:val="auto"/>
        </w:rPr>
        <w:t>已赋能217家企业完成智能化转型，拥有27项自主知识产权</w:t>
      </w:r>
    </w:p>
    <w:bookmarkEnd w:id="34"/>
    <w:p w14:paraId="0B2B9B57">
      <w:pPr>
        <w:pStyle w:val="6"/>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bookmarkStart w:id="35" w:name="上下游合作企业"/>
      <w:r>
        <w:rPr>
          <w:rFonts w:hint="eastAsia" w:ascii="仿宋" w:hAnsi="仿宋" w:eastAsia="仿宋" w:cs="仿宋"/>
          <w:color w:val="auto"/>
        </w:rPr>
        <w:t>上下游合作企业</w:t>
      </w:r>
    </w:p>
    <w:p w14:paraId="4E0A82EE">
      <w:pPr>
        <w:pStyle w:val="23"/>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 xml:space="preserve"> </w:t>
      </w:r>
      <w:r>
        <w:rPr>
          <w:rFonts w:hint="eastAsia" w:ascii="仿宋" w:hAnsi="仿宋" w:eastAsia="仿宋" w:cs="仿宋"/>
          <w:color w:val="auto"/>
        </w:rPr>
        <w:t>法拉迪已与多家温州本地上游硅钢片/电磁线供应商、下游电站运维服务商建立长期合作关系，可为本项目中供应链协同和运维验证提供真实数据和场景支持。</w:t>
      </w:r>
    </w:p>
    <w:p w14:paraId="5E5110CE">
      <w:pPr>
        <w:pageBreakBefore w:val="0"/>
        <w:widowControl/>
        <w:kinsoku/>
        <w:overflowPunct/>
        <w:topLinePunct w:val="0"/>
        <w:autoSpaceDE/>
        <w:autoSpaceDN/>
        <w:bidi w:val="0"/>
        <w:adjustRightInd/>
        <w:snapToGrid/>
        <w:spacing w:after="0" w:line="360" w:lineRule="auto"/>
        <w:textAlignment w:val="auto"/>
        <w:rPr>
          <w:rFonts w:hint="eastAsia" w:ascii="仿宋" w:hAnsi="仿宋" w:eastAsia="仿宋" w:cs="仿宋"/>
          <w:color w:val="auto"/>
        </w:rPr>
      </w:pPr>
    </w:p>
    <w:bookmarkEnd w:id="30"/>
    <w:bookmarkEnd w:id="32"/>
    <w:bookmarkEnd w:id="35"/>
    <w:p w14:paraId="77C4C00A">
      <w:pPr>
        <w:pStyle w:val="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bookmarkStart w:id="36" w:name="X6f19dca51cf4eb146e22be2961f8ca898d7e121"/>
      <w:r>
        <w:rPr>
          <w:rFonts w:hint="eastAsia" w:ascii="仿宋" w:hAnsi="仿宋" w:eastAsia="仿宋" w:cs="仿宋"/>
          <w:color w:val="auto"/>
        </w:rPr>
        <w:t xml:space="preserve">7. </w:t>
      </w:r>
      <w:r>
        <w:rPr>
          <w:rFonts w:hint="eastAsia" w:ascii="仿宋" w:hAnsi="仿宋" w:eastAsia="仿宋" w:cs="仿宋"/>
          <w:color w:val="auto"/>
        </w:rPr>
        <w:t>经费预算</w:t>
      </w:r>
    </w:p>
    <w:p w14:paraId="7207F2A9">
      <w:pPr>
        <w:pStyle w:val="5"/>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bookmarkStart w:id="37" w:name="X59e095b68741b87f686124f01c373542e038ba5"/>
      <w:r>
        <w:rPr>
          <w:rFonts w:hint="eastAsia" w:ascii="仿宋" w:hAnsi="仿宋" w:eastAsia="仿宋" w:cs="仿宋"/>
          <w:color w:val="auto"/>
        </w:rPr>
        <w:t xml:space="preserve">7.1 </w:t>
      </w:r>
      <w:r>
        <w:rPr>
          <w:rFonts w:hint="eastAsia" w:ascii="仿宋" w:hAnsi="仿宋" w:eastAsia="仿宋" w:cs="仿宋"/>
          <w:color w:val="auto"/>
        </w:rPr>
        <w:t>项目经费的筹集</w:t>
      </w:r>
    </w:p>
    <w:p w14:paraId="6C52881B">
      <w:pPr>
        <w:pStyle w:val="23"/>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 xml:space="preserve"> </w:t>
      </w:r>
      <w:r>
        <w:rPr>
          <w:rFonts w:hint="eastAsia" w:ascii="仿宋" w:hAnsi="仿宋" w:eastAsia="仿宋" w:cs="仿宋"/>
          <w:color w:val="auto"/>
        </w:rPr>
        <w:t>单位：万元</w:t>
      </w:r>
    </w:p>
    <w:tbl>
      <w:tblPr>
        <w:tblStyle w:val="41"/>
        <w:tblW w:w="0" w:type="auto"/>
        <w:tblInd w:w="0" w:type="dxa"/>
        <w:tblLayout w:type="autofit"/>
        <w:tblCellMar>
          <w:top w:w="0" w:type="dxa"/>
          <w:left w:w="108" w:type="dxa"/>
          <w:bottom w:w="0" w:type="dxa"/>
          <w:right w:w="108" w:type="dxa"/>
        </w:tblCellMar>
      </w:tblPr>
      <w:tblGrid>
        <w:gridCol w:w="2136"/>
        <w:gridCol w:w="700"/>
        <w:gridCol w:w="700"/>
      </w:tblGrid>
      <w:tr w14:paraId="6071640F">
        <w:tblPrEx>
          <w:tblCellMar>
            <w:top w:w="0" w:type="dxa"/>
            <w:left w:w="108" w:type="dxa"/>
            <w:bottom w:w="0" w:type="dxa"/>
            <w:right w:w="108" w:type="dxa"/>
          </w:tblCellMar>
        </w:tblPrEx>
        <w:trPr>
          <w:tblHeader/>
        </w:trPr>
        <w:tc>
          <w:p w14:paraId="4E67B4D3">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资金来源</w:t>
            </w:r>
          </w:p>
        </w:tc>
        <w:tc>
          <w:p w14:paraId="00798FE0">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金额</w:t>
            </w:r>
          </w:p>
        </w:tc>
        <w:tc>
          <w:p w14:paraId="325B8D3C">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占比</w:t>
            </w:r>
          </w:p>
        </w:tc>
      </w:tr>
      <w:tr w14:paraId="69730C87">
        <w:tblPrEx>
          <w:tblCellMar>
            <w:top w:w="0" w:type="dxa"/>
            <w:left w:w="108" w:type="dxa"/>
            <w:bottom w:w="0" w:type="dxa"/>
            <w:right w:w="108" w:type="dxa"/>
          </w:tblCellMar>
        </w:tblPrEx>
        <w:tc>
          <w:p w14:paraId="3D9A014A">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联合体自筹</w:t>
            </w:r>
          </w:p>
        </w:tc>
        <w:tc>
          <w:p w14:paraId="30A77082">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800</w:t>
            </w:r>
          </w:p>
        </w:tc>
        <w:tc>
          <w:p w14:paraId="3FA96ABA">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80%</w:t>
            </w:r>
          </w:p>
        </w:tc>
      </w:tr>
      <w:tr w14:paraId="7B05235D">
        <w:tblPrEx>
          <w:tblCellMar>
            <w:top w:w="0" w:type="dxa"/>
            <w:left w:w="108" w:type="dxa"/>
            <w:bottom w:w="0" w:type="dxa"/>
            <w:right w:w="108" w:type="dxa"/>
          </w:tblCellMar>
        </w:tblPrEx>
        <w:tc>
          <w:p w14:paraId="669624E9">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申请财政专项经费</w:t>
            </w:r>
          </w:p>
        </w:tc>
        <w:tc>
          <w:p w14:paraId="776CE508">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200</w:t>
            </w:r>
          </w:p>
        </w:tc>
        <w:tc>
          <w:p w14:paraId="402FADCD">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20%</w:t>
            </w:r>
          </w:p>
        </w:tc>
      </w:tr>
      <w:tr w14:paraId="361DBF1A">
        <w:tblPrEx>
          <w:tblCellMar>
            <w:top w:w="0" w:type="dxa"/>
            <w:left w:w="108" w:type="dxa"/>
            <w:bottom w:w="0" w:type="dxa"/>
            <w:right w:w="108" w:type="dxa"/>
          </w:tblCellMar>
        </w:tblPrEx>
        <w:tc>
          <w:p w14:paraId="0359FF41">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b/>
                <w:bCs/>
                <w:color w:val="auto"/>
              </w:rPr>
              <w:t>合计</w:t>
            </w:r>
          </w:p>
        </w:tc>
        <w:tc>
          <w:p w14:paraId="45281C46">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b/>
                <w:bCs/>
                <w:color w:val="auto"/>
              </w:rPr>
              <w:t>1000</w:t>
            </w:r>
          </w:p>
        </w:tc>
        <w:tc>
          <w:p w14:paraId="23EC0A01">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b/>
                <w:bCs/>
                <w:color w:val="auto"/>
              </w:rPr>
              <w:t>100%</w:t>
            </w:r>
          </w:p>
        </w:tc>
      </w:tr>
    </w:tbl>
    <w:p w14:paraId="5FE4B36C">
      <w:pPr>
        <w:pStyle w:val="3"/>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 xml:space="preserve"> </w:t>
      </w:r>
      <w:r>
        <w:rPr>
          <w:rFonts w:hint="eastAsia" w:ascii="仿宋" w:hAnsi="仿宋" w:eastAsia="仿宋" w:cs="仿宋"/>
          <w:color w:val="auto"/>
        </w:rPr>
        <w:t>各子项目经费分配：</w:t>
      </w:r>
    </w:p>
    <w:tbl>
      <w:tblPr>
        <w:tblStyle w:val="41"/>
        <w:tblW w:w="0" w:type="auto"/>
        <w:tblInd w:w="0" w:type="dxa"/>
        <w:tblLayout w:type="autofit"/>
        <w:tblCellMar>
          <w:top w:w="0" w:type="dxa"/>
          <w:left w:w="108" w:type="dxa"/>
          <w:bottom w:w="0" w:type="dxa"/>
          <w:right w:w="108" w:type="dxa"/>
        </w:tblCellMar>
      </w:tblPr>
      <w:tblGrid>
        <w:gridCol w:w="2711"/>
        <w:gridCol w:w="909"/>
        <w:gridCol w:w="995"/>
        <w:gridCol w:w="788"/>
        <w:gridCol w:w="3453"/>
      </w:tblGrid>
      <w:tr w14:paraId="2B8A17BF">
        <w:tblPrEx>
          <w:tblCellMar>
            <w:top w:w="0" w:type="dxa"/>
            <w:left w:w="108" w:type="dxa"/>
            <w:bottom w:w="0" w:type="dxa"/>
            <w:right w:w="108" w:type="dxa"/>
          </w:tblCellMar>
        </w:tblPrEx>
        <w:trPr>
          <w:tblHeader/>
        </w:trPr>
        <w:tc>
          <w:p w14:paraId="16989A47">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子项目</w:t>
            </w:r>
          </w:p>
        </w:tc>
        <w:tc>
          <w:p w14:paraId="00DF253E">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总经费</w:t>
            </w:r>
          </w:p>
        </w:tc>
        <w:tc>
          <w:p w14:paraId="45E76BC7">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财政经费</w:t>
            </w:r>
          </w:p>
        </w:tc>
        <w:tc>
          <w:p w14:paraId="1078085B">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自筹</w:t>
            </w:r>
          </w:p>
        </w:tc>
        <w:tc>
          <w:p w14:paraId="1B127C70">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承担单位</w:t>
            </w:r>
          </w:p>
        </w:tc>
      </w:tr>
      <w:tr w14:paraId="3B69FC10">
        <w:tblPrEx>
          <w:tblCellMar>
            <w:top w:w="0" w:type="dxa"/>
            <w:left w:w="108" w:type="dxa"/>
            <w:bottom w:w="0" w:type="dxa"/>
            <w:right w:w="108" w:type="dxa"/>
          </w:tblCellMar>
        </w:tblPrEx>
        <w:tc>
          <w:p w14:paraId="16038ADD">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 xml:space="preserve">A. </w:t>
            </w:r>
            <w:r>
              <w:rPr>
                <w:rFonts w:hint="eastAsia" w:ascii="仿宋" w:hAnsi="仿宋" w:eastAsia="仿宋" w:cs="仿宋"/>
                <w:color w:val="auto"/>
              </w:rPr>
              <w:t>智能报价与设计决策</w:t>
            </w:r>
          </w:p>
        </w:tc>
        <w:tc>
          <w:p w14:paraId="0781834E">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400万</w:t>
            </w:r>
          </w:p>
        </w:tc>
        <w:tc>
          <w:p w14:paraId="2F989D01">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80万</w:t>
            </w:r>
          </w:p>
        </w:tc>
        <w:tc>
          <w:p w14:paraId="4BDE7502">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320万</w:t>
            </w:r>
          </w:p>
        </w:tc>
        <w:tc>
          <w:p w14:paraId="4ECC96F1">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法拉迪（牵头）+</w:t>
            </w:r>
            <w:r>
              <w:rPr>
                <w:rFonts w:hint="eastAsia" w:ascii="仿宋" w:hAnsi="仿宋" w:eastAsia="仿宋" w:cs="仿宋"/>
                <w:color w:val="auto"/>
              </w:rPr>
              <w:t xml:space="preserve"> </w:t>
            </w:r>
            <w:r>
              <w:rPr>
                <w:rFonts w:hint="eastAsia" w:ascii="仿宋" w:hAnsi="仿宋" w:eastAsia="仿宋" w:cs="仿宋"/>
                <w:color w:val="auto"/>
              </w:rPr>
              <w:t>轨物+</w:t>
            </w:r>
            <w:r>
              <w:rPr>
                <w:rFonts w:hint="eastAsia" w:ascii="仿宋" w:hAnsi="仿宋" w:eastAsia="仿宋" w:cs="仿宋"/>
                <w:color w:val="auto"/>
              </w:rPr>
              <w:t xml:space="preserve"> </w:t>
            </w:r>
            <w:r>
              <w:rPr>
                <w:rFonts w:hint="eastAsia" w:ascii="仿宋" w:hAnsi="仿宋" w:eastAsia="仿宋" w:cs="仿宋"/>
                <w:color w:val="auto"/>
              </w:rPr>
              <w:t>杭电</w:t>
            </w:r>
          </w:p>
        </w:tc>
      </w:tr>
      <w:tr w14:paraId="07112BA5">
        <w:tblPrEx>
          <w:tblCellMar>
            <w:top w:w="0" w:type="dxa"/>
            <w:left w:w="108" w:type="dxa"/>
            <w:bottom w:w="0" w:type="dxa"/>
            <w:right w:w="108" w:type="dxa"/>
          </w:tblCellMar>
        </w:tblPrEx>
        <w:tc>
          <w:p w14:paraId="46DD5523">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 xml:space="preserve">B. </w:t>
            </w:r>
            <w:r>
              <w:rPr>
                <w:rFonts w:hint="eastAsia" w:ascii="仿宋" w:hAnsi="仿宋" w:eastAsia="仿宋" w:cs="仿宋"/>
                <w:color w:val="auto"/>
              </w:rPr>
              <w:t>生产过程智能感知与质量管控</w:t>
            </w:r>
          </w:p>
        </w:tc>
        <w:tc>
          <w:p w14:paraId="493F9523">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350万</w:t>
            </w:r>
          </w:p>
        </w:tc>
        <w:tc>
          <w:p w14:paraId="180CA0A8">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70万</w:t>
            </w:r>
          </w:p>
        </w:tc>
        <w:tc>
          <w:p w14:paraId="17C9CDC0">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280万</w:t>
            </w:r>
          </w:p>
        </w:tc>
        <w:tc>
          <w:p w14:paraId="3B6ADB90">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法拉迪（牵头）+</w:t>
            </w:r>
            <w:r>
              <w:rPr>
                <w:rFonts w:hint="eastAsia" w:ascii="仿宋" w:hAnsi="仿宋" w:eastAsia="仿宋" w:cs="仿宋"/>
                <w:color w:val="auto"/>
              </w:rPr>
              <w:t xml:space="preserve"> </w:t>
            </w:r>
            <w:r>
              <w:rPr>
                <w:rFonts w:hint="eastAsia" w:ascii="仿宋" w:hAnsi="仿宋" w:eastAsia="仿宋" w:cs="仿宋"/>
                <w:color w:val="auto"/>
              </w:rPr>
              <w:t>杭电+</w:t>
            </w:r>
            <w:r>
              <w:rPr>
                <w:rFonts w:hint="eastAsia" w:ascii="仿宋" w:hAnsi="仿宋" w:eastAsia="仿宋" w:cs="仿宋"/>
                <w:color w:val="auto"/>
              </w:rPr>
              <w:t xml:space="preserve"> </w:t>
            </w:r>
            <w:r>
              <w:rPr>
                <w:rFonts w:hint="eastAsia" w:ascii="仿宋" w:hAnsi="仿宋" w:eastAsia="仿宋" w:cs="仿宋"/>
                <w:color w:val="auto"/>
              </w:rPr>
              <w:t>轨物+供应商</w:t>
            </w:r>
          </w:p>
        </w:tc>
      </w:tr>
      <w:tr w14:paraId="13018D1C">
        <w:tblPrEx>
          <w:tblCellMar>
            <w:top w:w="0" w:type="dxa"/>
            <w:left w:w="108" w:type="dxa"/>
            <w:bottom w:w="0" w:type="dxa"/>
            <w:right w:w="108" w:type="dxa"/>
          </w:tblCellMar>
        </w:tblPrEx>
        <w:tc>
          <w:p w14:paraId="439A5F0D">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 xml:space="preserve">C. </w:t>
            </w:r>
            <w:r>
              <w:rPr>
                <w:rFonts w:hint="eastAsia" w:ascii="仿宋" w:hAnsi="仿宋" w:eastAsia="仿宋" w:cs="仿宋"/>
                <w:color w:val="auto"/>
              </w:rPr>
              <w:t>智能运维与数字孪生</w:t>
            </w:r>
          </w:p>
        </w:tc>
        <w:tc>
          <w:p w14:paraId="3BB9CA84">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250万</w:t>
            </w:r>
          </w:p>
        </w:tc>
        <w:tc>
          <w:p w14:paraId="3B9A45E5">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50万</w:t>
            </w:r>
          </w:p>
        </w:tc>
        <w:tc>
          <w:p w14:paraId="599C23BD">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200万</w:t>
            </w:r>
          </w:p>
        </w:tc>
        <w:tc>
          <w:p w14:paraId="129C273F">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杭电（主承担）+</w:t>
            </w:r>
            <w:r>
              <w:rPr>
                <w:rFonts w:hint="eastAsia" w:ascii="仿宋" w:hAnsi="仿宋" w:eastAsia="仿宋" w:cs="仿宋"/>
                <w:color w:val="auto"/>
              </w:rPr>
              <w:t xml:space="preserve"> </w:t>
            </w:r>
            <w:r>
              <w:rPr>
                <w:rFonts w:hint="eastAsia" w:ascii="仿宋" w:hAnsi="仿宋" w:eastAsia="仿宋" w:cs="仿宋"/>
                <w:color w:val="auto"/>
              </w:rPr>
              <w:t>法拉迪+</w:t>
            </w:r>
            <w:r>
              <w:rPr>
                <w:rFonts w:hint="eastAsia" w:ascii="仿宋" w:hAnsi="仿宋" w:eastAsia="仿宋" w:cs="仿宋"/>
                <w:color w:val="auto"/>
              </w:rPr>
              <w:t xml:space="preserve"> </w:t>
            </w:r>
            <w:r>
              <w:rPr>
                <w:rFonts w:hint="eastAsia" w:ascii="仿宋" w:hAnsi="仿宋" w:eastAsia="仿宋" w:cs="仿宋"/>
                <w:color w:val="auto"/>
              </w:rPr>
              <w:t>轨物+下游企业</w:t>
            </w:r>
          </w:p>
        </w:tc>
      </w:tr>
      <w:tr w14:paraId="33292684">
        <w:tblPrEx>
          <w:tblCellMar>
            <w:top w:w="0" w:type="dxa"/>
            <w:left w:w="108" w:type="dxa"/>
            <w:bottom w:w="0" w:type="dxa"/>
            <w:right w:w="108" w:type="dxa"/>
          </w:tblCellMar>
        </w:tblPrEx>
        <w:tc>
          <w:p w14:paraId="780831F5">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b/>
                <w:bCs/>
                <w:color w:val="auto"/>
              </w:rPr>
              <w:t>合计</w:t>
            </w:r>
          </w:p>
        </w:tc>
        <w:tc>
          <w:p w14:paraId="67A1B5F9">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b/>
                <w:bCs/>
                <w:color w:val="auto"/>
              </w:rPr>
              <w:t>1000万</w:t>
            </w:r>
          </w:p>
        </w:tc>
        <w:tc>
          <w:p w14:paraId="73DCD6E2">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b/>
                <w:bCs/>
                <w:color w:val="auto"/>
              </w:rPr>
              <w:t>200万</w:t>
            </w:r>
          </w:p>
        </w:tc>
        <w:tc>
          <w:p w14:paraId="2A230E42">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b/>
                <w:bCs/>
                <w:color w:val="auto"/>
              </w:rPr>
              <w:t>800万</w:t>
            </w:r>
          </w:p>
        </w:tc>
        <w:tc>
          <w:p w14:paraId="03F699B4">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p>
        </w:tc>
      </w:tr>
    </w:tbl>
    <w:p w14:paraId="6CA4601E">
      <w:pPr>
        <w:pStyle w:val="3"/>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 xml:space="preserve"> </w:t>
      </w:r>
    </w:p>
    <w:bookmarkEnd w:id="37"/>
    <w:p w14:paraId="1BBF3FA9">
      <w:pPr>
        <w:pStyle w:val="5"/>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bookmarkStart w:id="38" w:name="Xcb3880d848df09cad2a97c3fa556f1deb1808b9"/>
      <w:r>
        <w:rPr>
          <w:rFonts w:hint="eastAsia" w:ascii="仿宋" w:hAnsi="仿宋" w:eastAsia="仿宋" w:cs="仿宋"/>
          <w:color w:val="auto"/>
        </w:rPr>
        <w:t xml:space="preserve">7.2 </w:t>
      </w:r>
      <w:r>
        <w:rPr>
          <w:rFonts w:hint="eastAsia" w:ascii="仿宋" w:hAnsi="仿宋" w:eastAsia="仿宋" w:cs="仿宋"/>
          <w:color w:val="auto"/>
        </w:rPr>
        <w:t>项目经费开支预算</w:t>
      </w:r>
    </w:p>
    <w:p w14:paraId="2392406E">
      <w:pPr>
        <w:pStyle w:val="23"/>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 xml:space="preserve"> </w:t>
      </w:r>
      <w:r>
        <w:rPr>
          <w:rFonts w:hint="eastAsia" w:ascii="仿宋" w:hAnsi="仿宋" w:eastAsia="仿宋" w:cs="仿宋"/>
          <w:color w:val="auto"/>
        </w:rPr>
        <w:t>单位：万元</w:t>
      </w:r>
    </w:p>
    <w:tbl>
      <w:tblPr>
        <w:tblStyle w:val="41"/>
        <w:tblW w:w="0" w:type="auto"/>
        <w:tblInd w:w="0" w:type="dxa"/>
        <w:tblLayout w:type="autofit"/>
        <w:tblCellMar>
          <w:top w:w="0" w:type="dxa"/>
          <w:left w:w="108" w:type="dxa"/>
          <w:bottom w:w="0" w:type="dxa"/>
          <w:right w:w="108" w:type="dxa"/>
        </w:tblCellMar>
      </w:tblPr>
      <w:tblGrid>
        <w:gridCol w:w="696"/>
        <w:gridCol w:w="5136"/>
        <w:gridCol w:w="1176"/>
        <w:gridCol w:w="696"/>
        <w:gridCol w:w="700"/>
      </w:tblGrid>
      <w:tr w14:paraId="13CE8CC1">
        <w:tblPrEx>
          <w:tblCellMar>
            <w:top w:w="0" w:type="dxa"/>
            <w:left w:w="108" w:type="dxa"/>
            <w:bottom w:w="0" w:type="dxa"/>
            <w:right w:w="108" w:type="dxa"/>
          </w:tblCellMar>
        </w:tblPrEx>
        <w:trPr>
          <w:tblHeader/>
        </w:trPr>
        <w:tc>
          <w:p w14:paraId="13FCB49E">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序号</w:t>
            </w:r>
          </w:p>
        </w:tc>
        <w:tc>
          <w:p w14:paraId="391C4BEA">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开支科目</w:t>
            </w:r>
          </w:p>
        </w:tc>
        <w:tc>
          <w:p w14:paraId="7EE1FAFE">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财政经费</w:t>
            </w:r>
          </w:p>
        </w:tc>
        <w:tc>
          <w:p w14:paraId="26A2F362">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自筹</w:t>
            </w:r>
          </w:p>
        </w:tc>
        <w:tc>
          <w:p w14:paraId="315816DC">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小计</w:t>
            </w:r>
          </w:p>
        </w:tc>
      </w:tr>
      <w:tr w14:paraId="7CE50BB3">
        <w:tblPrEx>
          <w:tblCellMar>
            <w:top w:w="0" w:type="dxa"/>
            <w:left w:w="108" w:type="dxa"/>
            <w:bottom w:w="0" w:type="dxa"/>
            <w:right w:w="108" w:type="dxa"/>
          </w:tblCellMar>
        </w:tblPrEx>
        <w:tc>
          <w:p w14:paraId="52A3943D">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1</w:t>
            </w:r>
          </w:p>
        </w:tc>
        <w:tc>
          <w:p w14:paraId="1F4B9EDB">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b/>
                <w:bCs/>
                <w:color w:val="auto"/>
              </w:rPr>
              <w:t>直接费用</w:t>
            </w:r>
          </w:p>
        </w:tc>
        <w:tc>
          <w:p w14:paraId="694698F9">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p>
        </w:tc>
        <w:tc>
          <w:p w14:paraId="6ADE032B">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p>
        </w:tc>
        <w:tc>
          <w:p w14:paraId="4302DE29">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p>
        </w:tc>
      </w:tr>
      <w:tr w14:paraId="2568872D">
        <w:tblPrEx>
          <w:tblCellMar>
            <w:top w:w="0" w:type="dxa"/>
            <w:left w:w="108" w:type="dxa"/>
            <w:bottom w:w="0" w:type="dxa"/>
            <w:right w:w="108" w:type="dxa"/>
          </w:tblCellMar>
        </w:tblPrEx>
        <w:tc>
          <w:p w14:paraId="5354A199">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1.1</w:t>
            </w:r>
          </w:p>
        </w:tc>
        <w:tc>
          <w:p w14:paraId="73FEB854">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设备费（专用科研仪器设备）</w:t>
            </w:r>
          </w:p>
        </w:tc>
        <w:tc>
          <w:p w14:paraId="2AEF1E18">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60</w:t>
            </w:r>
          </w:p>
        </w:tc>
        <w:tc>
          <w:p w14:paraId="788F17A3">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200</w:t>
            </w:r>
          </w:p>
        </w:tc>
        <w:tc>
          <w:p w14:paraId="4E434E38">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260</w:t>
            </w:r>
          </w:p>
        </w:tc>
      </w:tr>
      <w:tr w14:paraId="51FC7992">
        <w:tblPrEx>
          <w:tblCellMar>
            <w:top w:w="0" w:type="dxa"/>
            <w:left w:w="108" w:type="dxa"/>
            <w:bottom w:w="0" w:type="dxa"/>
            <w:right w:w="108" w:type="dxa"/>
          </w:tblCellMar>
        </w:tblPrEx>
        <w:tc>
          <w:p w14:paraId="27C6F9EC">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1.2</w:t>
            </w:r>
          </w:p>
        </w:tc>
        <w:tc>
          <w:p w14:paraId="248B6994">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业务费（材料/测试/加工/差旅/会议/合作费）</w:t>
            </w:r>
          </w:p>
        </w:tc>
        <w:tc>
          <w:p w14:paraId="66496446">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90</w:t>
            </w:r>
          </w:p>
        </w:tc>
        <w:tc>
          <w:p w14:paraId="4CE374EC">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360</w:t>
            </w:r>
          </w:p>
        </w:tc>
        <w:tc>
          <w:p w14:paraId="11EC46F2">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450</w:t>
            </w:r>
          </w:p>
        </w:tc>
      </w:tr>
      <w:tr w14:paraId="785EC983">
        <w:tblPrEx>
          <w:tblCellMar>
            <w:top w:w="0" w:type="dxa"/>
            <w:left w:w="108" w:type="dxa"/>
            <w:bottom w:w="0" w:type="dxa"/>
            <w:right w:w="108" w:type="dxa"/>
          </w:tblCellMar>
        </w:tblPrEx>
        <w:tc>
          <w:p w14:paraId="3D67D208">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1.3</w:t>
            </w:r>
          </w:p>
        </w:tc>
        <w:tc>
          <w:p w14:paraId="7667A2B8">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劳务费（研究生/科研助理/专家咨询）</w:t>
            </w:r>
          </w:p>
        </w:tc>
        <w:tc>
          <w:p w14:paraId="045E72AF">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30</w:t>
            </w:r>
          </w:p>
        </w:tc>
        <w:tc>
          <w:p w14:paraId="1ED084CC">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140</w:t>
            </w:r>
          </w:p>
        </w:tc>
        <w:tc>
          <w:p w14:paraId="3115857B">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170</w:t>
            </w:r>
          </w:p>
        </w:tc>
      </w:tr>
      <w:tr w14:paraId="61BD7C83">
        <w:tblPrEx>
          <w:tblCellMar>
            <w:top w:w="0" w:type="dxa"/>
            <w:left w:w="108" w:type="dxa"/>
            <w:bottom w:w="0" w:type="dxa"/>
            <w:right w:w="108" w:type="dxa"/>
          </w:tblCellMar>
        </w:tblPrEx>
        <w:tc>
          <w:p w14:paraId="63AF813A">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2</w:t>
            </w:r>
          </w:p>
        </w:tc>
        <w:tc>
          <w:p w14:paraId="7154E032">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b/>
                <w:bCs/>
                <w:color w:val="auto"/>
              </w:rPr>
              <w:t>间接费用</w:t>
            </w:r>
            <w:r>
              <w:rPr>
                <w:rFonts w:hint="eastAsia" w:ascii="仿宋" w:hAnsi="仿宋" w:eastAsia="仿宋" w:cs="仿宋"/>
                <w:color w:val="auto"/>
              </w:rPr>
              <w:t>（管理费/绩效支出）</w:t>
            </w:r>
          </w:p>
        </w:tc>
        <w:tc>
          <w:p w14:paraId="5D0BC292">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20</w:t>
            </w:r>
          </w:p>
        </w:tc>
        <w:tc>
          <w:p w14:paraId="424C28CB">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100</w:t>
            </w:r>
          </w:p>
        </w:tc>
        <w:tc>
          <w:p w14:paraId="3F754DDA">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color w:val="auto"/>
              </w:rPr>
              <w:t>120</w:t>
            </w:r>
          </w:p>
        </w:tc>
      </w:tr>
      <w:tr w14:paraId="2C292F55">
        <w:tblPrEx>
          <w:tblCellMar>
            <w:top w:w="0" w:type="dxa"/>
            <w:left w:w="108" w:type="dxa"/>
            <w:bottom w:w="0" w:type="dxa"/>
            <w:right w:w="108" w:type="dxa"/>
          </w:tblCellMar>
        </w:tblPrEx>
        <w:tc>
          <w:p w14:paraId="763A7923">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p>
        </w:tc>
        <w:tc>
          <w:p w14:paraId="1B842B1A">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b/>
                <w:bCs/>
                <w:color w:val="auto"/>
              </w:rPr>
              <w:t>总计</w:t>
            </w:r>
          </w:p>
        </w:tc>
        <w:tc>
          <w:p w14:paraId="50D4595D">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b/>
                <w:bCs/>
                <w:color w:val="auto"/>
              </w:rPr>
              <w:t>200</w:t>
            </w:r>
          </w:p>
        </w:tc>
        <w:tc>
          <w:p w14:paraId="2EDFD030">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b/>
                <w:bCs/>
                <w:color w:val="auto"/>
              </w:rPr>
              <w:t>800</w:t>
            </w:r>
          </w:p>
        </w:tc>
        <w:tc>
          <w:p w14:paraId="791427E5">
            <w:pPr>
              <w:pStyle w:val="24"/>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b/>
                <w:bCs/>
                <w:color w:val="auto"/>
              </w:rPr>
              <w:t>1000</w:t>
            </w:r>
          </w:p>
        </w:tc>
      </w:tr>
    </w:tbl>
    <w:p w14:paraId="5EFC46D7">
      <w:pPr>
        <w:pStyle w:val="13"/>
        <w:pageBreakBefore w:val="0"/>
        <w:widowControl/>
        <w:kinsoku/>
        <w:overflowPunct/>
        <w:topLinePunct w:val="0"/>
        <w:autoSpaceDE/>
        <w:autoSpaceDN/>
        <w:bidi w:val="0"/>
        <w:adjustRightInd/>
        <w:snapToGrid/>
        <w:spacing w:before="0" w:after="0" w:line="360" w:lineRule="auto"/>
        <w:textAlignment w:val="auto"/>
        <w:rPr>
          <w:rFonts w:hint="eastAsia" w:ascii="仿宋" w:hAnsi="仿宋" w:eastAsia="仿宋" w:cs="仿宋"/>
          <w:color w:val="auto"/>
        </w:rPr>
      </w:pPr>
      <w:r>
        <w:rPr>
          <w:rFonts w:hint="eastAsia" w:ascii="仿宋" w:hAnsi="仿宋" w:eastAsia="仿宋" w:cs="仿宋"/>
          <w:b/>
          <w:bCs/>
          <w:color w:val="auto"/>
        </w:rPr>
        <w:t>注</w:t>
      </w:r>
      <w:r>
        <w:rPr>
          <w:rFonts w:hint="eastAsia" w:ascii="仿宋" w:hAnsi="仿宋" w:eastAsia="仿宋" w:cs="仿宋"/>
          <w:color w:val="auto"/>
        </w:rPr>
        <w:t>：财政经费主要用于专用科研仪器设备购置（边缘网关样机、传感套件样机、专用测试设备）和业务费（材料采购、第三方测试、知识产权申请等）。劳务费中财政经费部分主要用于研究生科研助理和专家咨询。财政经费不使用于购置生产设备、通用办公设备或拨付市域外单位。</w:t>
      </w:r>
    </w:p>
    <w:bookmarkEnd w:id="0"/>
    <w:bookmarkEnd w:id="36"/>
    <w:bookmarkEnd w:id="38"/>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ptos">
    <w:altName w:val="Segoe UI"/>
    <w:panose1 w:val="020B0004020202020204"/>
    <w:charset w:val="00"/>
    <w:family w:val="swiss"/>
    <w:pitch w:val="default"/>
    <w:sig w:usb0="00000000" w:usb1="00000000" w:usb2="00000000" w:usb3="00000000" w:csb0="0000019F" w:csb1="00000000"/>
  </w:font>
  <w:font w:name="等线">
    <w:panose1 w:val="02010600030101010101"/>
    <w:charset w:val="86"/>
    <w:family w:val="auto"/>
    <w:pitch w:val="default"/>
    <w:sig w:usb0="A00002BF" w:usb1="38CF7CFA" w:usb2="00000016" w:usb3="00000000" w:csb0="0004000F" w:csb1="00000000"/>
  </w:font>
  <w:font w:name="Aptos Display">
    <w:altName w:val="Segoe UI Variable Display"/>
    <w:panose1 w:val="020B0004020202020204"/>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UI Variable Display">
    <w:panose1 w:val="00000000000000000000"/>
    <w:charset w:val="00"/>
    <w:family w:val="auto"/>
    <w:pitch w:val="default"/>
    <w:sig w:usb0="A00002FF" w:usb1="0000000B" w:usb2="00000000" w:usb3="00000000" w:csb0="2000019F" w:csb1="00000000"/>
  </w:font>
  <w:font w:name="Segoe UI">
    <w:panose1 w:val="020B0502040204020203"/>
    <w:charset w:val="00"/>
    <w:family w:val="auto"/>
    <w:pitch w:val="default"/>
    <w:sig w:usb0="E4002EFF" w:usb1="C000E47F" w:usb2="00000009" w:usb3="00000000" w:csb0="200001FF" w:csb1="00000000"/>
  </w:font>
  <w:font w:name="仿宋">
    <w:panose1 w:val="02010609060101010101"/>
    <w:charset w:val="86"/>
    <w:family w:val="auto"/>
    <w:pitch w:val="default"/>
    <w:sig w:usb0="800002BF" w:usb1="38CF7CFA"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0"/>
    <w:multiLevelType w:val="multilevel"/>
    <w:tmpl w:val="0000A990"/>
    <w:lvl w:ilvl="0" w:tentative="0">
      <w:start w:val="0"/>
      <w:numFmt w:val="bullet"/>
      <w:lvlText w:val=" "/>
      <w:lvlJc w:val="left"/>
      <w:pPr>
        <w:ind w:left="720" w:hanging="360"/>
      </w:pPr>
    </w:lvl>
    <w:lvl w:ilvl="1" w:tentative="0">
      <w:start w:val="0"/>
      <w:numFmt w:val="bullet"/>
      <w:lvlText w:val=" "/>
      <w:lvlJc w:val="left"/>
      <w:pPr>
        <w:ind w:left="1440" w:hanging="360"/>
      </w:pPr>
    </w:lvl>
    <w:lvl w:ilvl="2" w:tentative="0">
      <w:start w:val="0"/>
      <w:numFmt w:val="bullet"/>
      <w:lvlText w:val=" "/>
      <w:lvlJc w:val="left"/>
      <w:pPr>
        <w:ind w:left="2160" w:hanging="360"/>
      </w:pPr>
    </w:lvl>
    <w:lvl w:ilvl="3" w:tentative="0">
      <w:start w:val="0"/>
      <w:numFmt w:val="bullet"/>
      <w:lvlText w:val=" "/>
      <w:lvlJc w:val="left"/>
      <w:pPr>
        <w:ind w:left="2880" w:hanging="360"/>
      </w:pPr>
    </w:lvl>
    <w:lvl w:ilvl="4" w:tentative="0">
      <w:start w:val="0"/>
      <w:numFmt w:val="bullet"/>
      <w:lvlText w:val=" "/>
      <w:lvlJc w:val="left"/>
      <w:pPr>
        <w:ind w:left="3600" w:hanging="360"/>
      </w:pPr>
    </w:lvl>
    <w:lvl w:ilvl="5" w:tentative="0">
      <w:start w:val="0"/>
      <w:numFmt w:val="bullet"/>
      <w:lvlText w:val=" "/>
      <w:lvlJc w:val="left"/>
      <w:pPr>
        <w:ind w:left="4320" w:hanging="360"/>
      </w:pPr>
    </w:lvl>
    <w:lvl w:ilvl="6" w:tentative="0">
      <w:start w:val="0"/>
      <w:numFmt w:val="bullet"/>
      <w:lvlText w:val=" "/>
      <w:lvlJc w:val="left"/>
      <w:pPr>
        <w:ind w:left="5040" w:hanging="360"/>
      </w:pPr>
    </w:lvl>
    <w:lvl w:ilvl="7" w:tentative="0">
      <w:start w:val="0"/>
      <w:numFmt w:val="bullet"/>
      <w:lvlText w:val=" "/>
      <w:lvlJc w:val="left"/>
      <w:pPr>
        <w:ind w:left="5760" w:hanging="360"/>
      </w:pPr>
    </w:lvl>
    <w:lvl w:ilvl="8" w:tentative="0">
      <w:start w:val="0"/>
      <w:numFmt w:val="bullet"/>
      <w:lvlText w:val=" "/>
      <w:lvlJc w:val="left"/>
      <w:pPr>
        <w:ind w:left="6480" w:hanging="360"/>
      </w:pPr>
    </w:lvl>
  </w:abstractNum>
  <w:abstractNum w:abstractNumId="1">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2">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useFELayout/>
    <w:splitPgBreakAndParaMark/>
    <w:compatSetting w:name="compatibilityMode" w:uri="http://schemas.microsoft.com/office/word" w:val="12"/>
  </w:compat>
  <w:rsids>
    <w:rsidRoot w:val="00000000"/>
    <w:rsid w:val="57FE6E4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9">
    <w:name w:val="Default Paragraph Font"/>
    <w:semiHidden/>
    <w:unhideWhenUsed/>
    <w:qFormat/>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25"/>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6">
    <w:name w:val="Subtitle"/>
    <w:basedOn w:val="15"/>
    <w:next w:val="3"/>
    <w:link w:val="26"/>
    <w:qFormat/>
    <w:uiPriority w:val="11"/>
    <w:rPr>
      <w:rFonts w:eastAsiaTheme="majorEastAsia" w:cstheme="majorBidi"/>
      <w:spacing w:val="15"/>
      <w:sz w:val="28"/>
      <w:szCs w:val="28"/>
    </w:rPr>
  </w:style>
  <w:style w:type="paragraph" w:styleId="17">
    <w:name w:val="footnote text"/>
    <w:basedOn w:val="1"/>
    <w:unhideWhenUsed/>
    <w:qFormat/>
    <w:uiPriority w:val="9"/>
  </w:style>
  <w:style w:type="character" w:styleId="20">
    <w:name w:val="Hyperlink"/>
    <w:basedOn w:val="21"/>
    <w:qFormat/>
    <w:uiPriority w:val="0"/>
    <w:rPr>
      <w:color w:val="156082" w:themeColor="accent1"/>
    </w:rPr>
  </w:style>
  <w:style w:type="character" w:customStyle="1" w:styleId="21">
    <w:name w:val="Body Text Char"/>
    <w:basedOn w:val="19"/>
    <w:link w:val="3"/>
    <w:qFormat/>
    <w:uiPriority w:val="0"/>
  </w:style>
  <w:style w:type="character" w:styleId="22">
    <w:name w:val="footnote reference"/>
    <w:basedOn w:val="21"/>
    <w:qFormat/>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9"/>
    <w:link w:val="15"/>
    <w:uiPriority w:val="10"/>
    <w:rPr>
      <w:rFonts w:asciiTheme="majorHAnsi" w:hAnsiTheme="majorHAnsi" w:eastAsiaTheme="majorEastAsia" w:cstheme="majorBidi"/>
      <w:sz w:val="56"/>
      <w:szCs w:val="56"/>
    </w:rPr>
  </w:style>
  <w:style w:type="character" w:customStyle="1" w:styleId="26">
    <w:name w:val="Subtitle Char"/>
    <w:basedOn w:val="19"/>
    <w:link w:val="16"/>
    <w:qFormat/>
    <w:uiPriority w:val="11"/>
    <w:rPr>
      <w:rFonts w:eastAsiaTheme="majorEastAsia" w:cstheme="majorBidi"/>
      <w:color w:val="585858" w:themeColor="text1" w:themeTint="A6"/>
      <w:spacing w:val="15"/>
      <w:sz w:val="28"/>
      <w:szCs w:val="28"/>
    </w:rPr>
  </w:style>
  <w:style w:type="paragraph" w:customStyle="1" w:styleId="27">
    <w:name w:val="Author"/>
    <w:basedOn w:val="15"/>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9"/>
    <w:link w:val="2"/>
    <w:qFormat/>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9"/>
    <w:link w:val="4"/>
    <w:semiHidden/>
    <w:qFormat/>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9"/>
    <w:link w:val="5"/>
    <w:semiHidden/>
    <w:qFormat/>
    <w:uiPriority w:val="9"/>
    <w:rPr>
      <w:rFonts w:eastAsiaTheme="majorEastAsia" w:cstheme="majorBidi"/>
      <w:color w:val="0F4761" w:themeColor="accent1" w:themeShade="BF"/>
      <w:sz w:val="28"/>
      <w:szCs w:val="28"/>
    </w:rPr>
  </w:style>
  <w:style w:type="character" w:customStyle="1" w:styleId="34">
    <w:name w:val="Heading 4 Char"/>
    <w:basedOn w:val="19"/>
    <w:link w:val="6"/>
    <w:semiHidden/>
    <w:qFormat/>
    <w:uiPriority w:val="9"/>
    <w:rPr>
      <w:rFonts w:eastAsiaTheme="majorEastAsia" w:cstheme="majorBidi"/>
      <w:i/>
      <w:iCs/>
      <w:color w:val="0F4761" w:themeColor="accent1" w:themeShade="BF"/>
    </w:rPr>
  </w:style>
  <w:style w:type="character" w:customStyle="1" w:styleId="35">
    <w:name w:val="Heading 5 Char"/>
    <w:basedOn w:val="19"/>
    <w:link w:val="7"/>
    <w:semiHidden/>
    <w:qFormat/>
    <w:uiPriority w:val="9"/>
    <w:rPr>
      <w:rFonts w:eastAsiaTheme="majorEastAsia" w:cstheme="majorBidi"/>
      <w:color w:val="0F4761" w:themeColor="accent1" w:themeShade="BF"/>
    </w:rPr>
  </w:style>
  <w:style w:type="character" w:customStyle="1" w:styleId="36">
    <w:name w:val="Heading 6 Char"/>
    <w:basedOn w:val="19"/>
    <w:link w:val="8"/>
    <w:semiHidden/>
    <w:qFormat/>
    <w:uiPriority w:val="9"/>
    <w:rPr>
      <w:rFonts w:eastAsiaTheme="majorEastAsia" w:cstheme="majorBidi"/>
      <w:i/>
      <w:iCs/>
      <w:color w:val="585858" w:themeColor="text1" w:themeTint="A6"/>
    </w:rPr>
  </w:style>
  <w:style w:type="character" w:customStyle="1" w:styleId="37">
    <w:name w:val="Heading 7 Char"/>
    <w:basedOn w:val="19"/>
    <w:link w:val="9"/>
    <w:semiHidden/>
    <w:qFormat/>
    <w:uiPriority w:val="9"/>
    <w:rPr>
      <w:rFonts w:eastAsiaTheme="majorEastAsia" w:cstheme="majorBidi"/>
      <w:color w:val="585858" w:themeColor="text1" w:themeTint="A6"/>
    </w:rPr>
  </w:style>
  <w:style w:type="character" w:customStyle="1" w:styleId="38">
    <w:name w:val="Heading 8 Char"/>
    <w:basedOn w:val="19"/>
    <w:link w:val="10"/>
    <w:semiHidden/>
    <w:qFormat/>
    <w:uiPriority w:val="9"/>
    <w:rPr>
      <w:rFonts w:eastAsiaTheme="majorEastAsia" w:cstheme="majorBidi"/>
      <w:i/>
      <w:iCs/>
      <w:color w:val="262626" w:themeColor="text1" w:themeTint="D8"/>
    </w:rPr>
  </w:style>
  <w:style w:type="character" w:customStyle="1" w:styleId="39">
    <w:name w:val="Heading 9 Char"/>
    <w:basedOn w:val="19"/>
    <w:link w:val="11"/>
    <w:semiHidden/>
    <w:qFormat/>
    <w:uiPriority w:val="9"/>
    <w:rPr>
      <w:rFonts w:eastAsiaTheme="majorEastAsia" w:cstheme="majorBidi"/>
      <w:color w:val="262626" w:themeColor="text1" w:themeTint="D8"/>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qFormat/>
    <w:uiPriority w:val="0"/>
    <w:pPr>
      <w:keepNext/>
      <w:keepLines/>
      <w:spacing w:after="0"/>
    </w:pPr>
    <w:rPr>
      <w:b/>
    </w:rPr>
  </w:style>
  <w:style w:type="paragraph" w:customStyle="1" w:styleId="43">
    <w:name w:val="Definition"/>
    <w:basedOn w:val="1"/>
    <w:qFormat/>
    <w:uiPriority w:val="0"/>
  </w:style>
  <w:style w:type="paragraph" w:customStyle="1" w:styleId="44">
    <w:name w:val="Table Caption"/>
    <w:basedOn w:val="12"/>
    <w:qFormat/>
    <w:uiPriority w:val="0"/>
    <w:pPr>
      <w:keepNext/>
    </w:pPr>
  </w:style>
  <w:style w:type="paragraph" w:customStyle="1" w:styleId="45">
    <w:name w:val="Image Caption"/>
    <w:basedOn w:val="12"/>
    <w:uiPriority w:val="0"/>
  </w:style>
  <w:style w:type="paragraph" w:customStyle="1" w:styleId="46">
    <w:name w:val="Figure"/>
    <w:basedOn w:val="1"/>
    <w:qFormat/>
    <w:uiPriority w:val="0"/>
  </w:style>
  <w:style w:type="paragraph" w:customStyle="1" w:styleId="47">
    <w:name w:val="Captioned Figure"/>
    <w:basedOn w:val="46"/>
    <w:qFormat/>
    <w:uiPriority w:val="0"/>
    <w:pPr>
      <w:keepNext/>
    </w:pPr>
  </w:style>
  <w:style w:type="character" w:customStyle="1" w:styleId="48">
    <w:name w:val="Verbatim Char"/>
    <w:basedOn w:val="21"/>
    <w:link w:val="49"/>
    <w:uiPriority w:val="0"/>
    <w:rPr>
      <w:rFonts w:ascii="Consolas" w:hAnsi="Consolas"/>
      <w:sz w:val="22"/>
    </w:rPr>
  </w:style>
  <w:style w:type="paragraph" w:customStyle="1" w:styleId="49">
    <w:name w:val="Source Code"/>
    <w:basedOn w:val="1"/>
    <w:link w:val="48"/>
    <w:qFormat/>
    <w:uiPriority w:val="0"/>
    <w:pPr>
      <w:wordWrap w:val="0"/>
    </w:pPr>
  </w:style>
  <w:style w:type="character" w:customStyle="1" w:styleId="50">
    <w:name w:val="Section Number"/>
    <w:basedOn w:val="21"/>
    <w:qFormat/>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qFormat/>
    <w:uiPriority w:val="0"/>
    <w:rPr>
      <w:b/>
      <w:color w:val="007020"/>
    </w:rPr>
  </w:style>
  <w:style w:type="character" w:customStyle="1" w:styleId="53">
    <w:name w:val="DataTypeTok"/>
    <w:basedOn w:val="48"/>
    <w:uiPriority w:val="0"/>
    <w:rPr>
      <w:color w:val="902000"/>
    </w:rPr>
  </w:style>
  <w:style w:type="character" w:customStyle="1" w:styleId="54">
    <w:name w:val="DecValTok"/>
    <w:basedOn w:val="48"/>
    <w:uiPriority w:val="0"/>
    <w:rPr>
      <w:color w:val="40A070"/>
    </w:rPr>
  </w:style>
  <w:style w:type="character" w:customStyle="1" w:styleId="55">
    <w:name w:val="BaseNTok"/>
    <w:basedOn w:val="48"/>
    <w:qFormat/>
    <w:uiPriority w:val="0"/>
    <w:rPr>
      <w:color w:val="40A070"/>
    </w:rPr>
  </w:style>
  <w:style w:type="character" w:customStyle="1" w:styleId="56">
    <w:name w:val="FloatTok"/>
    <w:basedOn w:val="48"/>
    <w:qFormat/>
    <w:uiPriority w:val="0"/>
    <w:rPr>
      <w:color w:val="40A070"/>
    </w:rPr>
  </w:style>
  <w:style w:type="character" w:customStyle="1" w:styleId="57">
    <w:name w:val="ConstantTok"/>
    <w:basedOn w:val="48"/>
    <w:qFormat/>
    <w:uiPriority w:val="0"/>
    <w:rPr>
      <w:color w:val="880000"/>
    </w:rPr>
  </w:style>
  <w:style w:type="character" w:customStyle="1" w:styleId="58">
    <w:name w:val="CharTok"/>
    <w:basedOn w:val="48"/>
    <w:qFormat/>
    <w:uiPriority w:val="0"/>
    <w:rPr>
      <w:color w:val="4070A0"/>
    </w:rPr>
  </w:style>
  <w:style w:type="character" w:customStyle="1" w:styleId="59">
    <w:name w:val="SpecialCharTok"/>
    <w:basedOn w:val="48"/>
    <w:qFormat/>
    <w:uiPriority w:val="0"/>
    <w:rPr>
      <w:color w:val="4070A0"/>
    </w:rPr>
  </w:style>
  <w:style w:type="character" w:customStyle="1" w:styleId="60">
    <w:name w:val="StringTok"/>
    <w:basedOn w:val="48"/>
    <w:qFormat/>
    <w:uiPriority w:val="0"/>
    <w:rPr>
      <w:color w:val="4070A0"/>
    </w:rPr>
  </w:style>
  <w:style w:type="character" w:customStyle="1" w:styleId="61">
    <w:name w:val="VerbatimStringTok"/>
    <w:basedOn w:val="48"/>
    <w:qFormat/>
    <w:uiPriority w:val="0"/>
    <w:rPr>
      <w:color w:val="4070A0"/>
    </w:rPr>
  </w:style>
  <w:style w:type="character" w:customStyle="1" w:styleId="62">
    <w:name w:val="SpecialStringTok"/>
    <w:basedOn w:val="48"/>
    <w:qFormat/>
    <w:uiPriority w:val="0"/>
    <w:rPr>
      <w:color w:val="BB6688"/>
    </w:rPr>
  </w:style>
  <w:style w:type="character" w:customStyle="1" w:styleId="63">
    <w:name w:val="ImportTok"/>
    <w:basedOn w:val="48"/>
    <w:qFormat/>
    <w:uiPriority w:val="0"/>
    <w:rPr>
      <w:b/>
      <w:color w:val="008000"/>
    </w:rPr>
  </w:style>
  <w:style w:type="character" w:customStyle="1" w:styleId="64">
    <w:name w:val="CommentTok"/>
    <w:basedOn w:val="48"/>
    <w:qFormat/>
    <w:uiPriority w:val="0"/>
    <w:rPr>
      <w:i/>
      <w:color w:val="60A0B0"/>
    </w:rPr>
  </w:style>
  <w:style w:type="character" w:customStyle="1" w:styleId="65">
    <w:name w:val="DocumentationTok"/>
    <w:basedOn w:val="48"/>
    <w:qFormat/>
    <w:uiPriority w:val="0"/>
    <w:rPr>
      <w:i/>
      <w:color w:val="BA2121"/>
    </w:rPr>
  </w:style>
  <w:style w:type="character" w:customStyle="1" w:styleId="66">
    <w:name w:val="AnnotationTok"/>
    <w:basedOn w:val="48"/>
    <w:qFormat/>
    <w:uiPriority w:val="0"/>
    <w:rPr>
      <w:b/>
      <w:i/>
      <w:color w:val="60A0B0"/>
    </w:rPr>
  </w:style>
  <w:style w:type="character" w:customStyle="1" w:styleId="67">
    <w:name w:val="CommentVarTok"/>
    <w:basedOn w:val="48"/>
    <w:qFormat/>
    <w:uiPriority w:val="0"/>
    <w:rPr>
      <w:b/>
      <w:i/>
      <w:color w:val="60A0B0"/>
    </w:rPr>
  </w:style>
  <w:style w:type="character" w:customStyle="1" w:styleId="68">
    <w:name w:val="OtherTok"/>
    <w:basedOn w:val="48"/>
    <w:uiPriority w:val="0"/>
    <w:rPr>
      <w:color w:val="007020"/>
    </w:rPr>
  </w:style>
  <w:style w:type="character" w:customStyle="1" w:styleId="69">
    <w:name w:val="FunctionTok"/>
    <w:basedOn w:val="48"/>
    <w:qFormat/>
    <w:uiPriority w:val="0"/>
    <w:rPr>
      <w:color w:val="06287E"/>
    </w:rPr>
  </w:style>
  <w:style w:type="character" w:customStyle="1" w:styleId="70">
    <w:name w:val="VariableTok"/>
    <w:basedOn w:val="48"/>
    <w:uiPriority w:val="0"/>
    <w:rPr>
      <w:color w:val="19177C"/>
    </w:rPr>
  </w:style>
  <w:style w:type="character" w:customStyle="1" w:styleId="71">
    <w:name w:val="ControlFlowTok"/>
    <w:basedOn w:val="48"/>
    <w:qFormat/>
    <w:uiPriority w:val="0"/>
    <w:rPr>
      <w:b/>
      <w:color w:val="007020"/>
    </w:rPr>
  </w:style>
  <w:style w:type="character" w:customStyle="1" w:styleId="72">
    <w:name w:val="OperatorTok"/>
    <w:basedOn w:val="48"/>
    <w:qFormat/>
    <w:uiPriority w:val="0"/>
    <w:rPr>
      <w:color w:val="666666"/>
    </w:rPr>
  </w:style>
  <w:style w:type="character" w:customStyle="1" w:styleId="73">
    <w:name w:val="BuiltInTok"/>
    <w:basedOn w:val="48"/>
    <w:qFormat/>
    <w:uiPriority w:val="0"/>
    <w:rPr>
      <w:color w:val="008000"/>
    </w:rPr>
  </w:style>
  <w:style w:type="character" w:customStyle="1" w:styleId="74">
    <w:name w:val="ExtensionTok"/>
    <w:basedOn w:val="48"/>
    <w:qFormat/>
    <w:uiPriority w:val="0"/>
  </w:style>
  <w:style w:type="character" w:customStyle="1" w:styleId="75">
    <w:name w:val="PreprocessorTok"/>
    <w:basedOn w:val="48"/>
    <w:uiPriority w:val="0"/>
    <w:rPr>
      <w:color w:val="BC7A00"/>
    </w:rPr>
  </w:style>
  <w:style w:type="character" w:customStyle="1" w:styleId="76">
    <w:name w:val="AttributeTok"/>
    <w:basedOn w:val="48"/>
    <w:qFormat/>
    <w:uiPriority w:val="0"/>
    <w:rPr>
      <w:color w:val="7D9029"/>
    </w:rPr>
  </w:style>
  <w:style w:type="character" w:customStyle="1" w:styleId="77">
    <w:name w:val="RegionMarkerTok"/>
    <w:basedOn w:val="48"/>
    <w:qFormat/>
    <w:uiPriority w:val="0"/>
  </w:style>
  <w:style w:type="character" w:customStyle="1" w:styleId="78">
    <w:name w:val="InformationTok"/>
    <w:basedOn w:val="48"/>
    <w:qFormat/>
    <w:uiPriority w:val="0"/>
    <w:rPr>
      <w:b/>
      <w:i/>
      <w:color w:val="60A0B0"/>
    </w:rPr>
  </w:style>
  <w:style w:type="character" w:customStyle="1" w:styleId="79">
    <w:name w:val="WarningTok"/>
    <w:basedOn w:val="48"/>
    <w:qFormat/>
    <w:uiPriority w:val="0"/>
    <w:rPr>
      <w:b/>
      <w:i/>
      <w:color w:val="60A0B0"/>
    </w:rPr>
  </w:style>
  <w:style w:type="character" w:customStyle="1" w:styleId="80">
    <w:name w:val="AlertTok"/>
    <w:basedOn w:val="48"/>
    <w:qFormat/>
    <w:uiPriority w:val="0"/>
    <w:rPr>
      <w:b/>
      <w:color w:val="FF0000"/>
    </w:rPr>
  </w:style>
  <w:style w:type="character" w:customStyle="1" w:styleId="81">
    <w:name w:val="ErrorTok"/>
    <w:basedOn w:val="48"/>
    <w:qFormat/>
    <w:uiPriority w:val="0"/>
    <w:rPr>
      <w:b/>
      <w:color w:val="FF0000"/>
    </w:rPr>
  </w:style>
  <w:style w:type="character" w:customStyle="1" w:styleId="82">
    <w:name w:val="NormalTok"/>
    <w:basedOn w:val="48"/>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20</Pages>
  <Words>4406</Words>
  <Characters>4755</Characters>
  <Lines>12</Lines>
  <Paragraphs>8</Paragraphs>
  <TotalTime>13</TotalTime>
  <ScaleCrop>false</ScaleCrop>
  <LinksUpToDate>false</LinksUpToDate>
  <CharactersWithSpaces>4800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2026-07-05T10:31:00Z</dcterms:created>
  <dc:creator>陈科明</dc:creator>
  <cp:lastModifiedBy>陈科明</cp:lastModifiedBy>
  <dcterms:modified xsi:type="dcterms:W3CDTF">2026-07-05T10:57:55Z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eyJoZGlkIjoiNDI5N2Y0OTFiMTYzYzg3MjFmYzM4OGQyYWI5OWE0ODkiLCJ1c2VySWQiOiIxNDU2NzcxNTU4In0=</vt:lpwstr>
  </property>
  <property fmtid="{D5CDD505-2E9C-101B-9397-08002B2CF9AE}" pid="3" name="KSOProductBuildVer">
    <vt:lpwstr>2052-12.1.0.26895</vt:lpwstr>
  </property>
  <property fmtid="{D5CDD505-2E9C-101B-9397-08002B2CF9AE}" pid="4" name="ICV">
    <vt:lpwstr>3974C79C1F1F4ADDA4F985E9B3CAC2FD_12</vt:lpwstr>
  </property>
</Properties>
</file>