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2CDC9B">
      <w:pPr>
        <w:spacing w:before="0" w:after="0" w:line="570" w:lineRule="exact"/>
        <w:jc w:val="left"/>
        <w:rPr>
          <w:rFonts w:hint="eastAsia" w:ascii="黑体" w:hAnsi="黑体" w:eastAsia="黑体" w:cs="黑体"/>
          <w:b w:val="0"/>
          <w:color w:val="000000"/>
          <w:sz w:val="32"/>
          <w:szCs w:val="28"/>
          <w:lang w:eastAsia="zh-CN"/>
        </w:rPr>
      </w:pPr>
      <w:r>
        <w:rPr>
          <w:rFonts w:hint="eastAsia" w:ascii="黑体" w:hAnsi="黑体" w:eastAsia="黑体" w:cs="黑体"/>
          <w:b w:val="0"/>
          <w:color w:val="000000"/>
          <w:sz w:val="32"/>
          <w:szCs w:val="28"/>
          <w:lang w:eastAsia="zh-CN"/>
        </w:rPr>
        <w:t>附件</w:t>
      </w:r>
    </w:p>
    <w:p w14:paraId="70010BE2">
      <w:pPr>
        <w:spacing w:before="0" w:after="0" w:line="570" w:lineRule="exact"/>
        <w:jc w:val="left"/>
        <w:rPr>
          <w:rFonts w:hint="eastAsia" w:ascii="黑体" w:hAnsi="黑体" w:eastAsia="黑体" w:cs="黑体"/>
          <w:b w:val="0"/>
          <w:color w:val="000000"/>
          <w:sz w:val="32"/>
          <w:szCs w:val="28"/>
          <w:lang w:eastAsia="zh-CN"/>
        </w:rPr>
      </w:pPr>
    </w:p>
    <w:p w14:paraId="0918030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570" w:lineRule="exact"/>
        <w:jc w:val="center"/>
        <w:textAlignment w:val="auto"/>
        <w:rPr>
          <w:rFonts w:hint="eastAsia" w:ascii="方正大标宋_GBK" w:hAnsi="方正大标宋_GBK" w:eastAsia="方正大标宋_GBK" w:cs="方正大标宋_GBK"/>
          <w:b w:val="0"/>
          <w:bCs/>
          <w:color w:val="000000"/>
          <w:sz w:val="44"/>
          <w:szCs w:val="44"/>
          <w:lang w:eastAsia="zh-CN"/>
        </w:rPr>
      </w:pPr>
      <w:r>
        <w:rPr>
          <w:rFonts w:hint="eastAsia" w:ascii="方正大标宋_GBK" w:hAnsi="方正大标宋_GBK" w:eastAsia="方正大标宋_GBK" w:cs="方正大标宋_GBK"/>
          <w:b w:val="0"/>
          <w:bCs/>
          <w:color w:val="000000"/>
          <w:sz w:val="44"/>
          <w:szCs w:val="44"/>
          <w:lang w:eastAsia="zh-CN"/>
        </w:rPr>
        <w:t>人工智能</w:t>
      </w:r>
      <w:r>
        <w:rPr>
          <w:rFonts w:hint="eastAsia" w:ascii="方正大标宋_GBK" w:hAnsi="方正大标宋_GBK" w:eastAsia="方正大标宋_GBK" w:cs="方正大标宋_GBK"/>
          <w:b w:val="0"/>
          <w:bCs/>
          <w:color w:val="000000"/>
          <w:sz w:val="44"/>
          <w:szCs w:val="44"/>
          <w:lang w:val="en-US" w:eastAsia="zh-CN"/>
        </w:rPr>
        <w:t>场景需求</w:t>
      </w:r>
      <w:r>
        <w:rPr>
          <w:rFonts w:hint="eastAsia" w:ascii="方正大标宋_GBK" w:hAnsi="方正大标宋_GBK" w:eastAsia="方正大标宋_GBK" w:cs="方正大标宋_GBK"/>
          <w:b w:val="0"/>
          <w:bCs/>
          <w:color w:val="000000"/>
          <w:sz w:val="44"/>
          <w:szCs w:val="44"/>
          <w:lang w:eastAsia="zh-CN"/>
        </w:rPr>
        <w:t>征集表</w:t>
      </w:r>
    </w:p>
    <w:p w14:paraId="5B351CE6">
      <w:pPr>
        <w:wordWrap/>
        <w:spacing w:line="360" w:lineRule="auto"/>
        <w:ind w:firstLine="0" w:firstLineChars="0"/>
        <w:jc w:val="left"/>
        <w:rPr>
          <w:rFonts w:hint="eastAsia" w:ascii="黑体" w:hAnsi="黑体" w:eastAsia="黑体" w:cs="黑体"/>
          <w:b w:val="0"/>
          <w:bCs/>
          <w:color w:val="000000"/>
          <w:sz w:val="44"/>
          <w:szCs w:val="44"/>
          <w:lang w:eastAsia="zh-CN"/>
        </w:rPr>
      </w:pPr>
      <w:r>
        <w:rPr>
          <w:sz w:val="20"/>
        </w:rPr>
        <w:t>填报单位（盖章）：浙江法拉迪电气有限公司    填报日期：2026年6月23日</w:t>
      </w:r>
    </w:p>
    <w:tbl>
      <w:tblPr>
        <w:tblStyle w:val="4"/>
        <w:tblW w:w="8844" w:type="dxa"/>
        <w:tblInd w:w="12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34"/>
        <w:gridCol w:w="2303"/>
        <w:gridCol w:w="2303"/>
        <w:gridCol w:w="2304"/>
      </w:tblGrid>
      <w:tr w14:paraId="2868D420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atLeast"/>
        </w:trPr>
        <w:tc>
          <w:tcPr>
            <w:tcW w:w="19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37BE8F">
            <w:pPr>
              <w:spacing w:before="0" w:after="0" w:line="400" w:lineRule="exact"/>
              <w:jc w:val="center"/>
              <w:rPr>
                <w:sz w:val="24"/>
                <w:szCs w:val="24"/>
              </w:rPr>
            </w:pPr>
            <w:r>
              <w:rPr>
                <w:rFonts w:ascii="黑体" w:hAnsi="黑体" w:eastAsia="黑体"/>
                <w:b w:val="0"/>
                <w:bCs/>
                <w:color w:val="000000"/>
                <w:sz w:val="24"/>
                <w:szCs w:val="24"/>
              </w:rPr>
              <w:t>需求名称</w:t>
            </w:r>
          </w:p>
        </w:tc>
        <w:tc>
          <w:tcPr>
            <w:tcW w:w="6910" w:type="dxa"/>
            <w:gridSpan w:val="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96708D">
            <w:pPr>
              <w:spacing w:before="0" w:after="0" w:line="400" w:lineRule="exact"/>
              <w:jc w:val="left"/>
              <w:rPr>
                <w:sz w:val="24"/>
                <w:szCs w:val="24"/>
              </w:rPr>
            </w:pPr>
            <w:r>
              <w:rPr>
                <w:rFonts w:ascii="宋体" w:hAnsi="宋体"/>
                <w:sz w:val="20"/>
              </w:rPr>
              <w:t>基于AI智能体的制造业客制化产品报价/方案智能体</w:t>
            </w:r>
          </w:p>
        </w:tc>
      </w:tr>
      <w:tr w14:paraId="3368C208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9E8F9D">
            <w:pPr>
              <w:spacing w:before="0" w:after="0" w:line="400" w:lineRule="exact"/>
              <w:jc w:val="center"/>
              <w:rPr>
                <w:sz w:val="24"/>
                <w:szCs w:val="24"/>
              </w:rPr>
            </w:pPr>
            <w:r>
              <w:rPr>
                <w:rFonts w:ascii="黑体" w:hAnsi="黑体" w:eastAsia="黑体"/>
                <w:b w:val="0"/>
                <w:bCs/>
                <w:color w:val="000000"/>
                <w:sz w:val="24"/>
                <w:szCs w:val="24"/>
              </w:rPr>
              <w:t>需求</w:t>
            </w:r>
            <w:r>
              <w:rPr>
                <w:rFonts w:hint="eastAsia" w:ascii="黑体" w:hAnsi="黑体" w:eastAsia="黑体"/>
                <w:b w:val="0"/>
                <w:bCs/>
                <w:color w:val="000000"/>
                <w:sz w:val="24"/>
                <w:szCs w:val="24"/>
                <w:lang w:val="en-US" w:eastAsia="zh-CN"/>
              </w:rPr>
              <w:t>填报</w:t>
            </w:r>
            <w:r>
              <w:rPr>
                <w:rFonts w:ascii="黑体" w:hAnsi="黑体" w:eastAsia="黑体"/>
                <w:b w:val="0"/>
                <w:bCs/>
                <w:color w:val="000000"/>
                <w:sz w:val="24"/>
                <w:szCs w:val="24"/>
              </w:rPr>
              <w:t>单位</w:t>
            </w:r>
          </w:p>
        </w:tc>
        <w:tc>
          <w:tcPr>
            <w:tcW w:w="6910" w:type="dxa"/>
            <w:gridSpan w:val="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F85885">
            <w:pPr>
              <w:spacing w:before="0" w:after="0" w:line="400" w:lineRule="exact"/>
              <w:jc w:val="left"/>
              <w:rPr>
                <w:sz w:val="24"/>
                <w:szCs w:val="24"/>
                <w:lang w:eastAsia="zh-CN"/>
              </w:rPr>
            </w:pPr>
            <w:r>
              <w:rPr>
                <w:rFonts w:ascii="宋体" w:hAnsi="宋体"/>
                <w:sz w:val="20"/>
              </w:rPr>
              <w:t>浙江法拉迪电气有限公司</w:t>
            </w:r>
          </w:p>
        </w:tc>
      </w:tr>
      <w:tr w14:paraId="4BB96701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8" w:hRule="atLeast"/>
        </w:trPr>
        <w:tc>
          <w:tcPr>
            <w:tcW w:w="19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8CB19D">
            <w:pPr>
              <w:spacing w:before="0" w:after="0" w:line="400" w:lineRule="exact"/>
              <w:jc w:val="center"/>
              <w:rPr>
                <w:rFonts w:hint="eastAsia" w:ascii="黑体" w:hAnsi="黑体" w:eastAsia="黑体"/>
                <w:b w:val="0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/>
                <w:b w:val="0"/>
                <w:bCs/>
                <w:color w:val="000000"/>
                <w:sz w:val="24"/>
                <w:szCs w:val="24"/>
                <w:lang w:val="en-US" w:eastAsia="zh-CN"/>
              </w:rPr>
              <w:t>联系人</w:t>
            </w:r>
          </w:p>
        </w:tc>
        <w:tc>
          <w:tcPr>
            <w:tcW w:w="230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9FDCAF">
            <w:pPr>
              <w:spacing w:before="0" w:after="0" w:line="400" w:lineRule="exact"/>
              <w:jc w:val="center"/>
              <w:rPr>
                <w:rFonts w:hint="eastAsia" w:ascii="黑体" w:hAnsi="黑体" w:eastAsia="黑体"/>
                <w:b w:val="0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/>
                <w:sz w:val="20"/>
              </w:rPr>
              <w:t>（请联系法拉迪确认）</w:t>
            </w:r>
          </w:p>
        </w:tc>
        <w:tc>
          <w:tcPr>
            <w:tcW w:w="230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FD0292">
            <w:pPr>
              <w:spacing w:before="0" w:after="0" w:line="400" w:lineRule="exact"/>
              <w:jc w:val="center"/>
              <w:rPr>
                <w:rFonts w:hint="default" w:ascii="黑体" w:hAnsi="黑体" w:eastAsia="黑体"/>
                <w:b w:val="0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/>
                <w:b w:val="0"/>
                <w:bCs/>
                <w:color w:val="000000"/>
                <w:sz w:val="24"/>
                <w:szCs w:val="24"/>
                <w:lang w:val="en-US" w:eastAsia="zh-CN"/>
              </w:rPr>
              <w:t>联系电话</w:t>
            </w:r>
          </w:p>
        </w:tc>
        <w:tc>
          <w:tcPr>
            <w:tcW w:w="230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312FF7">
            <w:pPr>
              <w:spacing w:before="0" w:after="0" w:line="400" w:lineRule="exact"/>
              <w:jc w:val="left"/>
              <w:rPr>
                <w:rFonts w:hint="eastAsia" w:ascii="仿宋_GB2312" w:hAnsi="仿宋_GB2312" w:eastAsia="仿宋_GB2312" w:cs="仿宋_GB2312"/>
                <w:sz w:val="24"/>
                <w:szCs w:val="24"/>
                <w:lang w:eastAsia="zh-CN"/>
              </w:rPr>
            </w:pPr>
            <w:r>
              <w:rPr>
                <w:rFonts w:ascii="宋体" w:hAnsi="宋体"/>
                <w:sz w:val="20"/>
              </w:rPr>
              <w:t>（请联系法拉迪确认）</w:t>
            </w:r>
          </w:p>
        </w:tc>
      </w:tr>
      <w:tr w14:paraId="754379E7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0" w:hRule="atLeast"/>
        </w:trPr>
        <w:tc>
          <w:tcPr>
            <w:tcW w:w="19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DE4FA8">
            <w:pPr>
              <w:spacing w:before="0" w:after="0" w:line="400" w:lineRule="exact"/>
              <w:jc w:val="center"/>
              <w:rPr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</w:rPr>
              <w:t>聚焦“5+5</w:t>
            </w:r>
            <w:r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  <w:lang w:val="en-US" w:eastAsia="zh-CN"/>
              </w:rPr>
              <w:t>+N</w:t>
            </w:r>
            <w:r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</w:rPr>
              <w:t>”产业方向</w:t>
            </w:r>
          </w:p>
        </w:tc>
        <w:tc>
          <w:tcPr>
            <w:tcW w:w="6910" w:type="dxa"/>
            <w:gridSpan w:val="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EF47C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eastAsia="zh-CN"/>
              </w:rPr>
              <w:t>☑电气  ☑新能源  ☑智能装备</w:t>
            </w:r>
          </w:p>
          <w:p w14:paraId="37A2A292">
            <w:pPr>
              <w:spacing w:before="0" w:after="0" w:line="400" w:lineRule="exact"/>
              <w:jc w:val="left"/>
              <w:rPr>
                <w:sz w:val="24"/>
                <w:szCs w:val="24"/>
                <w:lang w:eastAsia="zh-CN"/>
              </w:rPr>
            </w:pPr>
          </w:p>
        </w:tc>
      </w:tr>
      <w:tr w14:paraId="181A2A9E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0" w:hRule="atLeast"/>
        </w:trPr>
        <w:tc>
          <w:tcPr>
            <w:tcW w:w="19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D8848D">
            <w:pPr>
              <w:spacing w:before="0" w:after="0" w:line="400" w:lineRule="exact"/>
              <w:jc w:val="center"/>
              <w:rPr>
                <w:sz w:val="24"/>
                <w:szCs w:val="24"/>
                <w:lang w:eastAsia="zh-CN"/>
              </w:rPr>
            </w:pPr>
            <w:r>
              <w:rPr>
                <w:rFonts w:ascii="黑体" w:hAnsi="黑体" w:eastAsia="黑体"/>
                <w:b w:val="0"/>
                <w:bCs/>
                <w:color w:val="000000"/>
                <w:sz w:val="24"/>
                <w:szCs w:val="24"/>
                <w:lang w:eastAsia="zh-CN"/>
              </w:rPr>
              <w:t>拟解决</w:t>
            </w:r>
            <w:r>
              <w:rPr>
                <w:rFonts w:hint="eastAsia" w:ascii="黑体" w:hAnsi="黑体" w:eastAsia="黑体"/>
                <w:b w:val="0"/>
                <w:bCs/>
                <w:color w:val="000000"/>
                <w:sz w:val="24"/>
                <w:szCs w:val="24"/>
                <w:lang w:val="en-US" w:eastAsia="zh-CN"/>
              </w:rPr>
              <w:t>核心</w:t>
            </w:r>
            <w:r>
              <w:rPr>
                <w:rFonts w:ascii="黑体" w:hAnsi="黑体" w:eastAsia="黑体"/>
                <w:b w:val="0"/>
                <w:bCs/>
                <w:color w:val="000000"/>
                <w:sz w:val="24"/>
                <w:szCs w:val="24"/>
                <w:lang w:eastAsia="zh-CN"/>
              </w:rPr>
              <w:t>问题</w:t>
            </w:r>
          </w:p>
        </w:tc>
        <w:tc>
          <w:tcPr>
            <w:tcW w:w="6910" w:type="dxa"/>
            <w:gridSpan w:val="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83CA8A">
            <w:pPr>
              <w:spacing w:line="360" w:lineRule="auto"/>
              <w:jc w:val="left"/>
              <w:rPr>
                <w:rFonts w:hint="eastAsia" w:ascii="楷体_GB2312" w:hAnsi="楷体_GB2312" w:eastAsia="楷体_GB2312" w:cs="楷体_GB2312"/>
                <w:sz w:val="24"/>
                <w:szCs w:val="24"/>
                <w:lang w:eastAsia="zh-CN"/>
              </w:rPr>
            </w:pPr>
            <w:r>
              <w:rPr>
                <w:rFonts w:hint="eastAsia" w:ascii="楷体_GB2312" w:hAnsi="楷体_GB2312" w:eastAsia="楷体_GB2312" w:cs="楷体_GB2312"/>
                <w:sz w:val="24"/>
                <w:szCs w:val="24"/>
                <w:lang w:eastAsia="zh-CN"/>
              </w:rPr>
              <w:t>变压器制造属于多品种小批量定制化模式，每个客户需求不同，当前从接单到输出报价平均需7-15个工作日，复杂项目超30天。客户同时向3-5家供应商询价，报价响应超时导致15-30%意向订单流失。技术人员40-60%时间消耗在重复性报价工作上，挤占研发创新。历史方案复用靠人脑记忆，不同工程师对同一需求报出不同价格，方案一致性差。新人上手需6-12个月，资深工程师离职导致知识流失。预期改进目标：将报价响应时间从7-15天压缩至30分钟，技术人员报价时间占比降低60%以上。</w:t>
            </w:r>
          </w:p>
          <w:p w14:paraId="1061EEFD">
            <w:pPr>
              <w:spacing w:before="0" w:after="0" w:line="400" w:lineRule="exact"/>
              <w:jc w:val="left"/>
              <w:rPr>
                <w:sz w:val="24"/>
                <w:szCs w:val="24"/>
                <w:lang w:eastAsia="zh-CN"/>
              </w:rPr>
            </w:pPr>
          </w:p>
        </w:tc>
      </w:tr>
      <w:tr w14:paraId="37AF0CCC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5" w:hRule="atLeast"/>
        </w:trPr>
        <w:tc>
          <w:tcPr>
            <w:tcW w:w="19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0FC3E9">
            <w:pPr>
              <w:spacing w:before="0" w:after="0" w:line="400" w:lineRule="exact"/>
              <w:jc w:val="center"/>
              <w:rPr>
                <w:b w:val="0"/>
                <w:bCs/>
                <w:sz w:val="24"/>
                <w:szCs w:val="24"/>
              </w:rPr>
            </w:pPr>
            <w:r>
              <w:rPr>
                <w:rFonts w:ascii="黑体" w:hAnsi="黑体" w:eastAsia="黑体"/>
                <w:b w:val="0"/>
                <w:bCs/>
                <w:color w:val="000000"/>
                <w:sz w:val="24"/>
                <w:szCs w:val="24"/>
              </w:rPr>
              <w:t>主要研究内容</w:t>
            </w:r>
          </w:p>
        </w:tc>
        <w:tc>
          <w:tcPr>
            <w:tcW w:w="6910" w:type="dxa"/>
            <w:gridSpan w:val="3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FDBA0A7">
            <w:pPr>
              <w:spacing w:before="0" w:after="0" w:line="400" w:lineRule="exact"/>
              <w:jc w:val="both"/>
              <w:rPr>
                <w:sz w:val="24"/>
                <w:szCs w:val="24"/>
              </w:rPr>
            </w:pPr>
            <w:r>
              <w:rPr>
                <w:rFonts w:hint="eastAsia" w:ascii="楷体_GB2312" w:hAnsi="楷体_GB2312" w:eastAsia="楷体_GB2312" w:cs="楷体_GB2312"/>
                <w:b w:val="0"/>
                <w:color w:val="000000"/>
                <w:sz w:val="24"/>
                <w:szCs w:val="24"/>
                <w:lang w:eastAsia="zh-CN"/>
              </w:rPr>
              <w:t>构建AI驱动的报价/方案智能体，实现6步自动化闭环：①需求解析——LLM从客户文件中自动提取变压器技术参数，对话式补全缺失信息；②方案匹配——从已完成电磁计算的历史项目库中检索最接近方案，导入完整计算数据；③参数优化——基于差异点调用电磁计算引擎运行优化计算，生成定制技术方案；④BOM生成——方案自动拆解为物料清单，关联物料价格库；⑤成本核算——物料成本+加工工时+管理费+利润自动核算；⑥报价输出——生成标准化报价单和技术方案附件，进入审批流。技术路线：复用已验证的Agent Runtime架构（Planner/LLM/Tool Executor），新增7个报价Tool，对接已有电磁计算引擎、BOM导出、CAD出图能力。</w:t>
            </w:r>
          </w:p>
        </w:tc>
      </w:tr>
      <w:tr w14:paraId="45F4F6D9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7" w:hRule="atLeast"/>
        </w:trPr>
        <w:tc>
          <w:tcPr>
            <w:tcW w:w="19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FFE18B">
            <w:pPr>
              <w:spacing w:before="0" w:after="0" w:line="400" w:lineRule="exact"/>
              <w:jc w:val="center"/>
              <w:rPr>
                <w:rFonts w:hint="default" w:ascii="黑体" w:hAnsi="黑体" w:eastAsia="黑体"/>
                <w:b w:val="0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/>
                <w:b w:val="0"/>
                <w:bCs/>
                <w:color w:val="000000"/>
                <w:sz w:val="24"/>
                <w:szCs w:val="24"/>
                <w:lang w:val="en-US" w:eastAsia="zh-CN"/>
              </w:rPr>
              <w:t>现有基础与条件</w:t>
            </w:r>
          </w:p>
        </w:tc>
        <w:tc>
          <w:tcPr>
            <w:tcW w:w="6910" w:type="dxa"/>
            <w:gridSpan w:val="3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530E4B82">
            <w:pPr>
              <w:spacing w:before="0" w:after="0" w:line="400" w:lineRule="exact"/>
              <w:jc w:val="both"/>
              <w:rPr>
                <w:rFonts w:hint="eastAsia" w:ascii="楷体_GB2312" w:hAnsi="楷体_GB2312" w:eastAsia="楷体_GB2312" w:cs="楷体_GB2312"/>
                <w:b w:val="0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楷体_GB2312" w:hAnsi="楷体_GB2312" w:eastAsia="楷体_GB2312" w:cs="楷体_GB2312"/>
                <w:b w:val="0"/>
                <w:color w:val="000000"/>
                <w:sz w:val="24"/>
                <w:szCs w:val="24"/>
                <w:lang w:eastAsia="zh-CN"/>
              </w:rPr>
              <w:t>已建成：MCP Server（Tool调用）、CLI工具（transformer命令行，支持scheme/calc/draw/bom子命令）、BOM导出引擎、SolidWorks自动化出图、Celery异步任务系统、参数Schema。合作方杭州电子科技大学教授团队提供AI算法支撑，杭州轨物科技有限公司</w:t>
            </w:r>
            <w:bookmarkStart w:id="0" w:name="_GoBack"/>
            <w:bookmarkEnd w:id="0"/>
            <w:r>
              <w:rPr>
                <w:rFonts w:hint="eastAsia" w:ascii="楷体_GB2312" w:hAnsi="楷体_GB2312" w:eastAsia="楷体_GB2312" w:cs="楷体_GB2312"/>
                <w:b w:val="0"/>
                <w:color w:val="000000"/>
                <w:sz w:val="24"/>
                <w:szCs w:val="24"/>
                <w:lang w:eastAsia="zh-CN"/>
              </w:rPr>
              <w:t>提供IoT+AI工程化经验和200+企业智能化转型案例。</w:t>
            </w:r>
          </w:p>
          <w:p w14:paraId="4C812BFB">
            <w:pPr>
              <w:spacing w:before="0" w:after="0" w:line="400" w:lineRule="exact"/>
              <w:jc w:val="both"/>
              <w:rPr>
                <w:rFonts w:hint="eastAsia" w:ascii="楷体_GB2312" w:hAnsi="楷体_GB2312" w:eastAsia="楷体_GB2312" w:cs="楷体_GB2312"/>
                <w:b w:val="0"/>
                <w:color w:val="000000"/>
                <w:sz w:val="24"/>
                <w:szCs w:val="24"/>
                <w:lang w:eastAsia="zh-CN"/>
              </w:rPr>
            </w:pPr>
          </w:p>
          <w:p w14:paraId="1FB42AB6">
            <w:pPr>
              <w:spacing w:before="0" w:after="0" w:line="400" w:lineRule="exact"/>
              <w:jc w:val="both"/>
              <w:rPr>
                <w:rFonts w:hint="eastAsia" w:ascii="楷体_GB2312" w:hAnsi="楷体_GB2312" w:eastAsia="楷体_GB2312" w:cs="楷体_GB2312"/>
                <w:b w:val="0"/>
                <w:color w:val="000000"/>
                <w:sz w:val="24"/>
                <w:szCs w:val="24"/>
                <w:lang w:eastAsia="zh-CN"/>
              </w:rPr>
            </w:pPr>
          </w:p>
        </w:tc>
      </w:tr>
      <w:tr w14:paraId="2CE6AEE8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B36FD6">
            <w:pPr>
              <w:spacing w:before="0" w:after="0" w:line="400" w:lineRule="exact"/>
              <w:jc w:val="center"/>
              <w:rPr>
                <w:b w:val="0"/>
                <w:bCs/>
                <w:sz w:val="24"/>
                <w:szCs w:val="24"/>
              </w:rPr>
            </w:pPr>
            <w:r>
              <w:rPr>
                <w:rFonts w:ascii="黑体" w:hAnsi="黑体" w:eastAsia="黑体"/>
                <w:b w:val="0"/>
                <w:bCs/>
                <w:color w:val="000000"/>
                <w:sz w:val="24"/>
                <w:szCs w:val="24"/>
              </w:rPr>
              <w:t>攻关时限</w:t>
            </w:r>
          </w:p>
        </w:tc>
        <w:tc>
          <w:tcPr>
            <w:tcW w:w="6910" w:type="dxa"/>
            <w:gridSpan w:val="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D63CC8">
            <w:pPr>
              <w:spacing w:before="0" w:after="0" w:line="400" w:lineRule="exact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  <w:lang w:eastAsia="zh-CN"/>
              </w:rPr>
              <w:t>8个月</w:t>
            </w:r>
          </w:p>
        </w:tc>
      </w:tr>
      <w:tr w14:paraId="4B77287C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D0C37D">
            <w:pPr>
              <w:spacing w:before="0" w:after="0" w:line="400" w:lineRule="exact"/>
              <w:jc w:val="center"/>
              <w:rPr>
                <w:b w:val="0"/>
                <w:bCs/>
                <w:sz w:val="24"/>
                <w:szCs w:val="24"/>
                <w:lang w:eastAsia="zh-CN"/>
              </w:rPr>
            </w:pPr>
            <w:r>
              <w:rPr>
                <w:rFonts w:hint="eastAsia" w:ascii="黑体" w:hAnsi="黑体" w:eastAsia="黑体"/>
                <w:b w:val="0"/>
                <w:bCs/>
                <w:color w:val="000000"/>
                <w:sz w:val="24"/>
                <w:szCs w:val="24"/>
                <w:lang w:eastAsia="zh-CN"/>
              </w:rPr>
              <w:t>预计</w:t>
            </w:r>
            <w:r>
              <w:rPr>
                <w:rFonts w:ascii="黑体" w:hAnsi="黑体" w:eastAsia="黑体"/>
                <w:b w:val="0"/>
                <w:bCs/>
                <w:color w:val="000000"/>
                <w:sz w:val="24"/>
                <w:szCs w:val="24"/>
                <w:lang w:eastAsia="zh-CN"/>
              </w:rPr>
              <w:t>研发投入（万元）</w:t>
            </w:r>
          </w:p>
        </w:tc>
        <w:tc>
          <w:tcPr>
            <w:tcW w:w="6910" w:type="dxa"/>
            <w:gridSpan w:val="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E857A4">
            <w:pPr>
              <w:spacing w:before="0" w:after="0" w:line="400" w:lineRule="exact"/>
              <w:jc w:val="left"/>
              <w:rPr>
                <w:sz w:val="24"/>
                <w:szCs w:val="24"/>
                <w:lang w:eastAsia="zh-CN"/>
              </w:rPr>
            </w:pPr>
            <w:r>
              <w:rPr>
                <w:rFonts w:ascii="宋体" w:hAnsi="宋体"/>
                <w:sz w:val="20"/>
              </w:rPr>
              <w:t>80</w:t>
            </w:r>
          </w:p>
        </w:tc>
      </w:tr>
      <w:tr w14:paraId="34217E5E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27" w:hRule="atLeast"/>
        </w:trPr>
        <w:tc>
          <w:tcPr>
            <w:tcW w:w="19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590B44">
            <w:pPr>
              <w:spacing w:before="0" w:after="0" w:line="400" w:lineRule="exact"/>
              <w:jc w:val="center"/>
              <w:rPr>
                <w:b w:val="0"/>
                <w:bCs/>
                <w:sz w:val="24"/>
                <w:szCs w:val="24"/>
                <w:lang w:eastAsia="zh-CN"/>
              </w:rPr>
            </w:pPr>
            <w:r>
              <w:rPr>
                <w:rFonts w:ascii="黑体" w:hAnsi="黑体" w:eastAsia="黑体"/>
                <w:b w:val="0"/>
                <w:bCs/>
                <w:color w:val="000000"/>
                <w:sz w:val="24"/>
                <w:szCs w:val="24"/>
                <w:lang w:eastAsia="zh-CN"/>
              </w:rPr>
              <w:t>攻关成果潜在的应用单位及联系方式（3家以上）</w:t>
            </w:r>
          </w:p>
        </w:tc>
        <w:tc>
          <w:tcPr>
            <w:tcW w:w="6910" w:type="dxa"/>
            <w:gridSpan w:val="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0B4F85">
            <w:pPr>
              <w:spacing w:before="0" w:after="0" w:line="400" w:lineRule="exact"/>
              <w:jc w:val="left"/>
              <w:rPr>
                <w:sz w:val="24"/>
                <w:szCs w:val="24"/>
                <w:lang w:eastAsia="zh-CN"/>
              </w:rPr>
            </w:pPr>
            <w:r>
              <w:rPr>
                <w:sz w:val="24"/>
              </w:rPr>
              <w:t>1. 浙江法拉迪电气有限公司    联系人：（待填）    联系方式：（待填）</w:t>
            </w:r>
            <w:r>
              <w:rPr>
                <w:sz w:val="24"/>
              </w:rPr>
              <w:br w:type="textWrapping"/>
            </w:r>
            <w:r>
              <w:rPr>
                <w:sz w:val="24"/>
              </w:rPr>
              <w:t>2. 浙江电力变压器有限公司    联系人：（待填）    联系方式：0577-56698777</w:t>
            </w:r>
            <w:r>
              <w:rPr>
                <w:sz w:val="24"/>
              </w:rPr>
              <w:br w:type="textWrapping"/>
            </w:r>
            <w:r>
              <w:rPr>
                <w:sz w:val="24"/>
              </w:rPr>
              <w:t>3. 红旗集团温州变压器有限公司    联系人：（待填）    联系方式：0577-27813888</w:t>
            </w:r>
            <w:r>
              <w:rPr>
                <w:sz w:val="24"/>
              </w:rPr>
              <w:br w:type="textWrapping"/>
            </w:r>
            <w:r>
              <w:rPr>
                <w:sz w:val="24"/>
              </w:rPr>
              <w:t>4. 浙江奔达变压器有限公司    联系人：（待填）    联系方式：（待填）</w:t>
            </w:r>
          </w:p>
          <w:p w14:paraId="0A15151D">
            <w:pPr>
              <w:spacing w:before="0" w:after="0" w:line="400" w:lineRule="exact"/>
              <w:jc w:val="left"/>
              <w:rPr>
                <w:sz w:val="24"/>
                <w:szCs w:val="24"/>
                <w:lang w:eastAsia="zh-CN"/>
              </w:rPr>
            </w:pPr>
          </w:p>
          <w:p w14:paraId="2FBA7B77">
            <w:pPr>
              <w:spacing w:before="0" w:after="0" w:line="400" w:lineRule="exact"/>
              <w:jc w:val="left"/>
              <w:rPr>
                <w:sz w:val="24"/>
                <w:szCs w:val="24"/>
                <w:lang w:eastAsia="zh-CN"/>
              </w:rPr>
            </w:pPr>
          </w:p>
          <w:p w14:paraId="1D57664D">
            <w:pPr>
              <w:spacing w:before="0" w:after="0" w:line="400" w:lineRule="exact"/>
              <w:jc w:val="left"/>
              <w:rPr>
                <w:sz w:val="24"/>
                <w:szCs w:val="24"/>
                <w:lang w:eastAsia="zh-CN"/>
              </w:rPr>
            </w:pPr>
          </w:p>
          <w:p w14:paraId="703627DF">
            <w:pPr>
              <w:spacing w:before="0" w:after="0" w:line="400" w:lineRule="exact"/>
              <w:jc w:val="left"/>
              <w:rPr>
                <w:sz w:val="24"/>
                <w:szCs w:val="24"/>
                <w:lang w:eastAsia="zh-CN"/>
              </w:rPr>
            </w:pPr>
          </w:p>
          <w:p w14:paraId="341210F6">
            <w:pPr>
              <w:spacing w:before="0" w:after="0" w:line="400" w:lineRule="exact"/>
              <w:jc w:val="left"/>
              <w:rPr>
                <w:sz w:val="24"/>
                <w:szCs w:val="24"/>
                <w:lang w:eastAsia="zh-CN"/>
              </w:rPr>
            </w:pPr>
          </w:p>
        </w:tc>
      </w:tr>
    </w:tbl>
    <w:p w14:paraId="72CE810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50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方正大标宋_GBK">
    <w:panose1 w:val="02000000000000000000"/>
    <w:charset w:val="86"/>
    <w:family w:val="auto"/>
    <w:pitch w:val="default"/>
    <w:sig w:usb0="A00002BF" w:usb1="08CF7CFA" w:usb2="00000000" w:usb3="00000000" w:csb0="00040001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WPSEMBED2">
    <w:panose1 w:val="02000000000000000000"/>
    <w:charset w:val="86"/>
    <w:family w:val="auto"/>
    <w:pitch w:val="default"/>
    <w:sig w:usb0="A00002BF" w:usb1="08CF7CFA" w:usb2="00000000" w:usb3="00000000" w:csb0="00040001" w:csb1="00000000"/>
  </w:font>
  <w:font w:name="WPSEMBED1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WPSEMBED3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EFE221A"/>
    <w:rsid w:val="72A71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0" w:line="570" w:lineRule="exact"/>
    </w:pPr>
    <w:rPr>
      <w:rFonts w:ascii="仿宋_GB2312" w:hAnsi="仿宋_GB2312" w:eastAsia="仿宋_GB2312" w:cstheme="minorBidi"/>
      <w:color w:val="000000"/>
      <w:sz w:val="32"/>
      <w:szCs w:val="22"/>
      <w:lang w:val="en-US" w:eastAsia="en-US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Grid Table Light"/>
    <w:basedOn w:val="2"/>
    <w:qFormat/>
    <w:uiPriority w:val="99"/>
    <w:pPr>
      <w:spacing w:after="0" w:line="240" w:lineRule="auto"/>
    </w:pPr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938</Words>
  <Characters>1171</Characters>
  <Lines>0</Lines>
  <Paragraphs>0</Paragraphs>
  <TotalTime>1</TotalTime>
  <ScaleCrop>false</ScaleCrop>
  <LinksUpToDate>false</LinksUpToDate>
  <CharactersWithSpaces>1220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2026-06-12T07:41:00Z</dcterms:created>
  <dc:creator>44810</dc:creator>
  <cp:lastModifiedBy>陈科明</cp:lastModifiedBy>
  <dcterms:modified xsi:type="dcterms:W3CDTF">2026-06-22T23:15:24Z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eyJoZGlkIjoiNDI5N2Y0OTFiMTYzYzg3MjFmYzM4OGQyYWI5OWE0ODkiLCJ1c2VySWQiOiIxNDU2NzcxNTU4In0=</vt:lpwstr>
  </property>
  <property fmtid="{D5CDD505-2E9C-101B-9397-08002B2CF9AE}" pid="4" name="ICV">
    <vt:lpwstr>1F023FC050974FDC9AFF2245C32D6DE6_12</vt:lpwstr>
  </property>
</Properties>
</file>