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arandusettepanekud"/>
    <w:p>
      <w:pPr>
        <w:pStyle w:val="Heading1"/>
      </w:pPr>
      <w:r>
        <w:t xml:space="preserve">Parandusettepanekud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Sten Viljus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Ettevõte</w:t>
            </w:r>
          </w:p>
        </w:tc>
        <w:tc>
          <w:tcPr/>
          <w:p>
            <w:pPr>
              <w:pStyle w:val="Compact"/>
            </w:pPr>
            <w:r>
              <w:t xml:space="preserve">Askend Estonia OÜ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Kontakt</w:t>
            </w:r>
          </w:p>
        </w:tc>
        <w:tc>
          <w:tcPr/>
          <w:p>
            <w:pPr>
              <w:pStyle w:val="Compact"/>
            </w:pPr>
            <w:r>
              <w:t xml:space="preserve">sten.viljus@askend.com</w:t>
            </w:r>
          </w:p>
        </w:tc>
      </w:tr>
    </w:tbl>
    <w:p>
      <w:pPr>
        <w:pStyle w:val="BodyText"/>
      </w:pPr>
      <w:r>
        <w:t xml:space="preserve">Koondatud kõigist analüüsidokumentidest:</w:t>
      </w:r>
      <w:r>
        <w:t xml:space="preserve"> </w:t>
      </w:r>
      <w:hyperlink r:id="rId9">
        <w:r>
          <w:rPr>
            <w:rStyle w:val="Hyperlink"/>
          </w:rPr>
          <w:t xml:space="preserve">Koodianalüüs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Skaleeritavuse analüüs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Paigaldamise juhend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Vigade ja logimise spetsifikatsioon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Õiguste ja ligipääsuhalduse dokument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turvalisus"/>
    <w:p>
      <w:pPr>
        <w:pStyle w:val="Heading2"/>
      </w:pPr>
      <w:r>
        <w:t xml:space="preserve">1. Turvalisus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2124"/>
        <w:gridCol w:w="2318"/>
        <w:gridCol w:w="1159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Allikas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TARA autentimine</w:t>
            </w:r>
            <w:r>
              <w:t xml:space="preserve"> </w:t>
            </w:r>
            <w:r>
              <w:t xml:space="preserve">— Admin UI Basic Auth asendada TARA (riiklik autentimisteenus) autentimisega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~5-8 päeva</w:t>
            </w:r>
          </w:p>
        </w:tc>
        <w:tc>
          <w:tcPr/>
          <w:p>
            <w:pPr>
              <w:pStyle w:val="Compact"/>
            </w:pPr>
            <w:r>
              <w:t xml:space="preserve">koodianalüüs 5.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Kasutajanimega sisselogimise keelamine</w:t>
            </w:r>
            <w:r>
              <w:t xml:space="preserve"> </w:t>
            </w:r>
            <w:r>
              <w:t xml:space="preserve">— tootmises lubada ainult TARA, keelata Basic Auth parooliga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 päev (koos 1.1-ga)</w:t>
            </w:r>
          </w:p>
        </w:tc>
        <w:tc>
          <w:tcPr/>
          <w:p>
            <w:pPr>
              <w:pStyle w:val="Compact"/>
            </w:pPr>
            <w:r>
              <w:t xml:space="preserve">koodianalüüs 5.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 adapter turvalisus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asendada korraliku autentimisega (mTLS või allkirjastatud tokenid)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~3-5 päeva</w:t>
            </w:r>
          </w:p>
        </w:tc>
        <w:tc>
          <w:tcPr/>
          <w:p>
            <w:pPr>
              <w:pStyle w:val="Compact"/>
            </w:pPr>
            <w:r>
              <w:t xml:space="preserve">koodianalüüs 5.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Saladuste haldus</w:t>
            </w:r>
            <w:r>
              <w:t xml:space="preserve"> </w:t>
            </w:r>
            <w:r>
              <w:t xml:space="preserve">— .env failidest turvalisse hoidlasse (Kubernetes Secrets / AWS Secrets Manager)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koodianalüüs 5. ptk, skaleeritavuse 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Bearer Auth standardiseerimine</w:t>
            </w:r>
            <w:r>
              <w:t xml:space="preserve"> </w:t>
            </w:r>
            <w:r>
              <w:t xml:space="preserve">— praegune</w:t>
            </w:r>
            <w:r>
              <w:t xml:space="preserve"> </w:t>
            </w:r>
            <w:r>
              <w:rPr>
                <w:rStyle w:val="VerbatimChar"/>
              </w:rPr>
              <w:t xml:space="preserve">base64(id:password)</w:t>
            </w:r>
            <w:r>
              <w:t xml:space="preserve"> </w:t>
            </w:r>
            <w:r>
              <w:t xml:space="preserve">formaat asendada JWT tokenite või opaque API key’dega. Mittestandardne formaat võib tekitada probleeme kolmandate osapoolte integratsioonidel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~3-5 päeva</w:t>
            </w:r>
          </w:p>
        </w:tc>
        <w:tc>
          <w:tcPr/>
          <w:p>
            <w:pPr>
              <w:pStyle w:val="Compact"/>
            </w:pPr>
            <w:r>
              <w:t xml:space="preserve">koodianalüüs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Sertifikaadid välja image’ist</w:t>
            </w:r>
            <w:r>
              <w:t xml:space="preserve"> </w:t>
            </w:r>
            <w:r>
              <w:t xml:space="preserve">— laadida runtime’il (mounted volumes, Secrets Manager), mitte ehitada image’i sisse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koodianalüüs 8.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  <w:r>
              <w:t xml:space="preserve"> </w:t>
            </w:r>
            <w:r>
              <w:t xml:space="preserve">— implementeerida reverse proxy / ingress tasemel (Caddy</w:t>
            </w:r>
            <w:r>
              <w:t xml:space="preserve"> </w:t>
            </w:r>
            <w:r>
              <w:rPr>
                <w:rStyle w:val="VerbatimChar"/>
              </w:rPr>
              <w:t xml:space="preserve">rate_limit</w:t>
            </w:r>
            <w:r>
              <w:t xml:space="preserve">, nginx-ingress annotatsioonid)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koodianalüüs 5.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Ühtne veavorming</w:t>
            </w:r>
            <w:r>
              <w:t xml:space="preserve"> </w:t>
            </w:r>
            <w:r>
              <w:t xml:space="preserve">— REST API vead tulevad praegu plain text’ina, puudub request ID ja veakood vastuses. Standardne JSON veavorming (</w:t>
            </w:r>
            <w:r>
              <w:rPr>
                <w:rStyle w:val="VerbatimChar"/>
              </w:rPr>
              <w:t xml:space="preserve">{status, error, message, requestId, timestamp}</w:t>
            </w:r>
            <w:r>
              <w:t xml:space="preserve">) lihtsustab klientpoolset veakäsitlust. Lisaks: XML API-s tuleb otsustada plain text vs XML veaformaat (TODO koodis:</w:t>
            </w:r>
            <w:r>
              <w:t xml:space="preserve"> </w:t>
            </w:r>
            <w:r>
              <w:rPr>
                <w:rStyle w:val="VerbatimChar"/>
              </w:rPr>
              <w:t xml:space="preserve">EftiService.checkGateAvailable()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vigade ja logimise spets., TODO koodis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Auditi logimine</w:t>
            </w:r>
            <w:r>
              <w:t xml:space="preserve"> </w:t>
            </w:r>
            <w:r>
              <w:t xml:space="preserve">— logida edukad sisselogimised, admin tegevused, andmetele ligipääs (GDPR)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~1 päev</w:t>
            </w:r>
          </w:p>
        </w:tc>
        <w:tc>
          <w:tcPr/>
          <w:p>
            <w:pPr>
              <w:pStyle w:val="Compact"/>
            </w:pPr>
            <w:r>
              <w:t xml:space="preserve">logimise 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checkWriteAccess rolli tüübikontroll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User.checkWriteAccess()</w:t>
            </w:r>
            <w:r>
              <w:t xml:space="preserve"> </w:t>
            </w:r>
            <w:r>
              <w:t xml:space="preserve">kontrollib ainult Party ID olemasolu</w:t>
            </w:r>
            <w:r>
              <w:t xml:space="preserve"> </w:t>
            </w:r>
            <w:r>
              <w:rPr>
                <w:rStyle w:val="VerbatimChar"/>
              </w:rPr>
              <w:t xml:space="preserve">roles.values.flatten()</w:t>
            </w:r>
            <w:r>
              <w:t xml:space="preserve">-s, aga ei kontrolli rolli tüüpi. Teoreetiliselt saab GATE rolliga kasutaja kirjutada Platform ressursile, kui Party ID juhuslikult kattub. Koodis on TODO märkus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õiguste ja ligipääsuhalduse dok.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Bearer token’i aegumine</w:t>
            </w:r>
            <w:r>
              <w:t xml:space="preserve"> </w:t>
            </w:r>
            <w:r>
              <w:t xml:space="preserve">— praegusel Bearer Auth’il puudub token’i aegumine ja revoke mehhanism. Kompromiteeritud token kehtib igavesti kuni parooli vahetatakse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õiguste ja ligipääsuhalduse dok.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ogimine-ja-jälgitavus"/>
    <w:p>
      <w:pPr>
        <w:pStyle w:val="Heading2"/>
      </w:pPr>
      <w:r>
        <w:t xml:space="preserve">2. Logimine ja jälgitavus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2124"/>
        <w:gridCol w:w="2318"/>
        <w:gridCol w:w="1159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Allikas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GateClient väljaminevate päringute logimine</w:t>
            </w:r>
            <w:r>
              <w:t xml:space="preserve"> </w:t>
            </w:r>
            <w:r>
              <w:t xml:space="preserve">— logida gate ID, protokoll (Fast/eDelivery), sihtpunkt, tulemus, kestus. Meetodid:</w:t>
            </w:r>
            <w:r>
              <w:t xml:space="preserve"> </w:t>
            </w:r>
            <w:r>
              <w:rPr>
                <w:rStyle w:val="VerbatimChar"/>
              </w:rPr>
              <w:t xml:space="preserve">sendAndReceive()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getIdentifiers()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getDataset()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postFollowUp()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ping()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logimise 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EDeliveryClient väljaminevate päringute logimine</w:t>
            </w:r>
            <w:r>
              <w:t xml:space="preserve"> </w:t>
            </w:r>
            <w:r>
              <w:t xml:space="preserve">— logida sihtpunkt, saaja Party ID, request ID, vastuse staatuskood, kestus. Meetodid:</w:t>
            </w:r>
            <w:r>
              <w:t xml:space="preserve"> </w:t>
            </w:r>
            <w:r>
              <w:rPr>
                <w:rStyle w:val="VerbatimChar"/>
              </w:rPr>
              <w:t xml:space="preserve">send()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sendAndReceive()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ping()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 päev</w:t>
            </w:r>
          </w:p>
        </w:tc>
        <w:tc>
          <w:tcPr/>
          <w:p>
            <w:pPr>
              <w:pStyle w:val="Compact"/>
            </w:pPr>
            <w:r>
              <w:t xml:space="preserve">logimise 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ID propageerimine</w:t>
            </w:r>
            <w:r>
              <w:t xml:space="preserve"> </w:t>
            </w:r>
            <w:r>
              <w:t xml:space="preserve">— SLF4J MDC mehhanism, et kõik logisõnumid oleks korreleeritavad ühe päringu piires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logimise 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EftiService äriloogika logimine</w:t>
            </w:r>
            <w:r>
              <w:t xml:space="preserve"> </w:t>
            </w:r>
            <w:r>
              <w:t xml:space="preserve">— logida routing otsused (lokaalne vs remote), broadcast algus/tulemus, salvestatud identifikaatorite arv, follow-up suunamine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logimise 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Struktureeritud logimine (JSON + ECS)</w:t>
            </w:r>
            <w:r>
              <w:t xml:space="preserve"> </w:t>
            </w:r>
            <w:r>
              <w:t xml:space="preserve">— lisada</w:t>
            </w:r>
            <w:r>
              <w:t xml:space="preserve"> </w:t>
            </w:r>
            <w:r>
              <w:rPr>
                <w:rStyle w:val="VerbatimChar"/>
              </w:rPr>
              <w:t xml:space="preserve">logback-classic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logstash-logback-encoder</w:t>
            </w:r>
            <w:r>
              <w:t xml:space="preserve">, JSON formaat ECS standardis tootmiskeskkonnas (env muutujaga lülitatav). Kohustuslikud väljad:</w:t>
            </w:r>
            <w:r>
              <w:t xml:space="preserve"> </w:t>
            </w:r>
            <w:r>
              <w:rPr>
                <w:rStyle w:val="VerbatimChar"/>
              </w:rPr>
              <w:t xml:space="preserve">@timestamp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log.level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trace.id</w:t>
            </w:r>
            <w:r>
              <w:t xml:space="preserve"> </w:t>
            </w:r>
            <w:r>
              <w:t xml:space="preserve">(requestId),</w:t>
            </w:r>
            <w:r>
              <w:t xml:space="preserve"> </w:t>
            </w:r>
            <w:r>
              <w:rPr>
                <w:rStyle w:val="VerbatimChar"/>
              </w:rPr>
              <w:t xml:space="preserve">service.name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url.path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client.ip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http.response.status_code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event.duration</w:t>
            </w:r>
            <w:r>
              <w:t xml:space="preserve">. Vt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Vigade ja logimise spetsifikatsioon</w:t>
              </w:r>
            </w:hyperlink>
            <w:r>
              <w:t xml:space="preserve"> </w:t>
            </w:r>
            <w:r>
              <w:t xml:space="preserve">ptk 4.1b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logimise analüüs, KeMIT MFN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PlatformClient eDelivery variandi logimine</w:t>
            </w:r>
            <w:r>
              <w:t xml:space="preserve"> </w:t>
            </w:r>
            <w:r>
              <w:t xml:space="preserve">— praegu logib ainult REST varianti, eDelivery delegeerib ilma logimiseta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logimise 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Autoriseerimise keeldumiste logimine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AccessChecker</w:t>
            </w:r>
            <w:r>
              <w:t xml:space="preserve"> </w:t>
            </w:r>
            <w:r>
              <w:t xml:space="preserve">ja</w:t>
            </w:r>
            <w:r>
              <w:t xml:space="preserve"> </w:t>
            </w:r>
            <w:r>
              <w:rPr>
                <w:rStyle w:val="VerbatimChar"/>
              </w:rPr>
              <w:t xml:space="preserve">User.checkWriteAccess()</w:t>
            </w:r>
            <w:r>
              <w:t xml:space="preserve"> </w:t>
            </w:r>
            <w:r>
              <w:t xml:space="preserve">peavad logima keeldumised enne</w:t>
            </w:r>
            <w:r>
              <w:t xml:space="preserve"> </w:t>
            </w:r>
            <w:r>
              <w:rPr>
                <w:rStyle w:val="VerbatimChar"/>
              </w:rPr>
              <w:t xml:space="preserve">ForbiddenException</w:t>
            </w:r>
            <w:r>
              <w:t xml:space="preserve"> </w:t>
            </w:r>
            <w:r>
              <w:t xml:space="preserve">viskamist. Praegu keeldumised ei ole logides nähtavad — turvaintsidendid jäävad märkamatuks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vigade ja logimise spets.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kaleeritavus"/>
    <w:p>
      <w:pPr>
        <w:pStyle w:val="Heading2"/>
      </w:pPr>
      <w:r>
        <w:t xml:space="preserve">3. Skaleeritavus</w:t>
      </w:r>
    </w:p>
    <w:p>
      <w:pPr>
        <w:pStyle w:val="FirstParagraph"/>
      </w:pPr>
      <w:r>
        <w:t xml:space="preserve">Siia on koondatud ainult</w:t>
      </w:r>
      <w:r>
        <w:t xml:space="preserve"> </w:t>
      </w:r>
      <w:r>
        <w:rPr>
          <w:b/>
          <w:bCs/>
        </w:rPr>
        <w:t xml:space="preserve">tarkvaralised (koodi)muudatused</w:t>
      </w:r>
      <w:r>
        <w:t xml:space="preserve">. Infrastruktuuri ja platvormimuudatused (AWS ECS/RDS/ElastiCache, Kubernetes operaatorid, load balancer’id, CDN jms) on teadlikult välja jäetud — need sõltuvad valitud platvormi variandist ja on detailselt kirjeldatud</w:t>
      </w:r>
      <w:r>
        <w:t xml:space="preserve"> </w:t>
      </w:r>
      <w:hyperlink r:id="rId10">
        <w:r>
          <w:rPr>
            <w:rStyle w:val="Hyperlink"/>
          </w:rPr>
          <w:t xml:space="preserve">Skaleeritavuse analüüsis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2124"/>
        <w:gridCol w:w="2318"/>
        <w:gridCol w:w="1159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Allikas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 sünkroonimine</w:t>
            </w:r>
            <w:r>
              <w:t xml:space="preserve"> </w:t>
            </w:r>
            <w:r>
              <w:t xml:space="preserve">— PostgreSQL</w:t>
            </w:r>
            <w:r>
              <w:t xml:space="preserve"> </w:t>
            </w:r>
            <w:r>
              <w:rPr>
                <w:rStyle w:val="VerbatimChar"/>
              </w:rPr>
              <w:t xml:space="preserve">LISTEN/NOTIFY</w:t>
            </w:r>
            <w:r>
              <w:t xml:space="preserve"> </w:t>
            </w:r>
            <w:r>
              <w:t xml:space="preserve">mehhanism, et in-memory registry muudatused jõuaksid kõigi node’ideni. Praegu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  <w:r>
              <w:t xml:space="preserve"> </w:t>
            </w:r>
            <w:r>
              <w:t xml:space="preserve">ja</w:t>
            </w:r>
            <w:r>
              <w:t xml:space="preserve"> </w:t>
            </w:r>
            <w:r>
              <w:rPr>
                <w:rStyle w:val="VerbatimChar"/>
              </w:rPr>
              <w:t xml:space="preserve">delete()</w:t>
            </w:r>
            <w:r>
              <w:t xml:space="preserve"> </w:t>
            </w:r>
            <w:r>
              <w:t xml:space="preserve">uuendavad ainult lokaalset</w:t>
            </w:r>
            <w:r>
              <w:t xml:space="preserve"> </w:t>
            </w:r>
            <w:r>
              <w:rPr>
                <w:rStyle w:val="VerbatimChar"/>
              </w:rPr>
              <w:t xml:space="preserve">ConcurrentHashMap</w:t>
            </w:r>
            <w:r>
              <w:t xml:space="preserve">’i</w:t>
            </w:r>
          </w:p>
        </w:tc>
        <w:tc>
          <w:tcPr/>
          <w:p>
            <w:pPr>
              <w:pStyle w:val="Compact"/>
            </w:pPr>
            <w:r>
              <w:t xml:space="preserve">KRIITILINE</w:t>
            </w:r>
          </w:p>
        </w:tc>
        <w:tc>
          <w:tcPr/>
          <w:p>
            <w:pPr>
              <w:pStyle w:val="Compact"/>
            </w:pPr>
            <w:r>
              <w:t xml:space="preserve">~3-5 päeva</w:t>
            </w:r>
          </w:p>
        </w:tc>
        <w:tc>
          <w:tcPr/>
          <w:p>
            <w:pPr>
              <w:pStyle w:val="Compact"/>
            </w:pPr>
            <w:r>
              <w:t xml:space="preserve">skaleeritavuse analüüs etapp 1.1, koodianalüüs 6.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ID cache Redis’esse</w:t>
            </w:r>
            <w:r>
              <w:t xml:space="preserve"> </w:t>
            </w:r>
            <w:r>
              <w:t xml:space="preserve">— duplikaatide kontroll jagatud cache’is, mitte node’i-siseses</w:t>
            </w:r>
            <w:r>
              <w:t xml:space="preserve"> </w:t>
            </w:r>
            <w:r>
              <w:rPr>
                <w:rStyle w:val="VerbatimChar"/>
              </w:rPr>
              <w:t xml:space="preserve">Cache</w:t>
            </w:r>
            <w:r>
              <w:t xml:space="preserve">’is</w:t>
            </w:r>
          </w:p>
        </w:tc>
        <w:tc>
          <w:tcPr/>
          <w:p>
            <w:pPr>
              <w:pStyle w:val="Compact"/>
            </w:pPr>
            <w:r>
              <w:t xml:space="preserve">KRIITILINE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skaleeritavuse analüüs etapp 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auth state jagamine</w:t>
            </w:r>
            <w:r>
              <w:t xml:space="preserve"> </w:t>
            </w:r>
            <w:r>
              <w:t xml:space="preserve">— IP-põhine olek Redis’esse või DB-sse</w:t>
            </w:r>
          </w:p>
        </w:tc>
        <w:tc>
          <w:tcPr/>
          <w:p>
            <w:pPr>
              <w:pStyle w:val="Compact"/>
            </w:pPr>
            <w:r>
              <w:t xml:space="preserve">KRIITILINE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skaleeritavuse analüüs etapp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Leader election tausttöödele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GatePingJob</w:t>
            </w:r>
            <w:r>
              <w:t xml:space="preserve"> </w:t>
            </w:r>
            <w:r>
              <w:t xml:space="preserve">ja</w:t>
            </w:r>
            <w:r>
              <w:t xml:space="preserve"> </w:t>
            </w:r>
            <w:r>
              <w:rPr>
                <w:rStyle w:val="VerbatimChar"/>
              </w:rPr>
              <w:t xml:space="preserve">IdentifierExpirationJob</w:t>
            </w:r>
            <w:r>
              <w:t xml:space="preserve"> </w:t>
            </w:r>
            <w:r>
              <w:t xml:space="preserve">ainult ühel node’il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skaleeritavuse analüüs etapp 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Migratsiooni lukk</w:t>
            </w:r>
            <w:r>
              <w:t xml:space="preserve"> </w:t>
            </w:r>
            <w:r>
              <w:t xml:space="preserve">— DB migratsioonide race condition mitme node’iga käivitumisel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 päev</w:t>
            </w:r>
          </w:p>
        </w:tc>
        <w:tc>
          <w:tcPr/>
          <w:p>
            <w:pPr>
              <w:pStyle w:val="Compact"/>
            </w:pPr>
            <w:r>
              <w:t xml:space="preserve">skaleeritavuse analüüs etapp 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Saladuste haldus (koodipool)</w:t>
            </w:r>
            <w:r>
              <w:t xml:space="preserve"> </w:t>
            </w:r>
            <w:r>
              <w:t xml:space="preserve">— abstraktsioonikiht, et toetada nii env vars, Secrets Manager kui K8s Secrets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skaleeritavuse analüüs etapp 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Sertifikaadid (koodipool)</w:t>
            </w:r>
            <w:r>
              <w:t xml:space="preserve"> </w:t>
            </w:r>
            <w:r>
              <w:t xml:space="preserve">— failisüsteemi asemel laadida mitmest allikast (K8s Secret mount, Secrets Manager)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skaleeritavuse analüüs etapp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check’id</w:t>
            </w:r>
            <w:r>
              <w:t xml:space="preserve"> </w:t>
            </w:r>
            <w:r>
              <w:t xml:space="preserve">— laiendada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endpoint’i (DB ühendus, sertifikaatide kehtivus, vaba mälu)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skaleeritavuse analüüs etapp 4.3</w:t>
            </w:r>
          </w:p>
        </w:tc>
      </w:tr>
    </w:tbl>
    <w:p>
      <w:pPr>
        <w:pStyle w:val="BodyText"/>
      </w:pPr>
      <w:r>
        <w:t xml:space="preserve">Detailne plaan (sh AWS ja Kubernetes infrastruktuuri variandid) vt</w:t>
      </w:r>
      <w:r>
        <w:t xml:space="preserve"> </w:t>
      </w:r>
      <w:hyperlink r:id="rId10">
        <w:r>
          <w:rPr>
            <w:rStyle w:val="Hyperlink"/>
          </w:rPr>
          <w:t xml:space="preserve">Skaleeritavuse analüüs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liidesed-ja-integratsioonid"/>
    <w:p>
      <w:pPr>
        <w:pStyle w:val="Heading2"/>
      </w:pPr>
      <w:r>
        <w:t xml:space="preserve">4. Liidesed ja integratsioonid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2124"/>
        <w:gridCol w:w="2318"/>
        <w:gridCol w:w="1159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Allikas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X-tee liidesed</w:t>
            </w:r>
            <w:r>
              <w:t xml:space="preserve"> </w:t>
            </w:r>
            <w:r>
              <w:t xml:space="preserve">— implementeerida X-tee liidesed asutuste ja platvormidega suhtlemiseks (Eesti riiklik andmevahetuskiht)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~10-15 päeva</w:t>
            </w:r>
          </w:p>
        </w:tc>
        <w:tc>
          <w:tcPr/>
          <w:p>
            <w:pPr>
              <w:pStyle w:val="Compact"/>
            </w:pPr>
            <w:r>
              <w:t xml:space="preserve">koodianalüüs 5. ptk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icd-ja-paigaldus"/>
    <w:p>
      <w:pPr>
        <w:pStyle w:val="Heading2"/>
      </w:pPr>
      <w:r>
        <w:t xml:space="preserve">5. CI/CD ja paigaldus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2124"/>
        <w:gridCol w:w="2318"/>
        <w:gridCol w:w="1159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Allikas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Registry</w:t>
            </w:r>
            <w:r>
              <w:t xml:space="preserve"> </w:t>
            </w:r>
            <w:r>
              <w:t xml:space="preserve">— kasutada ghcr.io või AWS ECR. Image’d tagida Git commit hash’iga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koodianalüüs 8.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Automaatne deploy</w:t>
            </w:r>
            <w:r>
              <w:t xml:space="preserve"> </w:t>
            </w:r>
            <w:r>
              <w:t xml:space="preserve">— GitHub Actions workflow: test → build → push → deploy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koodianalüüs 8.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 mehhanism</w:t>
            </w:r>
            <w:r>
              <w:t xml:space="preserve"> </w:t>
            </w:r>
            <w:r>
              <w:t xml:space="preserve">— eelmise versiooni taastamine (tagide kaudu registrist)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 päev</w:t>
            </w:r>
          </w:p>
        </w:tc>
        <w:tc>
          <w:tcPr/>
          <w:p>
            <w:pPr>
              <w:pStyle w:val="Compact"/>
            </w:pPr>
            <w:r>
              <w:t xml:space="preserve">koodianalüüs 8.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 keskkond</w:t>
            </w:r>
            <w:r>
              <w:t xml:space="preserve"> </w:t>
            </w:r>
            <w:r>
              <w:t xml:space="preserve">— eraldi VPS/namespace samade compose failidega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koodianalüüs 8.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Zero-downtime deploy</w:t>
            </w:r>
            <w:r>
              <w:t xml:space="preserve"> </w:t>
            </w:r>
            <w:r>
              <w:t xml:space="preserve">— Docker Compose’iga raske, Kubernetes’es natiivne (rolling update)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koodianalüüs 8.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Versioonimine</w:t>
            </w:r>
            <w:r>
              <w:t xml:space="preserve"> </w:t>
            </w:r>
            <w:r>
              <w:t xml:space="preserve">— semantiline versioonimine + changelog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koodianalüüs 8. ptk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jõudlus-ja-koodikvaliteet"/>
    <w:p>
      <w:pPr>
        <w:pStyle w:val="Heading2"/>
      </w:pPr>
      <w:r>
        <w:t xml:space="preserve">6. Jõudlus ja koodikvaliteet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2124"/>
        <w:gridCol w:w="2318"/>
        <w:gridCol w:w="1159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Allikas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XSD versioonimine</w:t>
            </w:r>
            <w:r>
              <w:t xml:space="preserve"> </w:t>
            </w:r>
            <w:r>
              <w:t xml:space="preserve">— formaalne versioonistrateegia XSD failidele, et tagada sujuv üleminek eFTI common dataset model’i uuendustel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koodianalüüs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 → StAX</w:t>
            </w:r>
            <w:r>
              <w:t xml:space="preserve"> </w:t>
            </w:r>
            <w:r>
              <w:t xml:space="preserve">— eDelivery sõnumite parsimine ilma kogu dokumendi mällu laadimiseta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koodianalüüs 6.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JAXB optimiseerimine</w:t>
            </w:r>
            <w:r>
              <w:t xml:space="preserve"> </w:t>
            </w:r>
            <w:r>
              <w:t xml:space="preserve">— Unmarshaller pool’imine või StAX-põhine parsimine kõrge koormuse jaoks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koodianalüüs 6.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Regex caching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Regex(...)</w:t>
            </w:r>
            <w:r>
              <w:t xml:space="preserve"> </w:t>
            </w:r>
            <w:r>
              <w:rPr>
                <w:rStyle w:val="VerbatimChar"/>
              </w:rPr>
              <w:t xml:space="preserve">handleSaveIdentifiersRequest</w:t>
            </w:r>
            <w:r>
              <w:t xml:space="preserve">’is liigutada companion object väljale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~0.5h</w:t>
            </w:r>
          </w:p>
        </w:tc>
        <w:tc>
          <w:tcPr/>
          <w:p>
            <w:pPr>
              <w:pStyle w:val="Compact"/>
            </w:pPr>
            <w:r>
              <w:t xml:space="preserve">koodianalüüs 6.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Expiration SQL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IdentifierExpirationJob</w:t>
            </w:r>
            <w:r>
              <w:t xml:space="preserve"> </w:t>
            </w:r>
            <w:r>
              <w:t xml:space="preserve">filtreerimine DB-s, mitte Kotlin koodis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koodianalüüs 6.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StringBuilder XML’is</w:t>
            </w:r>
            <w:r>
              <w:t xml:space="preserve"> </w:t>
            </w:r>
            <w:r>
              <w:t xml:space="preserve">— suure tulemuste hulga XML ehitamisel kasutada StringBuilder’it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koodianalüüs 6.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XML kanoniseerimine (C14N)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Xml.kt</w:t>
            </w:r>
            <w:r>
              <w:t xml:space="preserve"> </w:t>
            </w:r>
            <w:r>
              <w:t xml:space="preserve">regex-põhine</w:t>
            </w:r>
            <w:r>
              <w:t xml:space="preserve"> </w:t>
            </w:r>
            <w:r>
              <w:rPr>
                <w:rStyle w:val="VerbatimChar"/>
              </w:rPr>
              <w:t xml:space="preserve">canonicalXml</w:t>
            </w:r>
            <w:r>
              <w:t xml:space="preserve"> </w:t>
            </w:r>
            <w:r>
              <w:t xml:space="preserve">on tegelikult whitespace normaliseerija oma string template’ide jaoks, mitte standardne C14N. Allkirjastamisel kasutatakse seda ainult SOAP ümbriku template’i puhastamiseks — digest’id arvutatakse konkreetsete blokkide pealt eraldi. Standardne C14N oleks formaalselt korrektsem, aga praktiline risk on madal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koodianalüüs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XSD valideerimine CI-s</w:t>
            </w:r>
            <w:r>
              <w:t xml:space="preserve"> </w:t>
            </w:r>
            <w:r>
              <w:t xml:space="preserve">— automaatne XML näidisfailide valideerimine XSD skeemide vastu CI pipeline’is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koodianalüüs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eDelivery koodi dokumenteerimine</w:t>
            </w:r>
            <w:r>
              <w:t xml:space="preserve"> </w:t>
            </w:r>
            <w:r>
              <w:t xml:space="preserve">— inline dokumentatsioon kohandatud eDelivery implementatsioonile, et hõlbustada tulevast hooldust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koodianalüüs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Identifier’ite cache</w:t>
            </w:r>
            <w:r>
              <w:t xml:space="preserve"> </w:t>
            </w:r>
            <w:r>
              <w:t xml:space="preserve">— Caffeine vms caching layer sageli päritud identifier’itele, et vähendada DB koormust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koodianalüüs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Tundmatu rootTag veakäsitlus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GateMessageHandler</w:t>
            </w:r>
            <w:r>
              <w:t xml:space="preserve"> </w:t>
            </w:r>
            <w:r>
              <w:t xml:space="preserve">ja</w:t>
            </w:r>
            <w:r>
              <w:t xml:space="preserve"> </w:t>
            </w:r>
            <w:r>
              <w:rPr>
                <w:rStyle w:val="VerbatimChar"/>
              </w:rPr>
              <w:t xml:space="preserve">PlatformMessageHandler</w:t>
            </w:r>
            <w:r>
              <w:t xml:space="preserve"> </w:t>
            </w:r>
            <w:r>
              <w:t xml:space="preserve">ignoreerivad vaikselt tundmatuid sõnumitüüpe. Tuleb tagastada veateade saatjale (TODO koodis mõlemas failis)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~0.5-1 päev</w:t>
            </w:r>
          </w:p>
        </w:tc>
        <w:tc>
          <w:tcPr/>
          <w:p>
            <w:pPr>
              <w:pStyle w:val="Compact"/>
            </w:pPr>
            <w:r>
              <w:t xml:space="preserve">TODO koodis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eDelivery CompressionType kontroll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EDeliveryRoutes.decryptPayload()</w:t>
            </w:r>
            <w:r>
              <w:t xml:space="preserve"> </w:t>
            </w:r>
            <w:r>
              <w:t xml:space="preserve">eeldab alati GZIP-pakkimist, aga peaks kontrollima sõnumi CompressionType välja (TODO koodis)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TODO koodis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Multi-platform kasutajate tugi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PlatformRoutes</w:t>
            </w:r>
            <w:r>
              <w:t xml:space="preserve"> </w:t>
            </w:r>
            <w:r>
              <w:t xml:space="preserve">ei luba kasutajal, kellel on mitu Platform rolli, identifikaatoreid saata. Tuleb võimaldada platformId määramine päringu parameetrina (TODO koodis)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TODO koodis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testimine"/>
    <w:p>
      <w:pPr>
        <w:pStyle w:val="Heading2"/>
      </w:pPr>
      <w:r>
        <w:t xml:space="preserve">7. Testimine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2124"/>
        <w:gridCol w:w="2318"/>
        <w:gridCol w:w="1159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Allikas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EftiService unit testid</w:t>
            </w:r>
            <w:r>
              <w:t xml:space="preserve"> </w:t>
            </w:r>
            <w:r>
              <w:t xml:space="preserve">— paralleelne broadcast, local vs remote routing, veakäsitlus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koodianalüüs 10.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PlatformClient unit testid</w:t>
            </w:r>
            <w:r>
              <w:t xml:space="preserve"> </w:t>
            </w:r>
            <w:r>
              <w:t xml:space="preserve">— eDelivery vs REST valik, subsetting, timeout käsitlus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koodianalüüs 10.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gate-to-gate test</w:t>
            </w:r>
            <w:r>
              <w:t xml:space="preserve"> </w:t>
            </w:r>
            <w:r>
              <w:t xml:space="preserve">— kahe instansi vaheline suhtlus (praegu käivitatakse, aga ei testita)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koodianalüüs 10.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Veakäsitluse testid</w:t>
            </w:r>
            <w:r>
              <w:t xml:space="preserve"> </w:t>
            </w:r>
            <w:r>
              <w:t xml:space="preserve">— timeout’id, DB ühenduse kaotus, vigane XML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koodianalüüs 10. ptk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Follow-up testid</w:t>
            </w:r>
            <w:r>
              <w:t xml:space="preserve"> </w:t>
            </w:r>
            <w:r>
              <w:t xml:space="preserve">— follow-up äriloogika testide laiendamine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~1 päev</w:t>
            </w:r>
          </w:p>
        </w:tc>
        <w:tc>
          <w:tcPr/>
          <w:p>
            <w:pPr>
              <w:pStyle w:val="Compact"/>
            </w:pPr>
            <w:r>
              <w:t xml:space="preserve">koodianalüüs 10. ptk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rontend-ui"/>
    <w:p>
      <w:pPr>
        <w:pStyle w:val="Heading2"/>
      </w:pPr>
      <w:r>
        <w:t xml:space="preserve">9. Frontend (UI)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2178"/>
        <w:gridCol w:w="2376"/>
        <w:gridCol w:w="11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Allikas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valideerimise parendamine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UserForm.svelte</w:t>
            </w:r>
            <w:r>
              <w:t xml:space="preserve"> </w:t>
            </w:r>
            <w:r>
              <w:t xml:space="preserve">ja</w:t>
            </w:r>
            <w:r>
              <w:t xml:space="preserve"> </w:t>
            </w:r>
            <w:r>
              <w:rPr>
                <w:rStyle w:val="VerbatimChar"/>
              </w:rPr>
              <w:t xml:space="preserve">PlatformForm.svelte</w:t>
            </w:r>
            <w:r>
              <w:t xml:space="preserve"> </w:t>
            </w:r>
            <w:r>
              <w:t xml:space="preserve">reaalajas valideerimine enne vormi saatmist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koodianalüüs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Svelte 5 migratsioon</w:t>
            </w:r>
            <w:r>
              <w:t xml:space="preserve"> </w:t>
            </w:r>
            <w:r>
              <w:t xml:space="preserve">— planeerimine Runes API-le (jõudluse ja arendajakogemuse parendus)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~3-5 päeva</w:t>
            </w:r>
          </w:p>
        </w:tc>
        <w:tc>
          <w:tcPr/>
          <w:p>
            <w:pPr>
              <w:pStyle w:val="Compact"/>
            </w:pPr>
            <w:r>
              <w:t xml:space="preserve">koodianalüüs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monitooring"/>
    <w:p>
      <w:pPr>
        <w:pStyle w:val="Heading2"/>
      </w:pPr>
      <w:r>
        <w:t xml:space="preserve">8. Monitooring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2124"/>
        <w:gridCol w:w="2318"/>
        <w:gridCol w:w="1159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Allikas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Tsentraalne logimine</w:t>
            </w:r>
            <w:r>
              <w:t xml:space="preserve"> </w:t>
            </w:r>
            <w:r>
              <w:t xml:space="preserve">— logikogumissüsteem (CloudWatch, Loki + Grafana, ELK)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~2-4 päeva</w:t>
            </w:r>
          </w:p>
        </w:tc>
        <w:tc>
          <w:tcPr/>
          <w:p>
            <w:pPr>
              <w:pStyle w:val="Compact"/>
            </w:pPr>
            <w:r>
              <w:t xml:space="preserve">skaleeritavuse 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Meetrikad ja dashboardid</w:t>
            </w:r>
            <w:r>
              <w:t xml:space="preserve"> </w:t>
            </w:r>
            <w:r>
              <w:t xml:space="preserve">— Prometheus + Grafana või CloudWatch (CPU, mälu, DB ühendused, eDelivery sõnumid)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~3-4 päeva</w:t>
            </w:r>
          </w:p>
        </w:tc>
        <w:tc>
          <w:tcPr/>
          <w:p>
            <w:pPr>
              <w:pStyle w:val="Compact"/>
            </w:pPr>
            <w:r>
              <w:t xml:space="preserve">skaleeritavuse analüüs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Alerting</w:t>
            </w:r>
            <w:r>
              <w:t xml:space="preserve"> </w:t>
            </w:r>
            <w:r>
              <w:t xml:space="preserve">— teavitused kriitiliste sündmuste korral (gate offline, DB ühenduse kaotus, kõrge vigade määr)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skaleeritavuse analüüs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koondkokkuvõte"/>
    <w:p>
      <w:pPr>
        <w:pStyle w:val="Heading2"/>
      </w:pPr>
      <w:r>
        <w:t xml:space="preserve">Koondkokkuvõte</w:t>
      </w:r>
    </w:p>
    <w:bookmarkStart w:id="23" w:name="prioriteetide-järgi"/>
    <w:p>
      <w:pPr>
        <w:pStyle w:val="Heading3"/>
      </w:pPr>
      <w:r>
        <w:t xml:space="preserve">Prioriteetide järgi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Arv</w:t>
            </w:r>
          </w:p>
        </w:tc>
        <w:tc>
          <w:tcPr/>
          <w:p>
            <w:pPr>
              <w:pStyle w:val="Compact"/>
            </w:pPr>
            <w:r>
              <w:t xml:space="preserve">Hinnanguline maht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KRIITILINE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~6-10 päeva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~32-51 päeva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~21-36 päeva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~12-19 päeva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Kokku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~71-116 päeva</w:t>
            </w:r>
          </w:p>
        </w:tc>
      </w:tr>
    </w:tbl>
    <w:bookmarkEnd w:id="23"/>
    <w:bookmarkStart w:id="24" w:name="teemade-järgi"/>
    <w:p>
      <w:pPr>
        <w:pStyle w:val="Heading3"/>
      </w:pPr>
      <w:r>
        <w:t xml:space="preserve">Teemade järgi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Teema</w:t>
            </w:r>
          </w:p>
        </w:tc>
        <w:tc>
          <w:tcPr/>
          <w:p>
            <w:pPr>
              <w:pStyle w:val="Compact"/>
            </w:pPr>
            <w:r>
              <w:t xml:space="preserve">Arv</w:t>
            </w:r>
          </w:p>
        </w:tc>
        <w:tc>
          <w:tcPr/>
          <w:p>
            <w:pPr>
              <w:pStyle w:val="Compact"/>
            </w:pPr>
            <w:r>
              <w:t xml:space="preserve">Hinnanguline maht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Turvalisus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~19-30 päeva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Logimine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~6-10 päeva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Skaleeritavus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~15-22 päeva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Liidesed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~10-15 päeva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~6-10 päeva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Jõudlus ja koodikvaliteet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~12-20 päeva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Testimine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~7-11 päeva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Monitooring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~6-10 päeva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~4-7 päeva</w:t>
            </w:r>
          </w:p>
        </w:tc>
      </w:tr>
    </w:tbl>
    <w:bookmarkEnd w:id="24"/>
    <w:bookmarkStart w:id="25" w:name="soovituslik-järjestus"/>
    <w:p>
      <w:pPr>
        <w:pStyle w:val="Heading3"/>
      </w:pPr>
      <w:r>
        <w:t xml:space="preserve">Soovituslik järjestus</w:t>
      </w:r>
    </w:p>
    <w:p>
      <w:pPr>
        <w:pStyle w:val="FirstParagraph"/>
      </w:pPr>
      <w:r>
        <w:rPr>
          <w:b/>
          <w:bCs/>
        </w:rPr>
        <w:t xml:space="preserve">Esimene faas (tootmisvalmidus):</w:t>
      </w:r>
      <w:r>
        <w:t xml:space="preserve"> </w:t>
      </w:r>
      <w:r>
        <w:t xml:space="preserve">1. TARA autentimine + kasutajanimega sisselogimise keelamine (1.1, 1.2)</w:t>
      </w:r>
      <w:r>
        <w:t xml:space="preserve"> </w:t>
      </w:r>
      <w:r>
        <w:t xml:space="preserve">2. checkWriteAccess tüübikontroll (1.10)</w:t>
      </w:r>
      <w:r>
        <w:t xml:space="preserve"> </w:t>
      </w:r>
      <w:r>
        <w:t xml:space="preserve">3. Saladuste haldus (1.4, 1.5)</w:t>
      </w:r>
      <w:r>
        <w:t xml:space="preserve"> </w:t>
      </w:r>
      <w:r>
        <w:t xml:space="preserve">4. Bearer token’i aegumine (1.11)</w:t>
      </w:r>
      <w:r>
        <w:t xml:space="preserve"> </w:t>
      </w:r>
      <w:r>
        <w:t xml:space="preserve">5. X-tee liidesed (4.1)</w:t>
      </w:r>
      <w:r>
        <w:t xml:space="preserve"> </w:t>
      </w:r>
      <w:r>
        <w:t xml:space="preserve">6. Rate limiting (1.6)</w:t>
      </w:r>
      <w:r>
        <w:t xml:space="preserve"> </w:t>
      </w:r>
      <w:r>
        <w:t xml:space="preserve">7. Fast adapter turvalisus (1.3)</w:t>
      </w:r>
      <w:r>
        <w:t xml:space="preserve"> </w:t>
      </w:r>
      <w:r>
        <w:t xml:space="preserve">8. Registry sünkroonimine (3.1) — kui mitu instansi on plaanis</w:t>
      </w:r>
    </w:p>
    <w:p>
      <w:pPr>
        <w:pStyle w:val="BodyText"/>
      </w:pPr>
      <w:r>
        <w:rPr>
          <w:b/>
          <w:bCs/>
        </w:rPr>
        <w:t xml:space="preserve">Teine faas (kvaliteet ja jälgitavus):</w:t>
      </w:r>
      <w:r>
        <w:t xml:space="preserve"> </w:t>
      </w:r>
      <w:r>
        <w:t xml:space="preserve">9. Väljaminevate päringute logimine (2.1, 2.2, 2.6)</w:t>
      </w:r>
      <w:r>
        <w:t xml:space="preserve"> </w:t>
      </w:r>
      <w:r>
        <w:t xml:space="preserve">10. Request ID propageerimine (2.3)</w:t>
      </w:r>
      <w:r>
        <w:t xml:space="preserve"> </w:t>
      </w:r>
      <w:r>
        <w:t xml:space="preserve">11. EftiService testid (7.1)</w:t>
      </w:r>
      <w:r>
        <w:t xml:space="preserve"> </w:t>
      </w:r>
      <w:r>
        <w:t xml:space="preserve">12. Container Registry + automaatne deploy (5.1, 5.2)</w:t>
      </w:r>
    </w:p>
    <w:p>
      <w:pPr>
        <w:pStyle w:val="BodyText"/>
      </w:pPr>
      <w:r>
        <w:rPr>
          <w:b/>
          <w:bCs/>
        </w:rPr>
        <w:t xml:space="preserve">Kolmas faas (skaleerimine ja monitooring):</w:t>
      </w:r>
      <w:r>
        <w:t xml:space="preserve"> </w:t>
      </w:r>
      <w:r>
        <w:t xml:space="preserve">13. Request ID cache + admin auth state (3.2, 3.3)</w:t>
      </w:r>
      <w:r>
        <w:t xml:space="preserve"> </w:t>
      </w:r>
      <w:r>
        <w:t xml:space="preserve">14. Struktureeritud logimine (2.5)</w:t>
      </w:r>
      <w:r>
        <w:t xml:space="preserve"> </w:t>
      </w:r>
      <w:r>
        <w:t xml:space="preserve">15. Tsentraalne logimine ja meetrikad (8.1, 8.2)</w:t>
      </w:r>
      <w:r>
        <w:t xml:space="preserve"> </w:t>
      </w:r>
      <w:r>
        <w:t xml:space="preserve">16. Ülejäänud skaleeritavuse muudatused (3.4–3.8)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kemit-mfn-vastavus"/>
    <w:p>
      <w:pPr>
        <w:pStyle w:val="Heading2"/>
      </w:pPr>
      <w:r>
        <w:t xml:space="preserve">10. KeMIT MFN vastavus</w:t>
      </w:r>
    </w:p>
    <w:p>
      <w:pPr>
        <w:pStyle w:val="FirstParagraph"/>
      </w:pPr>
      <w:r>
        <w:t xml:space="preserve">Ettepanekud, mis tulenevad KeMIT mittefunktsionaalsete nõuete (versioon 2026 v1.2.0) analüüsist. Analüüs vt</w:t>
      </w:r>
      <w:r>
        <w:t xml:space="preserve"> </w:t>
      </w:r>
      <w:r>
        <w:rPr>
          <w:rStyle w:val="VerbatimChar"/>
        </w:rPr>
        <w:t xml:space="preserve">eFTI_codereview_et.md</w:t>
      </w:r>
      <w:r>
        <w:t xml:space="preserve"> </w:t>
      </w:r>
      <w:r>
        <w:t xml:space="preserve">peatükk 12.</w:t>
      </w:r>
    </w:p>
    <w:bookmarkStart w:id="27" w:name="api-ja-dokumentatsioon"/>
    <w:p>
      <w:pPr>
        <w:pStyle w:val="Heading3"/>
      </w:pPr>
      <w:r>
        <w:t xml:space="preserve">10.1 API ja dokumentatsioon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262"/>
        <w:gridCol w:w="113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MFN nõue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OpenAPI 3.0+ spetsifikatsioon</w:t>
            </w:r>
            <w:r>
              <w:t xml:space="preserve"> </w:t>
            </w:r>
            <w:r>
              <w:t xml:space="preserve">— genereerida OpenAPI spec fail kõigile REST endpoint’idele. Lisada Swagger UI või Redoc automaatne dokumentatsioon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API: OpenAPI 3.0+, automaatne dok.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versioonimine</w:t>
            </w:r>
            <w:r>
              <w:t xml:space="preserve"> </w:t>
            </w:r>
            <w:r>
              <w:t xml:space="preserve">— lisada URL-i prefiks</w:t>
            </w:r>
            <w:r>
              <w:t xml:space="preserve"> </w:t>
            </w:r>
            <w:r>
              <w:rPr>
                <w:rStyle w:val="VerbatimChar"/>
              </w:rPr>
              <w:t xml:space="preserve">/api/v1/</w:t>
            </w:r>
            <w:r>
              <w:t xml:space="preserve">, defineerida versiooni aegumispoliitika (min 6 kuud vana versiooni toetus)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API: versioonimine URL-is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RFC 7807 Problem Details veavorming</w:t>
            </w:r>
            <w:r>
              <w:t xml:space="preserve"> </w:t>
            </w:r>
            <w:r>
              <w:t xml:space="preserve">— asendada plain text veateated standardse JSON struktuuriga</w:t>
            </w:r>
            <w:r>
              <w:t xml:space="preserve"> </w:t>
            </w:r>
            <w:r>
              <w:rPr>
                <w:rStyle w:val="VerbatimChar"/>
              </w:rPr>
              <w:t xml:space="preserve">{type, title, status, detail, instance}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API: RFC 7807 veateated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 poliitika</w:t>
            </w:r>
            <w:r>
              <w:t xml:space="preserve"> </w:t>
            </w:r>
            <w:r>
              <w:t xml:space="preserve">— konfigureerida eksplitsiitne CORS poliitika (allowed origins, methods, headers)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API: CORS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Pagination</w:t>
            </w:r>
            <w:r>
              <w:t xml:space="preserve"> </w:t>
            </w:r>
            <w:r>
              <w:t xml:space="preserve">— lisada lehekülgjaotus identifier’ite otsingusse (RFC 5988 Link päis, offset/limit, metainfo)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API: pagination, RFC 5988</w:t>
            </w:r>
          </w:p>
        </w:tc>
      </w:tr>
    </w:tbl>
    <w:bookmarkEnd w:id="27"/>
    <w:bookmarkStart w:id="28" w:name="autentimine-ja-seansihaldus"/>
    <w:p>
      <w:pPr>
        <w:pStyle w:val="Heading3"/>
      </w:pPr>
      <w:r>
        <w:t xml:space="preserve">10.2 Autentimine ja seansihaldus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262"/>
        <w:gridCol w:w="113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MFN nõue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autentimine (RFC 7519, RFC 9068)</w:t>
            </w:r>
            <w:r>
              <w:t xml:space="preserve"> </w:t>
            </w:r>
            <w:r>
              <w:t xml:space="preserve">— implementeerida JWT-põhine autentimine koos TARA-ga. Access token + refresh token, token’i aegumisaeg, allkirjastamine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~5-8 päeva</w:t>
            </w:r>
          </w:p>
        </w:tc>
        <w:tc>
          <w:tcPr/>
          <w:p>
            <w:pPr>
              <w:pStyle w:val="Compact"/>
            </w:pPr>
            <w:r>
              <w:t xml:space="preserve">Turv.: JWT + TARA, K8s: sessioonihaldus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Sessiooni aegumise mehhanism</w:t>
            </w:r>
            <w:r>
              <w:t xml:space="preserve"> </w:t>
            </w:r>
            <w:r>
              <w:t xml:space="preserve">— konfigureeritav seansi kestvus, automaatne aegumine, kasutaja teavitamine enne aegumist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Turv.: seansi aegumine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Väljalogimine</w:t>
            </w:r>
            <w:r>
              <w:t xml:space="preserve"> </w:t>
            </w:r>
            <w:r>
              <w:t xml:space="preserve">— implementeerida turvaline väljalogimine (token’i tühistamine, seansi lõpetamine, ühe klõpsuga)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 päev</w:t>
            </w:r>
          </w:p>
        </w:tc>
        <w:tc>
          <w:tcPr/>
          <w:p>
            <w:pPr>
              <w:pStyle w:val="Compact"/>
            </w:pPr>
            <w:r>
              <w:t xml:space="preserve">Turv.: väljalogimine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Ebaõnnestunud sisselogimiste piiramine</w:t>
            </w:r>
            <w:r>
              <w:t xml:space="preserve"> </w:t>
            </w:r>
            <w:r>
              <w:t xml:space="preserve">— konfigureeritav arv ja ajavahemik, lukustamine, teavitamine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 päev</w:t>
            </w:r>
          </w:p>
        </w:tc>
        <w:tc>
          <w:tcPr/>
          <w:p>
            <w:pPr>
              <w:pStyle w:val="Compact"/>
            </w:pPr>
            <w:r>
              <w:t xml:space="preserve">Turv.: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OAuth2 rakenduste vahel</w:t>
            </w:r>
            <w:r>
              <w:t xml:space="preserve"> </w:t>
            </w:r>
            <w:r>
              <w:t xml:space="preserve">— rakenduste omavaheline autentimine OAuth2 client credentials flow’ga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Konf.: OAuth2</w:t>
            </w:r>
          </w:p>
        </w:tc>
      </w:tr>
    </w:tbl>
    <w:bookmarkEnd w:id="28"/>
    <w:bookmarkStart w:id="29" w:name="turvalisus-ja-vastavus"/>
    <w:p>
      <w:pPr>
        <w:pStyle w:val="Heading3"/>
      </w:pPr>
      <w:r>
        <w:t xml:space="preserve">10.3 Turvalisus ja vastavus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262"/>
        <w:gridCol w:w="113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MFN nõue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SonarQube integratsioon</w:t>
            </w:r>
            <w:r>
              <w:t xml:space="preserve"> </w:t>
            </w:r>
            <w:r>
              <w:t xml:space="preserve">— lisada SonarQube analüüs CI/CD pipeline’i, tagada 0 kõrget/kriitilist viga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Turv.: SonarQube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Track / SBOM</w:t>
            </w:r>
            <w:r>
              <w:t xml:space="preserve"> </w:t>
            </w:r>
            <w:r>
              <w:t xml:space="preserve">— genereerida SBOM (CycloneDX), liidestada KeMIT Dependency Track teenusega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Turv.: Dependency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image skaneerimine</w:t>
            </w:r>
            <w:r>
              <w:t xml:space="preserve"> </w:t>
            </w:r>
            <w:r>
              <w:t xml:space="preserve">— lisada Trivy või Grype CI/CD pipeline’i, blokeerida MEDIUM+ haavatavused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~0.5-1 päev</w:t>
            </w:r>
          </w:p>
        </w:tc>
        <w:tc>
          <w:tcPr/>
          <w:p>
            <w:pPr>
              <w:pStyle w:val="Compact"/>
            </w:pPr>
            <w:r>
              <w:t xml:space="preserve">Kont.: haavatavuste skaneerimine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robots.txt</w:t>
            </w:r>
            <w:r>
              <w:t xml:space="preserve"> </w:t>
            </w:r>
            <w:r>
              <w:t xml:space="preserve">— lisada robots.txt fail, mis keelab otsingurobotite juurdepääsu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~0.5h</w:t>
            </w:r>
          </w:p>
        </w:tc>
        <w:tc>
          <w:tcPr/>
          <w:p>
            <w:pPr>
              <w:pStyle w:val="Compact"/>
            </w:pPr>
            <w:r>
              <w:t xml:space="preserve">Turv.: robots.txt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WCAG 2.2 AA lõppviimistlus</w:t>
            </w:r>
            <w:r>
              <w:t xml:space="preserve"> </w:t>
            </w:r>
            <w:r>
              <w:t xml:space="preserve">— baastase olemas (label-input seosed, focus ring’id, ARIA role’id, semantic HTML). Parandada: icon-only nuppudele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, modal’ile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  <w:r>
              <w:t xml:space="preserve">, skip navigation link,</w:t>
            </w:r>
            <w:r>
              <w:t xml:space="preserve"> </w:t>
            </w:r>
            <w:r>
              <w:rPr>
                <w:rStyle w:val="VerbatimChar"/>
              </w:rPr>
              <w:t xml:space="preserve">.text-muted</w:t>
            </w:r>
            <w:r>
              <w:t xml:space="preserve"> </w:t>
            </w:r>
            <w:r>
              <w:t xml:space="preserve">värvikontrastsus (gray-400 → gray-500+),</w:t>
            </w:r>
            <w:r>
              <w:t xml:space="preserve"> </w:t>
            </w:r>
            <w:r>
              <w:rPr>
                <w:rStyle w:val="VerbatimChar"/>
              </w:rPr>
              <w:t xml:space="preserve">SortableTable</w:t>
            </w:r>
            <w:r>
              <w:t xml:space="preserve">’ile</w:t>
            </w:r>
            <w:r>
              <w:t xml:space="preserve"> </w:t>
            </w:r>
            <w:r>
              <w:rPr>
                <w:rStyle w:val="VerbatimChar"/>
              </w:rPr>
              <w:t xml:space="preserve">aria-sort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Üld.: WCAG 2.2 AA</w:t>
            </w:r>
          </w:p>
        </w:tc>
      </w:tr>
    </w:tbl>
    <w:bookmarkEnd w:id="29"/>
    <w:bookmarkStart w:id="30" w:name="logimine-ja-monitooring"/>
    <w:p>
      <w:pPr>
        <w:pStyle w:val="Heading3"/>
      </w:pPr>
      <w:r>
        <w:t xml:space="preserve">10.4 Logimine ja monitooring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262"/>
        <w:gridCol w:w="113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MFN nõue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ECS JSON logiformaat</w:t>
            </w:r>
            <w:r>
              <w:t xml:space="preserve"> </w:t>
            </w:r>
            <w:r>
              <w:t xml:space="preserve">— implementeerida Elastic Common Schema (ECS) formaadis JSON logimine (logback + logstash-logback-encoder või analoog). Kohustuslikud väljad vt ettepanek 2.5 ja</w:t>
            </w:r>
            <w:r>
              <w:t xml:space="preserve"> </w:t>
            </w:r>
            <w:r>
              <w:rPr>
                <w:rStyle w:val="VerbatimChar"/>
              </w:rPr>
              <w:t xml:space="preserve">eFTI_errors_logging_et.md</w:t>
            </w:r>
            <w:r>
              <w:t xml:space="preserve"> </w:t>
            </w:r>
            <w:r>
              <w:t xml:space="preserve">ptk 4.1b. Kattub ettepanekuga 2.5 — tuleb implementeerida koos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Log.: ECS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 meetrikad</w:t>
            </w:r>
            <w:r>
              <w:t xml:space="preserve"> </w:t>
            </w:r>
            <w:r>
              <w:t xml:space="preserve">— lisada meetrikate endpoint (Micrometer või Klite-kohandatud lahendus), eksponeerida JVM, HTTP ja ärimeetrikaid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Log.: 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Auditi log</w:t>
            </w:r>
            <w:r>
              <w:t xml:space="preserve"> </w:t>
            </w:r>
            <w:r>
              <w:t xml:space="preserve">— logida kõik andmete vaatamised, loomised, muutmised ja kustutamised seotuna kasutaja identiteedi ja rolliga. Eraldada auditi log rakenduse tööbaasist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~3-5 päeva</w:t>
            </w:r>
          </w:p>
        </w:tc>
        <w:tc>
          <w:tcPr/>
          <w:p>
            <w:pPr>
              <w:pStyle w:val="Compact"/>
            </w:pPr>
            <w:r>
              <w:t xml:space="preserve">Log.: auditi log, isiku ja rolliga seostamine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Korduvate veateadete optimeerimine</w:t>
            </w:r>
            <w:r>
              <w:t xml:space="preserve"> </w:t>
            </w:r>
            <w:r>
              <w:t xml:space="preserve">— eksponentsiaalse tagasilöögi (backoff) loogika korduvatele veateatetele logides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~0.5-1 päev</w:t>
            </w:r>
          </w:p>
        </w:tc>
        <w:tc>
          <w:tcPr/>
          <w:p>
            <w:pPr>
              <w:pStyle w:val="Compact"/>
            </w:pPr>
            <w:r>
              <w:t xml:space="preserve">Log.: eksponentsiaalne logimine</w:t>
            </w:r>
          </w:p>
        </w:tc>
      </w:tr>
    </w:tbl>
    <w:bookmarkEnd w:id="30"/>
    <w:bookmarkStart w:id="31" w:name="versioonimine"/>
    <w:p>
      <w:pPr>
        <w:pStyle w:val="Heading3"/>
      </w:pPr>
      <w:r>
        <w:t xml:space="preserve">10.5 Versioonimine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262"/>
        <w:gridCol w:w="113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MFN nõue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Semantiline versioonimine (SemVer)</w:t>
            </w:r>
            <w:r>
              <w:t xml:space="preserve"> </w:t>
            </w:r>
            <w:r>
              <w:t xml:space="preserve">— kehtestada MAJOR.MINOR.PATCH versioonimise protsess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Vers.: SemVer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CHANGELOG.md</w:t>
            </w:r>
            <w:r>
              <w:t xml:space="preserve"> </w:t>
            </w:r>
            <w:r>
              <w:t xml:space="preserve">— luua CHANGELOG.md vastavalt Keep a Changelog 1.1.0 standardile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Vers.: CHANGELOG.md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tag’id</w:t>
            </w:r>
            <w:r>
              <w:t xml:space="preserve"> </w:t>
            </w:r>
            <w:r>
              <w:t xml:space="preserve">— tähistada iga väljalase Git tag’iga formaadis vX.Y.Z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~0.5h</w:t>
            </w:r>
          </w:p>
        </w:tc>
        <w:tc>
          <w:tcPr/>
          <w:p>
            <w:pPr>
              <w:pStyle w:val="Compact"/>
            </w:pPr>
            <w:r>
              <w:t xml:space="preserve">Vers.: Git tags</w:t>
            </w:r>
          </w:p>
        </w:tc>
      </w:tr>
    </w:tbl>
    <w:bookmarkEnd w:id="31"/>
    <w:bookmarkStart w:id="32" w:name="andmebaas"/>
    <w:p>
      <w:pPr>
        <w:pStyle w:val="Heading3"/>
      </w:pPr>
      <w:r>
        <w:t xml:space="preserve">10.6 Andmebaas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262"/>
        <w:gridCol w:w="113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MFN nõue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10.6.1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Andmebaasi objektide kommentaarid</w:t>
            </w:r>
            <w:r>
              <w:t xml:space="preserve"> </w:t>
            </w:r>
            <w:r>
              <w:t xml:space="preserve">— lisada COMMENT kõigile tabelitele ja väljadele (ingliskeelsed) Flyway migratsioonidega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 päev</w:t>
            </w:r>
          </w:p>
        </w:tc>
        <w:tc>
          <w:tcPr/>
          <w:p>
            <w:pPr>
              <w:pStyle w:val="Compact"/>
            </w:pPr>
            <w:r>
              <w:t xml:space="preserve">AB: kommenteeritud tabelid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10.6.2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Andmekirjete versioneerimine</w:t>
            </w:r>
            <w:r>
              <w:t xml:space="preserve"> </w:t>
            </w:r>
            <w:r>
              <w:t xml:space="preserve">— implementeerida audit trail / temporal tables andmemuudatuste jälgimiseks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~3-5 päeva</w:t>
            </w:r>
          </w:p>
        </w:tc>
        <w:tc>
          <w:tcPr/>
          <w:p>
            <w:pPr>
              <w:pStyle w:val="Compact"/>
            </w:pPr>
            <w:r>
              <w:t xml:space="preserve">AB: andmekirjete versioneerimine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10.6.3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Võõrvõtmete indekseerimine</w:t>
            </w:r>
            <w:r>
              <w:t xml:space="preserve"> </w:t>
            </w:r>
            <w:r>
              <w:t xml:space="preserve">— kontrollida ja lisada puuduvad indeksid kõigile FK väljadele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AB: FK indekseerimine</w:t>
            </w:r>
          </w:p>
        </w:tc>
      </w:tr>
    </w:tbl>
    <w:bookmarkEnd w:id="32"/>
    <w:bookmarkStart w:id="33" w:name="konteinerid-ja-kubernetes"/>
    <w:p>
      <w:pPr>
        <w:pStyle w:val="Heading3"/>
      </w:pPr>
      <w:r>
        <w:t xml:space="preserve">10.7 Konteinerid ja Kubernetes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262"/>
        <w:gridCol w:w="113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MFN nõue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10.7.1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 manifestid</w:t>
            </w:r>
            <w:r>
              <w:t xml:space="preserve"> </w:t>
            </w:r>
            <w:r>
              <w:t xml:space="preserve">— luua K8s Deployment, Service, HPA, ConfigMap, Secret manifestid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~3-5 päeva</w:t>
            </w:r>
          </w:p>
        </w:tc>
        <w:tc>
          <w:tcPr/>
          <w:p>
            <w:pPr>
              <w:pStyle w:val="Compact"/>
            </w:pPr>
            <w:r>
              <w:t xml:space="preserve">K8s: HPA, ConfigMap, Secret, ressursipiirangud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10.7.2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Liveness/readiness kontrollid</w:t>
            </w:r>
            <w:r>
              <w:t xml:space="preserve"> </w:t>
            </w:r>
            <w:r>
              <w:t xml:space="preserve">— eraldada</w:t>
            </w:r>
            <w:r>
              <w:t xml:space="preserve"> </w:t>
            </w:r>
            <w:r>
              <w:rPr>
                <w:rStyle w:val="VerbatimChar"/>
              </w:rPr>
              <w:t xml:space="preserve">/health/live</w:t>
            </w:r>
            <w:r>
              <w:t xml:space="preserve"> </w:t>
            </w:r>
            <w:r>
              <w:t xml:space="preserve">ja</w:t>
            </w:r>
            <w:r>
              <w:t xml:space="preserve"> </w:t>
            </w:r>
            <w:r>
              <w:rPr>
                <w:rStyle w:val="VerbatimChar"/>
              </w:rPr>
              <w:t xml:space="preserve">/health/ready</w:t>
            </w:r>
            <w:r>
              <w:t xml:space="preserve"> </w:t>
            </w:r>
            <w:r>
              <w:t xml:space="preserve">endpoint’id, kontrollida DB ühendust, sertifikaatide kehtivust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~1 päev</w:t>
            </w:r>
          </w:p>
        </w:tc>
        <w:tc>
          <w:tcPr/>
          <w:p>
            <w:pPr>
              <w:pStyle w:val="Compact"/>
            </w:pPr>
            <w:r>
              <w:t xml:space="preserve">K8s: elusoleku/valmisoleku kontrollid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10.7.3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Graceful shutdown</w:t>
            </w:r>
            <w:r>
              <w:t xml:space="preserve"> </w:t>
            </w:r>
            <w:r>
              <w:t xml:space="preserve">— implementeerida eksplitsiitne SIGTERM käsitlemine, pooleliolevate päringute lõpetamine (30s timeout)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 päev</w:t>
            </w:r>
          </w:p>
        </w:tc>
        <w:tc>
          <w:tcPr/>
          <w:p>
            <w:pPr>
              <w:pStyle w:val="Compact"/>
            </w:pPr>
            <w:r>
              <w:t xml:space="preserve">K8s: graatsiline sulgemine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10.7.4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Minimalistlik baaskujutis</w:t>
            </w:r>
            <w:r>
              <w:t xml:space="preserve"> </w:t>
            </w:r>
            <w:r>
              <w:t xml:space="preserve">— vahetada JVM image distroless/Alpine variandi vastu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~1 päev</w:t>
            </w:r>
          </w:p>
        </w:tc>
        <w:tc>
          <w:tcPr/>
          <w:p>
            <w:pPr>
              <w:pStyle w:val="Compact"/>
            </w:pPr>
            <w:r>
              <w:t xml:space="preserve">Kont.: minimalistlik baaskujutis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image allkirjastamine (Cosign)</w:t>
            </w:r>
            <w:r>
              <w:t xml:space="preserve"> </w:t>
            </w:r>
            <w:r>
              <w:t xml:space="preserve">— lisada kujutise allkirjastamine CI/CD pipeline’i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~0.5-1 päev</w:t>
            </w:r>
          </w:p>
        </w:tc>
        <w:tc>
          <w:tcPr/>
          <w:p>
            <w:pPr>
              <w:pStyle w:val="Compact"/>
            </w:pPr>
            <w:r>
              <w:t xml:space="preserve">Kont.: kujutise allkirjastamine</w:t>
            </w:r>
          </w:p>
        </w:tc>
      </w:tr>
    </w:tbl>
    <w:bookmarkEnd w:id="33"/>
    <w:bookmarkStart w:id="34" w:name="kasutajaliides"/>
    <w:p>
      <w:pPr>
        <w:pStyle w:val="Heading3"/>
      </w:pPr>
      <w:r>
        <w:t xml:space="preserve">10.8 Kasutajaliides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262"/>
        <w:gridCol w:w="113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MFN nõue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TEDI disainisüsteemi komponentide kasutuselevõtt</w:t>
            </w:r>
            <w:r>
              <w:t xml:space="preserve"> </w:t>
            </w:r>
            <w:r>
              <w:t xml:space="preserve">— asendada oma Svelte komponendid TEDI komponentidega (https://tedi.tehik.ee/)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~5-10 päeva</w:t>
            </w:r>
          </w:p>
        </w:tc>
        <w:tc>
          <w:tcPr/>
          <w:p>
            <w:pPr>
              <w:pStyle w:val="Compact"/>
            </w:pPr>
            <w:r>
              <w:t xml:space="preserve">UI: TEDI disainisüsteem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10.8.2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Eestikeelne kasutajaliides</w:t>
            </w:r>
            <w:r>
              <w:t xml:space="preserve"> </w:t>
            </w:r>
            <w:r>
              <w:t xml:space="preserve">— tõlkida kogu UI eesti keelde (menüüd, vormid, veateated, abitekstid). Implementeerida i18n tugi</w:t>
            </w:r>
          </w:p>
        </w:tc>
        <w:tc>
          <w:tcPr/>
          <w:p>
            <w:pPr>
              <w:pStyle w:val="Compact"/>
            </w:pPr>
            <w: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~3-5 päeva</w:t>
            </w:r>
          </w:p>
        </w:tc>
        <w:tc>
          <w:tcPr/>
          <w:p>
            <w:pPr>
              <w:pStyle w:val="Compact"/>
            </w:pPr>
            <w:r>
              <w:t xml:space="preserve">UI: eestikeelne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10.8.3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Rollivalik</w:t>
            </w:r>
            <w:r>
              <w:t xml:space="preserve"> </w:t>
            </w:r>
            <w:r>
              <w:t xml:space="preserve">— kui kasutajal on mitu rolli, kuvada rollivalik sisselogimisel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~1-2 päeva</w:t>
            </w:r>
          </w:p>
        </w:tc>
        <w:tc>
          <w:tcPr/>
          <w:p>
            <w:pPr>
              <w:pStyle w:val="Compact"/>
            </w:pPr>
            <w:r>
              <w:t xml:space="preserve">UI: rollivalik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10.8.4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Vormi oleku salvestamine</w:t>
            </w:r>
            <w:r>
              <w:t xml:space="preserve"> </w:t>
            </w:r>
            <w:r>
              <w:t xml:space="preserve">— perioodiline draft salvestamine, et kasutaja saaks tegevust jätkata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UI: tegevuse jätkamine</w:t>
            </w:r>
          </w:p>
        </w:tc>
      </w:tr>
    </w:tbl>
    <w:bookmarkEnd w:id="34"/>
    <w:bookmarkStart w:id="35" w:name="lähtekood-ja-koodihoidla"/>
    <w:p>
      <w:pPr>
        <w:pStyle w:val="Heading3"/>
      </w:pPr>
      <w:r>
        <w:t xml:space="preserve">10.9 Lähtekood ja koodihoidla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262"/>
        <w:gridCol w:w="113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Ettepanek</w:t>
            </w:r>
          </w:p>
        </w:tc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Maht</w:t>
            </w:r>
          </w:p>
        </w:tc>
        <w:tc>
          <w:tcPr/>
          <w:p>
            <w:pPr>
              <w:pStyle w:val="Compact"/>
            </w:pPr>
            <w:r>
              <w:t xml:space="preserve">MFN nõue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10.9.1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trike/>
              </w:rPr>
              <w:t xml:space="preserve">KeMIT koodihoidlasse migreerimine</w:t>
            </w:r>
            <w:r>
              <w:t xml:space="preserve"> </w:t>
            </w:r>
            <w:r>
              <w:t xml:space="preserve">— kood on juba KeMIT kontrolli all olevas GitHub repos.</w:t>
            </w:r>
            <w:r>
              <w:t xml:space="preserve"> </w:t>
            </w:r>
            <w:r>
              <w:rPr>
                <w:b/>
                <w:bCs/>
              </w:rPr>
              <w:t xml:space="preserve">Vastab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LK: KeMIT koodihoidla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10.9.2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sertifikaatide eemaldamine</w:t>
            </w:r>
            <w:r>
              <w:t xml:space="preserve"> </w:t>
            </w:r>
            <w:r>
              <w:t xml:space="preserve">— eemaldada demo sertifikaadid repos’ist, lisada genereerimisjuhised</w:t>
            </w:r>
          </w:p>
        </w:tc>
        <w:tc>
          <w:tcPr/>
          <w:p>
            <w:pPr>
              <w:pStyle w:val="Compact"/>
            </w:pPr>
            <w: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~0.5 päeva</w:t>
            </w:r>
          </w:p>
        </w:tc>
        <w:tc>
          <w:tcPr/>
          <w:p>
            <w:pPr>
              <w:pStyle w:val="Compact"/>
            </w:pPr>
            <w:r>
              <w:t xml:space="preserve">LK: saladused koodist välja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10.9.3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Koodidokumentatsiooni parendamine</w:t>
            </w:r>
            <w:r>
              <w:t xml:space="preserve"> </w:t>
            </w:r>
            <w:r>
              <w:t xml:space="preserve">— lisada KDoc/Javadoc kriitiliste klasside ja meetodite jaoks</w:t>
            </w:r>
          </w:p>
        </w:tc>
        <w:tc>
          <w:tcPr/>
          <w:p>
            <w:pPr>
              <w:pStyle w:val="Compact"/>
            </w:pPr>
            <w: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~2-3 päeva</w:t>
            </w:r>
          </w:p>
        </w:tc>
        <w:tc>
          <w:tcPr/>
          <w:p>
            <w:pPr>
              <w:pStyle w:val="Compact"/>
            </w:pPr>
            <w:r>
              <w:t xml:space="preserve">LK: kommenteeritud kood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kemit-mfn-koondkokkuvõte"/>
    <w:p>
      <w:pPr>
        <w:pStyle w:val="Heading2"/>
      </w:pPr>
      <w:r>
        <w:t xml:space="preserve">KeMIT MFN koondkokkuvõte</w:t>
      </w:r>
    </w:p>
    <w:bookmarkStart w:id="37" w:name="prioriteetide-järgi-ainult-peatükk-10"/>
    <w:p>
      <w:pPr>
        <w:pStyle w:val="Heading3"/>
      </w:pPr>
      <w:r>
        <w:t xml:space="preserve">Prioriteetide järgi (ainult peatükk 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Prioriteet</w:t>
            </w:r>
          </w:p>
        </w:tc>
        <w:tc>
          <w:tcPr/>
          <w:p>
            <w:pPr>
              <w:pStyle w:val="Compact"/>
            </w:pPr>
            <w:r>
              <w:t xml:space="preserve">Arv</w:t>
            </w:r>
          </w:p>
        </w:tc>
        <w:tc>
          <w:tcPr/>
          <w:p>
            <w:pPr>
              <w:pStyle w:val="Compact"/>
            </w:pPr>
            <w:r>
              <w:t xml:space="preserve">Hinnanguline maht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KÕRGE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~30-52 päeva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KESKMINE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~15-28 päeva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MADAL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~7-11 päeva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Kokku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~52-91 päeva</w:t>
            </w:r>
          </w:p>
        </w:tc>
      </w:tr>
    </w:tbl>
    <w:bookmarkEnd w:id="37"/>
    <w:bookmarkStart w:id="38" w:name="soovituslik-järjestus-kemit-mfn"/>
    <w:p>
      <w:pPr>
        <w:pStyle w:val="Heading3"/>
      </w:pPr>
      <w:r>
        <w:t xml:space="preserve">Soovituslik järjestus (KeMIT MFN)</w:t>
      </w:r>
    </w:p>
    <w:p>
      <w:pPr>
        <w:pStyle w:val="FirstParagraph"/>
      </w:pPr>
      <w:r>
        <w:rPr>
          <w:b/>
          <w:bCs/>
        </w:rPr>
        <w:t xml:space="preserve">Esimene faas (kohustuslikud turvameetmed):</w:t>
      </w:r>
      <w:r>
        <w:t xml:space="preserve"> </w:t>
      </w:r>
      <w:r>
        <w:t xml:space="preserve">1. JWT autentimine + TARA (10.2.1)</w:t>
      </w:r>
      <w:r>
        <w:t xml:space="preserve"> </w:t>
      </w:r>
      <w:r>
        <w:t xml:space="preserve">2. Sessiooni aegumise mehhanism + väljalogimine (10.2.2, 10.2.3)</w:t>
      </w:r>
      <w:r>
        <w:t xml:space="preserve"> </w:t>
      </w:r>
      <w:r>
        <w:t xml:space="preserve">3. SonarQube + Dependency Track (10.3.1, 10.3.2)</w:t>
      </w:r>
      <w:r>
        <w:t xml:space="preserve"> </w:t>
      </w:r>
      <w:r>
        <w:t xml:space="preserve">4. Container image skaneerimine (10.3.3)</w:t>
      </w:r>
    </w:p>
    <w:p>
      <w:pPr>
        <w:pStyle w:val="BodyText"/>
      </w:pPr>
      <w:r>
        <w:rPr>
          <w:b/>
          <w:bCs/>
        </w:rPr>
        <w:t xml:space="preserve">Teine faas (API ja dokumentatsioon):</w:t>
      </w:r>
      <w:r>
        <w:t xml:space="preserve"> </w:t>
      </w:r>
      <w:r>
        <w:t xml:space="preserve">5. OpenAPI spetsifikatsioon (10.1.1)</w:t>
      </w:r>
      <w:r>
        <w:t xml:space="preserve"> </w:t>
      </w:r>
      <w:r>
        <w:t xml:space="preserve">6. API versioonimine (10.1.2)</w:t>
      </w:r>
      <w:r>
        <w:t xml:space="preserve"> </w:t>
      </w:r>
      <w:r>
        <w:t xml:space="preserve">7. RFC 7807 veavorming (10.1.3)</w:t>
      </w:r>
      <w:r>
        <w:t xml:space="preserve"> </w:t>
      </w:r>
      <w:r>
        <w:t xml:space="preserve">8. SemVer + CHANGELOG.md + Git tags (10.5.1, 10.5.2, 10.5.3)</w:t>
      </w:r>
    </w:p>
    <w:p>
      <w:pPr>
        <w:pStyle w:val="BodyText"/>
      </w:pPr>
      <w:r>
        <w:rPr>
          <w:b/>
          <w:bCs/>
        </w:rPr>
        <w:t xml:space="preserve">Kolmas faas (logimine ja monitooring):</w:t>
      </w:r>
      <w:r>
        <w:t xml:space="preserve"> </w:t>
      </w:r>
      <w:r>
        <w:t xml:space="preserve">9. ECS JSON logiformaat (10.4.1)</w:t>
      </w:r>
      <w:r>
        <w:t xml:space="preserve"> </w:t>
      </w:r>
      <w:r>
        <w:t xml:space="preserve">10. Prometheus meetrikad (10.4.2)</w:t>
      </w:r>
      <w:r>
        <w:t xml:space="preserve"> </w:t>
      </w:r>
      <w:r>
        <w:t xml:space="preserve">11. Auditi log (10.4.3)</w:t>
      </w:r>
    </w:p>
    <w:p>
      <w:pPr>
        <w:pStyle w:val="BodyText"/>
      </w:pPr>
      <w:r>
        <w:rPr>
          <w:b/>
          <w:bCs/>
        </w:rPr>
        <w:t xml:space="preserve">Neljas faas (infrastruktuur ja UI):</w:t>
      </w:r>
      <w:r>
        <w:t xml:space="preserve"> </w:t>
      </w:r>
      <w:r>
        <w:t xml:space="preserve">12. Kubernetes manifestid + liveness/readiness (10.7.1, 10.7.2)</w:t>
      </w:r>
      <w:r>
        <w:t xml:space="preserve"> </w:t>
      </w:r>
      <w:r>
        <w:t xml:space="preserve">13. KeMIT koodihoidlasse migreerimine (10.9.1)</w:t>
      </w:r>
      <w:r>
        <w:t xml:space="preserve"> </w:t>
      </w:r>
      <w:r>
        <w:t xml:space="preserve">14. TEDI disainisüsteem + eestikeelne UI (10.8.1, 10.8.2)</w:t>
      </w:r>
    </w:p>
    <w:p>
      <w:pPr>
        <w:pStyle w:val="BlockText"/>
      </w:pPr>
      <w:r>
        <w:rPr>
          <w:b/>
          <w:bCs/>
        </w:rPr>
        <w:t xml:space="preserve">NB:</w:t>
      </w:r>
      <w:r>
        <w:t xml:space="preserve"> </w:t>
      </w:r>
      <w:r>
        <w:t xml:space="preserve">Paljud KeMIT MFN ettepanekud kattuvad osaliselt varasemate peatükkide ettepanekutega (nt 1.1 TARA autentimine, 2.5 struktureeritud logimine, 5.6 versioonimine). Reaalsel planeerimisel tuleb need ühendada, et vältida topelttööd.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FTI_codereview_et.md" TargetMode="External" /><Relationship Type="http://schemas.openxmlformats.org/officeDocument/2006/relationships/hyperlink" Id="rId11" Target="eFTI_deployment_et.md" TargetMode="External" /><Relationship Type="http://schemas.openxmlformats.org/officeDocument/2006/relationships/hyperlink" Id="rId12" Target="eFTI_errors_logging_et.md" TargetMode="External" /><Relationship Type="http://schemas.openxmlformats.org/officeDocument/2006/relationships/hyperlink" Id="rId13" Target="eFTI_rights_and_permissions_et.md" TargetMode="External" /><Relationship Type="http://schemas.openxmlformats.org/officeDocument/2006/relationships/hyperlink" Id="rId10" Target="eFTI_scalability_e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FTI_codereview_et.md" TargetMode="External" /><Relationship Type="http://schemas.openxmlformats.org/officeDocument/2006/relationships/hyperlink" Id="rId11" Target="eFTI_deployment_et.md" TargetMode="External" /><Relationship Type="http://schemas.openxmlformats.org/officeDocument/2006/relationships/hyperlink" Id="rId12" Target="eFTI_errors_logging_et.md" TargetMode="External" /><Relationship Type="http://schemas.openxmlformats.org/officeDocument/2006/relationships/hyperlink" Id="rId13" Target="eFTI_rights_and_permissions_et.md" TargetMode="External" /><Relationship Type="http://schemas.openxmlformats.org/officeDocument/2006/relationships/hyperlink" Id="rId10" Target="eFTI_scalability_e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2026-04-16T17:47:46Z</dcterms:created>
  <dcterms:modified xsi:type="dcterms:W3CDTF">2026-04-16T17:47:46Z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