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600"/>
      </w:pPr>
    </w:p>
    <w:p>
      <w:pPr>
        <w:pStyle w:val="Body A"/>
        <w:spacing w:before="200" w:after="200"/>
        <w:jc w:val="center"/>
      </w:pPr>
      <w:r>
        <w:rPr>
          <w:b w:val="1"/>
          <w:bCs w:val="1"/>
          <w:outline w:val="0"/>
          <w:color w:val="2e75b6"/>
          <w:sz w:val="60"/>
          <w:szCs w:val="60"/>
          <w:u w:color="2e75b6"/>
          <w:rtl w:val="0"/>
          <w:lang w:val="es-ES_tradnl"/>
          <w14:textFill>
            <w14:solidFill>
              <w14:srgbClr w14:val="2E75B6"/>
            </w14:solidFill>
          </w14:textFill>
        </w:rPr>
        <w:t>Estonian eFTI Gate</w:t>
      </w:r>
    </w:p>
    <w:p>
      <w:pPr>
        <w:pStyle w:val="Body A"/>
        <w:spacing w:after="600"/>
        <w:jc w:val="center"/>
      </w:pPr>
      <w:r>
        <w:rPr>
          <w:outline w:val="0"/>
          <w:color w:val="1f497d"/>
          <w:sz w:val="48"/>
          <w:szCs w:val="48"/>
          <w:u w:color="1f497d"/>
          <w:rtl w:val="0"/>
          <w:lang w:val="en-US"/>
          <w14:textFill>
            <w14:solidFill>
              <w14:srgbClr w14:val="1F497D"/>
            </w14:solidFill>
          </w14:textFill>
        </w:rPr>
        <w:t>Analysis Document</w:t>
      </w:r>
    </w:p>
    <w:p>
      <w:pPr>
        <w:pStyle w:val="Body A"/>
        <w:spacing w:before="400"/>
      </w:pP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638"/>
      </w:tblGrid>
      <w:tr>
        <w:tblPrEx>
          <w:shd w:val="clear" w:color="auto" w:fill="cad1d7"/>
        </w:tblPrEx>
        <w:trPr>
          <w:trHeight w:val="25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Title:</w:t>
            </w:r>
          </w:p>
        </w:tc>
        <w:tc>
          <w:tcPr>
            <w:tcW w:type="dxa" w:w="6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System Architecture and Technical Specification</w:t>
            </w:r>
          </w:p>
        </w:tc>
      </w:tr>
      <w:tr>
        <w:tblPrEx>
          <w:shd w:val="clear" w:color="auto" w:fill="cad1d7"/>
        </w:tblPrEx>
        <w:trPr>
          <w:trHeight w:val="25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Version:</w:t>
            </w:r>
          </w:p>
        </w:tc>
        <w:tc>
          <w:tcPr>
            <w:tcW w:type="dxa" w:w="6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1.</w:t>
            </w:r>
            <w:r>
              <w:rPr>
                <w:shd w:val="nil" w:color="auto" w:fill="auto"/>
                <w:rtl w:val="0"/>
                <w:lang w:val="en-US"/>
              </w:rPr>
              <w:t>8</w:t>
            </w:r>
          </w:p>
        </w:tc>
      </w:tr>
      <w:tr>
        <w:tblPrEx>
          <w:shd w:val="clear" w:color="auto" w:fill="cad1d7"/>
        </w:tblPrEx>
        <w:trPr>
          <w:trHeight w:val="25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Date:</w:t>
            </w:r>
          </w:p>
        </w:tc>
        <w:tc>
          <w:tcPr>
            <w:tcW w:type="dxa" w:w="6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April 2</w:t>
            </w:r>
            <w:r>
              <w:rPr>
                <w:shd w:val="nil" w:color="auto" w:fill="auto"/>
                <w:rtl w:val="0"/>
                <w:lang w:val="en-US"/>
              </w:rPr>
              <w:t>8</w:t>
            </w:r>
            <w:r>
              <w:rPr>
                <w:shd w:val="nil" w:color="auto" w:fill="auto"/>
                <w:rtl w:val="0"/>
                <w:lang w:val="en-US"/>
              </w:rPr>
              <w:t>, 2026</w:t>
            </w:r>
          </w:p>
        </w:tc>
      </w:tr>
      <w:tr>
        <w:tblPrEx>
          <w:shd w:val="clear" w:color="auto" w:fill="cad1d7"/>
        </w:tblPrEx>
        <w:trPr>
          <w:trHeight w:val="25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Author:</w:t>
            </w:r>
          </w:p>
        </w:tc>
        <w:tc>
          <w:tcPr>
            <w:tcW w:type="dxa" w:w="6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eFTI Working Group</w:t>
            </w:r>
          </w:p>
        </w:tc>
      </w:tr>
    </w:tbl>
    <w:p>
      <w:pPr>
        <w:pStyle w:val="Body A"/>
        <w:widowControl w:val="0"/>
        <w:spacing w:before="400"/>
        <w:ind w:left="108" w:hanging="108"/>
      </w:pPr>
    </w:p>
    <w:p>
      <w:pPr>
        <w:pStyle w:val="Body A"/>
        <w:widowControl w:val="0"/>
        <w:spacing w:before="400"/>
      </w:pPr>
    </w:p>
    <w:p>
      <w:pPr>
        <w:pStyle w:val="Body A"/>
      </w:pPr>
      <w:r>
        <w:rPr>
          <w:rFonts w:ascii="Arial Unicode MS" w:cs="Arial Unicode MS" w:hAnsi="Arial Unicode MS" w:eastAsia="Arial Unicode MS"/>
          <w:b w:val="0"/>
          <w:bCs w:val="0"/>
          <w:i w:val="0"/>
          <w:iCs w:val="0"/>
        </w:rPr>
        <w:br w:type="page"/>
      </w:r>
    </w:p>
    <w:p>
      <w:pPr>
        <w:pStyle w:val="Body A"/>
        <w:pBdr>
          <w:top w:val="nil"/>
          <w:left w:val="nil"/>
          <w:bottom w:val="single" w:color="2e75b6" w:sz="8" w:space="0" w:shadow="0" w:frame="0"/>
          <w:right w:val="nil"/>
        </w:pBdr>
        <w:spacing w:after="280"/>
      </w:pPr>
      <w:r>
        <w:rPr>
          <w:b w:val="1"/>
          <w:bCs w:val="1"/>
          <w:outline w:val="0"/>
          <w:color w:val="000000"/>
          <w:sz w:val="40"/>
          <w:szCs w:val="40"/>
          <w:u w:color="000000"/>
          <w:rtl w:val="0"/>
          <w:lang w:val="en-US"/>
          <w14:textFill>
            <w14:solidFill>
              <w14:srgbClr w14:val="000000"/>
            </w14:solidFill>
          </w14:textFill>
        </w:rPr>
        <w:t>Table of Contents</w:t>
      </w:r>
    </w:p>
    <w:p>
      <w:pPr>
        <w:pStyle w:val="Body A"/>
        <w:spacing w:before="120"/>
      </w:pP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1.</w:t>
      </w:r>
      <w:r>
        <w:rPr>
          <w:sz w:val="24"/>
          <w:szCs w:val="24"/>
          <w:rtl w:val="0"/>
          <w:lang w:val="en-US"/>
        </w:rPr>
        <w:t xml:space="preserve">  Introduction</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2.</w:t>
      </w:r>
      <w:r>
        <w:rPr>
          <w:sz w:val="24"/>
          <w:szCs w:val="24"/>
          <w:rtl w:val="0"/>
          <w:lang w:val="en-US"/>
        </w:rPr>
        <w:t xml:space="preserve">  Estonian eFTI Gate Description</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3.</w:t>
      </w:r>
      <w:r>
        <w:rPr>
          <w:sz w:val="24"/>
          <w:szCs w:val="24"/>
          <w:rtl w:val="0"/>
          <w:lang w:val="en-US"/>
        </w:rPr>
        <w:t xml:space="preserve">  System Description and Architecture Overview</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4.</w:t>
      </w:r>
      <w:r>
        <w:rPr>
          <w:sz w:val="24"/>
          <w:szCs w:val="24"/>
          <w:rtl w:val="0"/>
          <w:lang w:val="en-US"/>
        </w:rPr>
        <w:t xml:space="preserve">  Functional Requirements</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5.</w:t>
      </w:r>
      <w:r>
        <w:rPr>
          <w:sz w:val="24"/>
          <w:szCs w:val="24"/>
          <w:rtl w:val="0"/>
          <w:lang w:val="en-US"/>
        </w:rPr>
        <w:t xml:space="preserve">  Messages and Data Flow Description</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6.</w:t>
      </w:r>
      <w:r>
        <w:rPr>
          <w:sz w:val="24"/>
          <w:szCs w:val="24"/>
          <w:rtl w:val="0"/>
          <w:lang w:val="en-US"/>
        </w:rPr>
        <w:t xml:space="preserve">  User Roles and Privileges</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7.</w:t>
      </w:r>
      <w:r>
        <w:rPr>
          <w:sz w:val="24"/>
          <w:szCs w:val="24"/>
          <w:rtl w:val="0"/>
          <w:lang w:val="en-US"/>
        </w:rPr>
        <w:t xml:space="preserve">  Security and Certification Management</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8.</w:t>
      </w:r>
      <w:r>
        <w:rPr>
          <w:sz w:val="24"/>
          <w:szCs w:val="24"/>
          <w:rtl w:val="0"/>
          <w:lang w:val="en-US"/>
        </w:rPr>
        <w:t xml:space="preserve">  Non-Functional Requirements (NFR)</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9.</w:t>
      </w:r>
      <w:r>
        <w:rPr>
          <w:sz w:val="24"/>
          <w:szCs w:val="24"/>
          <w:rtl w:val="0"/>
          <w:lang w:val="en-US"/>
        </w:rPr>
        <w:t xml:space="preserve">  Logical and Physical Architecture</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10.</w:t>
      </w:r>
      <w:r>
        <w:rPr>
          <w:sz w:val="24"/>
          <w:szCs w:val="24"/>
          <w:rtl w:val="0"/>
          <w:lang w:val="en-US"/>
        </w:rPr>
        <w:t xml:space="preserve">  Compliance with eFTI Regulation</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11.</w:t>
      </w:r>
      <w:r>
        <w:rPr>
          <w:sz w:val="24"/>
          <w:szCs w:val="24"/>
          <w:rtl w:val="0"/>
          <w:lang w:val="en-US"/>
        </w:rPr>
        <w:t xml:space="preserve">  Integrated Systems Overview</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12.</w:t>
      </w:r>
      <w:r>
        <w:rPr>
          <w:sz w:val="24"/>
          <w:szCs w:val="24"/>
          <w:rtl w:val="0"/>
          <w:lang w:val="en-US"/>
        </w:rPr>
        <w:t xml:space="preserve">  Suggested Waste Management Integration (Annex 1)</w:t>
        <w:tab/>
      </w:r>
    </w:p>
    <w:p>
      <w:pPr>
        <w:pStyle w:val="Body A"/>
        <w:tabs>
          <w:tab w:val="right" w:pos="9000" w:leader="dot"/>
        </w:tabs>
        <w:spacing w:before="140" w:after="140"/>
      </w:pPr>
      <w:r>
        <w:rPr>
          <w:b w:val="1"/>
          <w:bCs w:val="1"/>
          <w:outline w:val="0"/>
          <w:color w:val="2e75b6"/>
          <w:sz w:val="24"/>
          <w:szCs w:val="24"/>
          <w:u w:color="2e75b6"/>
          <w:rtl w:val="0"/>
          <w14:textFill>
            <w14:solidFill>
              <w14:srgbClr w14:val="2E75B6"/>
            </w14:solidFill>
          </w14:textFill>
        </w:rPr>
        <w:t>13.</w:t>
      </w:r>
      <w:r>
        <w:rPr>
          <w:sz w:val="24"/>
          <w:szCs w:val="24"/>
          <w:rtl w:val="0"/>
          <w:lang w:val="en-US"/>
        </w:rPr>
        <w:t xml:space="preserve">  Suggested EMTA Integration (Annex 2)</w:t>
        <w:tab/>
      </w:r>
    </w:p>
    <w:p>
      <w:pPr>
        <w:pStyle w:val="Body A"/>
      </w:pPr>
      <w:r>
        <w:rPr>
          <w:rFonts w:ascii="Arial Unicode MS" w:cs="Arial Unicode MS" w:hAnsi="Arial Unicode MS" w:eastAsia="Arial Unicode MS"/>
          <w:b w:val="0"/>
          <w:bCs w:val="0"/>
          <w:i w:val="0"/>
          <w:iCs w:val="0"/>
        </w:rPr>
        <w:br w:type="page"/>
      </w:r>
    </w:p>
    <w:p>
      <w:pPr>
        <w:pStyle w:val="Heading"/>
      </w:pPr>
      <w:r>
        <w:rPr>
          <w:rtl w:val="0"/>
          <w:lang w:val="fr-FR"/>
        </w:rPr>
        <w:t>1. Introduction</w:t>
      </w:r>
    </w:p>
    <w:p>
      <w:pPr>
        <w:pStyle w:val="Heading 2"/>
      </w:pPr>
      <w:r>
        <w:rPr>
          <w:rtl w:val="0"/>
        </w:rPr>
        <w:t>1.1 Goal</w:t>
      </w:r>
    </w:p>
    <w:p>
      <w:pPr>
        <w:pStyle w:val="Body A"/>
        <w:spacing w:before="60" w:after="80"/>
      </w:pPr>
      <w:r>
        <w:rPr>
          <w:rtl w:val="0"/>
          <w:lang w:val="en-US"/>
        </w:rPr>
        <w:t>The primary objective of this project is to implement the Estonian national eFTI (Electronic Freight Transport Information) Gate, transitioning from a Proof of Concept (POC) to a live, production-ready infrastructure. The Estonian eFTI Gate is designed to serve as a central sovereign hub for the exchange of regulatory freight transport information between eFTI platforms used by economic operators, Estonian competent authorities and other EU Member State competent authorities through the eFTI exchange environment. The objective is to provide a high-performance, cost-efficient solution that ensures full compliance with EU Regulation 2020/1056 and helps reduce administrative burden through digitalization for Estonian competent authorities, logistics and transport sector.</w:t>
      </w:r>
    </w:p>
    <w:p>
      <w:pPr>
        <w:pStyle w:val="Heading 2"/>
      </w:pPr>
      <w:r>
        <w:rPr>
          <w:rtl w:val="0"/>
          <w:lang w:val="en-US"/>
        </w:rPr>
        <w:t>1.2 Mission and Vision</w:t>
      </w:r>
    </w:p>
    <w:p>
      <w:pPr>
        <w:pStyle w:val="Body A"/>
        <w:spacing w:before="60" w:after="80"/>
      </w:pPr>
      <w:r>
        <w:rPr>
          <w:rtl w:val="0"/>
          <w:lang w:val="en-US"/>
        </w:rPr>
        <w:t>The Estonian eFTI Gate aims to provide a seamless, digital-first infrastructure for freight transport information exchange that reduces administrative burden and enables real-time oversight for European member states Competent Authorities and economic operators.</w:t>
      </w:r>
    </w:p>
    <w:p>
      <w:pPr>
        <w:pStyle w:val="Heading 2"/>
      </w:pPr>
      <w:r>
        <w:rPr>
          <w:rtl w:val="0"/>
          <w:lang w:val="it-IT"/>
        </w:rPr>
        <w:t>1.3 Scope</w:t>
      </w:r>
    </w:p>
    <w:p>
      <w:pPr>
        <w:pStyle w:val="List Paragraph"/>
        <w:numPr>
          <w:ilvl w:val="0"/>
          <w:numId w:val="2"/>
        </w:numPr>
        <w:bidi w:val="0"/>
        <w:spacing w:before="40" w:after="40"/>
        <w:ind w:right="0"/>
        <w:jc w:val="left"/>
        <w:rPr>
          <w:rtl w:val="0"/>
          <w:lang w:val="en-US"/>
        </w:rPr>
      </w:pPr>
      <w:r>
        <w:rPr>
          <w:b w:val="1"/>
          <w:bCs w:val="1"/>
          <w:rtl w:val="0"/>
          <w:lang w:val="en-US"/>
        </w:rPr>
        <w:t>EU Interoperability</w:t>
      </w:r>
      <w:r>
        <w:rPr>
          <w:rtl w:val="0"/>
          <w:lang w:val="en-US"/>
        </w:rPr>
        <w:t>: Full integration with the EU-wide eFTI exchange environment via secure eDelivery/AS4 protocols, ensuring seamless cross-border data access.</w:t>
      </w:r>
    </w:p>
    <w:p>
      <w:pPr>
        <w:pStyle w:val="List Paragraph"/>
        <w:numPr>
          <w:ilvl w:val="0"/>
          <w:numId w:val="2"/>
        </w:numPr>
        <w:bidi w:val="0"/>
        <w:spacing w:before="40" w:after="40"/>
        <w:ind w:right="0"/>
        <w:jc w:val="left"/>
        <w:rPr>
          <w:rtl w:val="0"/>
          <w:lang w:val="en-US"/>
        </w:rPr>
      </w:pPr>
      <w:r>
        <w:rPr>
          <w:b w:val="1"/>
          <w:bCs w:val="1"/>
          <w:rtl w:val="0"/>
          <w:lang w:val="en-US"/>
        </w:rPr>
        <w:t>National Competent Authority Integration</w:t>
      </w:r>
      <w:r>
        <w:rPr>
          <w:rtl w:val="0"/>
          <w:lang w:val="en-US"/>
        </w:rPr>
        <w:t>: Providing secure, logged access to freight transport data for Estonian agencies via X-Road (national data exchange layer) and dedicated REST interfaces. X-Road serves as the primary backbone for inter-agency communication, ensuring non-repudiation and secure authentication for:</w:t>
      </w:r>
    </w:p>
    <w:p>
      <w:pPr>
        <w:pStyle w:val="List Paragraph"/>
        <w:numPr>
          <w:ilvl w:val="1"/>
          <w:numId w:val="4"/>
        </w:numPr>
        <w:bidi w:val="0"/>
        <w:spacing w:before="40" w:after="40"/>
        <w:ind w:right="0"/>
        <w:jc w:val="left"/>
        <w:rPr>
          <w:rtl w:val="0"/>
          <w:lang w:val="en-US"/>
        </w:rPr>
      </w:pPr>
      <w:r>
        <w:rPr>
          <w:rtl w:val="0"/>
          <w:lang w:val="en-US"/>
        </w:rPr>
        <w:t>Estonian Tax and Customs Board (EMTA)</w:t>
      </w:r>
    </w:p>
    <w:p>
      <w:pPr>
        <w:pStyle w:val="List Paragraph"/>
        <w:numPr>
          <w:ilvl w:val="1"/>
          <w:numId w:val="4"/>
        </w:numPr>
        <w:bidi w:val="0"/>
        <w:spacing w:before="40" w:after="40"/>
        <w:ind w:right="0"/>
        <w:jc w:val="left"/>
        <w:rPr>
          <w:rtl w:val="0"/>
          <w:lang w:val="en-US"/>
        </w:rPr>
      </w:pPr>
      <w:r>
        <w:rPr>
          <w:rtl w:val="0"/>
          <w:lang w:val="en-US"/>
        </w:rPr>
        <w:t>Estonian Police and Border Guard Board (PPA)</w:t>
      </w:r>
    </w:p>
    <w:p>
      <w:pPr>
        <w:pStyle w:val="List Paragraph"/>
        <w:numPr>
          <w:ilvl w:val="1"/>
          <w:numId w:val="4"/>
        </w:numPr>
        <w:bidi w:val="0"/>
        <w:spacing w:before="40" w:after="40"/>
        <w:ind w:right="0"/>
        <w:jc w:val="left"/>
        <w:rPr>
          <w:rtl w:val="0"/>
          <w:lang w:val="en-US"/>
        </w:rPr>
      </w:pPr>
      <w:r>
        <w:rPr>
          <w:rtl w:val="0"/>
          <w:lang w:val="en-US"/>
        </w:rPr>
        <w:t>Estonian Environmental Board</w:t>
      </w:r>
    </w:p>
    <w:p>
      <w:pPr>
        <w:pStyle w:val="List Paragraph"/>
        <w:numPr>
          <w:ilvl w:val="1"/>
          <w:numId w:val="4"/>
        </w:numPr>
        <w:bidi w:val="0"/>
        <w:spacing w:before="40" w:after="40"/>
        <w:ind w:right="0"/>
        <w:jc w:val="left"/>
        <w:rPr>
          <w:rtl w:val="0"/>
          <w:lang w:val="en-US"/>
        </w:rPr>
      </w:pPr>
      <w:r>
        <w:rPr>
          <w:rtl w:val="0"/>
          <w:lang w:val="en-US"/>
        </w:rPr>
        <w:t>Estonian Transport Administration</w:t>
      </w:r>
    </w:p>
    <w:p>
      <w:pPr>
        <w:pStyle w:val="List Paragraph"/>
        <w:numPr>
          <w:ilvl w:val="0"/>
          <w:numId w:val="2"/>
        </w:numPr>
        <w:bidi w:val="0"/>
        <w:spacing w:before="40" w:after="40"/>
        <w:ind w:right="0"/>
        <w:jc w:val="left"/>
        <w:rPr>
          <w:rtl w:val="0"/>
          <w:lang w:val="en-US"/>
        </w:rPr>
      </w:pPr>
      <w:r>
        <w:rPr>
          <w:b w:val="1"/>
          <w:bCs w:val="1"/>
          <w:rtl w:val="0"/>
          <w:lang w:val="en-US"/>
        </w:rPr>
        <w:t>eFTI Platform Connectivity</w:t>
      </w:r>
      <w:r>
        <w:rPr>
          <w:rtl w:val="0"/>
          <w:lang w:val="en-US"/>
        </w:rPr>
        <w:t>: Standardized REST APIs for certified eFTI Platforms to register identifiers (including UIL) and provide authorized data subsets.</w:t>
      </w:r>
    </w:p>
    <w:p>
      <w:pPr>
        <w:pStyle w:val="List Paragraph"/>
        <w:numPr>
          <w:ilvl w:val="0"/>
          <w:numId w:val="2"/>
        </w:numPr>
        <w:bidi w:val="0"/>
        <w:spacing w:before="40" w:after="40"/>
        <w:ind w:right="0"/>
        <w:jc w:val="left"/>
        <w:rPr>
          <w:rtl w:val="0"/>
          <w:lang w:val="en-US"/>
        </w:rPr>
      </w:pPr>
      <w:r>
        <w:rPr>
          <w:b w:val="1"/>
          <w:bCs w:val="1"/>
          <w:rtl w:val="0"/>
          <w:lang w:val="en-US"/>
        </w:rPr>
        <w:t>Data Governance &amp; Retention</w:t>
      </w:r>
      <w:r>
        <w:rPr>
          <w:rtl w:val="0"/>
          <w:lang w:val="en-US"/>
        </w:rPr>
        <w:t>: Implementation of Registry of Identifiers (RoI) with data auditing capabilities extending to the period required by the eFTI Regulation (at least 2 years) to meet legal requirements.</w:t>
      </w:r>
    </w:p>
    <w:p>
      <w:pPr>
        <w:pStyle w:val="List Paragraph"/>
        <w:numPr>
          <w:ilvl w:val="0"/>
          <w:numId w:val="2"/>
        </w:numPr>
        <w:bidi w:val="0"/>
        <w:spacing w:before="40" w:after="40"/>
        <w:ind w:right="0"/>
        <w:jc w:val="left"/>
        <w:rPr>
          <w:rtl w:val="0"/>
          <w:lang w:val="en-US"/>
        </w:rPr>
      </w:pPr>
      <w:r>
        <w:rPr>
          <w:b w:val="1"/>
          <w:bCs w:val="1"/>
          <w:rtl w:val="0"/>
          <w:lang w:val="en-US"/>
        </w:rPr>
        <w:t>Performance &amp; Reliability</w:t>
      </w:r>
      <w:r>
        <w:rPr>
          <w:rtl w:val="0"/>
          <w:lang w:val="en-US"/>
        </w:rPr>
        <w:t>: A lightweight JVM-based architecture designed to handle high volume of queries with sub-second response times and high availability (HA).</w:t>
      </w:r>
    </w:p>
    <w:p>
      <w:pPr>
        <w:pStyle w:val="Body A"/>
        <w:spacing w:before="200"/>
      </w:pPr>
    </w:p>
    <w:p>
      <w:pPr>
        <w:pStyle w:val="Body A"/>
        <w:spacing w:before="60" w:after="80"/>
      </w:pPr>
      <w:r>
        <w:rPr>
          <w:i w:val="1"/>
          <w:iCs w:val="1"/>
          <w:rtl w:val="0"/>
          <w:lang w:val="en-US"/>
        </w:rPr>
        <w:t>Note: This document is prepared with development Epics in Jira, that describe full scope</w:t>
      </w:r>
    </w:p>
    <w:p>
      <w:pPr>
        <w:pStyle w:val="Body A"/>
        <w:spacing w:before="200"/>
      </w:pPr>
    </w:p>
    <w:p>
      <w:pPr>
        <w:pStyle w:val="Heading 2"/>
      </w:pPr>
      <w:r>
        <w:rPr>
          <w:rtl w:val="0"/>
          <w:lang w:val="en-US"/>
        </w:rPr>
        <w:t>1.4 Key Terms</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7638"/>
      </w:tblGrid>
      <w:tr>
        <w:tblPrEx>
          <w:shd w:val="clear" w:color="auto" w:fill="156082"/>
        </w:tblPrEx>
        <w:trPr>
          <w:trHeight w:val="218" w:hRule="atLeast"/>
          <w:tblHeader/>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Term</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AAP</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Authority Access Point.</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ADN</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European Agreement concerning the International Carriage of Dangerous Goods by Inland Waterways</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ADR</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European Agreement concerning the International Carriage of Dangerous Goods by Road</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ANTS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Automatic number plate recognition system.</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Apollo</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E-police information system.</w:t>
            </w:r>
          </w:p>
        </w:tc>
      </w:tr>
      <w:tr>
        <w:tblPrEx>
          <w:shd w:val="clear" w:color="auto" w:fill="cad1d7"/>
        </w:tblPrEx>
        <w:trPr>
          <w:trHeight w:val="71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AS4</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AS4 (Applicability Statement 4) is an open standard for the secure and payload-agnostic exchange of Business-to-business documents using Web services.</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Competent Authority.</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CAB</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Conformity Assessment Body.</w:t>
            </w:r>
          </w:p>
        </w:tc>
      </w:tr>
      <w:tr>
        <w:tblPrEx>
          <w:shd w:val="clear" w:color="auto" w:fill="cad1d7"/>
        </w:tblPrEx>
        <w:trPr>
          <w:trHeight w:val="71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CMDS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Consignment Movement Dataset. A uniquely identified set of eFTI data that, together, constitutes the regulatory information on freight transport related to a specific consignment movement.</w:t>
            </w:r>
          </w:p>
        </w:tc>
      </w:tr>
      <w:tr>
        <w:tblPrEx>
          <w:shd w:val="clear" w:color="auto" w:fill="cad1d7"/>
        </w:tblPrEx>
        <w:trPr>
          <w:trHeight w:val="119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Competent Authority</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Means a public authority, agency or other body which is competent to perform tasks pursuant to the legal acts referred to in the eFTI regulation 2020/1056 Article 2(1) and for which access to regulatory information is necessary, such as checking, enforcing, validating or monitoring compliance on the territory of a Member State.</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Consignment ID</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unique identifier of the consignment, as used in the eFTI data set and in the Registry of Identifiers search logic.</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DG</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eAWB</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Electronic Air Waybill.</w:t>
            </w:r>
          </w:p>
        </w:tc>
      </w:tr>
      <w:tr>
        <w:tblPrEx>
          <w:shd w:val="clear" w:color="auto" w:fill="cad1d7"/>
        </w:tblPrEx>
        <w:trPr>
          <w:trHeight w:val="71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eCIM</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Electronic rail consignment note based on the Contract for International Carriage of Goods by Rail (used mainly in the COTIF rail area, including most EU countries)</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eCMR</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Electronic consignment note based on the CMR Convention for the international carriage of goods by road</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eDelivery</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EU secure messaging infrastructure.</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Electronic Freight Transport Information.</w:t>
            </w:r>
          </w:p>
        </w:tc>
      </w:tr>
      <w:tr>
        <w:tblPrEx>
          <w:shd w:val="clear" w:color="auto" w:fill="cad1d7"/>
        </w:tblPrEx>
        <w:trPr>
          <w:trHeight w:val="95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 Gate</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An information system, which is part of the eFTI exchange environment, used for the processing of requests for access to regulatory information and of the corresponding responses, including the processing of unique identifiers of eFTI datasets and corresponding UILs.</w:t>
            </w:r>
          </w:p>
        </w:tc>
      </w:tr>
      <w:tr>
        <w:tblPrEx>
          <w:shd w:val="clear" w:color="auto" w:fill="cad1d7"/>
        </w:tblPrEx>
        <w:trPr>
          <w:trHeight w:val="71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Platform</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 solution based on information and communication technology (ICT), such as an operating system, an operating environment, a database or any other type of platform, intended to be used for the processing of eFTI CMDS.</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eIDAS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Regulation (EU) No 910/2014 on electronic identification and trust services for electronic transactions in the internal market.</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EMCS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Excise Movement and Control System.</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EO</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Economic Operator.</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eSMGS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Electronic rail consignment note based on the Agreement on International Goods Transport by Rail (used mainly in the OSJD rail area)</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IAA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Authentication, and Authorization.</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KeA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Estonian Environmental Board.</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KOTKAS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Environmental decision information system.</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LOIS2</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Aviation Safety Information System.</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EMTA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Estonian Tax and Customs Board.</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w:pPr>
            <w:r>
              <w:rPr>
                <w:rFonts w:ascii="Arial" w:hAnsi="Arial"/>
                <w:sz w:val="22"/>
                <w:szCs w:val="22"/>
                <w:shd w:val="nil" w:color="auto" w:fill="auto"/>
                <w:rtl w:val="0"/>
                <w:lang w:val="en-US"/>
                <w14:textOutline w14:w="12700" w14:cap="flat">
                  <w14:noFill/>
                  <w14:miter w14:lim="400000"/>
                </w14:textOutline>
              </w:rPr>
              <w:t>Metadata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w:pPr>
            <w:r>
              <w:rPr>
                <w:rFonts w:ascii="Arial" w:hAnsi="Arial"/>
                <w:sz w:val="22"/>
                <w:szCs w:val="22"/>
                <w:shd w:val="nil" w:color="auto" w:fill="auto"/>
                <w:rtl w:val="0"/>
                <w:lang w:val="en-US"/>
                <w14:textOutline w14:w="12700" w14:cap="flat">
                  <w14:noFill/>
                  <w14:miter w14:lim="400000"/>
                </w14:textOutline>
              </w:rPr>
              <w:t>eFTI Gate metadata is a dataset consisting of identifiers and UIL (Unique Identifying Link).</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NES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National Entry System.</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PISTRIK</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Environmental decision information system for domestic waste management. Is a subsystem of KOTKAS.</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PPA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Estonian Police and Border Guard Board.</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QTSP</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Qualified Trust Service Provider.</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RIA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Estonian Information System Authority</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RID</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Regulation concerning the International Carriage of Dangerous Goods by Rail</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RoI</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Registry of Identifiers (by eFTI Regulation).</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SADHES</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Electronic system used for managing excise goods</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TAF TSI</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Technical Specification for Interoperability relating to the telematics applications for freight subsystem of the rail system in the European Union.</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TGD Annex1</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Technical Assistance for Facilitating the Implementation of eFTI. Technical Guidance Document Annex 1 Detailed Data Structures Specifications v1.0.3</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TGD Document</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Technical Assistance for Facilitating the Implementation of eFTI. Technical Guidance Document v1.0.5</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TOTS2</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Customs Control Task Management System</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TRAM</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Estonian Transport Administration.</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UIC</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Rail wagon identification standard (also known as European Vehicle Number - EVN).</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UIL</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Unique Identifying Link (URI).</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X-Road</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Estonian data exchange layer (X-Tee).</w:t>
            </w:r>
          </w:p>
        </w:tc>
      </w:tr>
    </w:tbl>
    <w:p>
      <w:pPr>
        <w:pStyle w:val="Heading 2"/>
        <w:widowControl w:val="0"/>
        <w:ind w:left="108" w:hanging="108"/>
      </w:pPr>
    </w:p>
    <w:p>
      <w:pPr>
        <w:pStyle w:val="Heading 2"/>
        <w:widowControl w:val="0"/>
      </w:pP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2. Estonian eFTI Gate Description</w:t>
      </w:r>
    </w:p>
    <w:p>
      <w:pPr>
        <w:pStyle w:val="Heading 2"/>
      </w:pPr>
      <w:r>
        <w:rPr>
          <w:rtl w:val="0"/>
          <w:lang w:val="en-US"/>
        </w:rPr>
        <w:t>2.1 Strategic Objectives</w:t>
      </w:r>
    </w:p>
    <w:p>
      <w:pPr>
        <w:pStyle w:val="Body A"/>
        <w:spacing w:before="60" w:after="80"/>
      </w:pPr>
      <w:r>
        <w:rPr>
          <w:rtl w:val="0"/>
          <w:lang w:val="en-US"/>
        </w:rPr>
        <w:t>The Estonian eFTI Gate is designed as a high-performance sovereign hub to enable the exchange of electronic freight transport regulatory information required under EU and national law. It prioritizes:</w:t>
      </w:r>
    </w:p>
    <w:p>
      <w:pPr>
        <w:pStyle w:val="List Paragraph"/>
        <w:numPr>
          <w:ilvl w:val="0"/>
          <w:numId w:val="2"/>
        </w:numPr>
        <w:bidi w:val="0"/>
        <w:spacing w:before="40" w:after="40"/>
        <w:ind w:right="0"/>
        <w:jc w:val="left"/>
        <w:rPr>
          <w:rtl w:val="0"/>
          <w:lang w:val="en-US"/>
        </w:rPr>
      </w:pPr>
      <w:r>
        <w:rPr>
          <w:b w:val="1"/>
          <w:bCs w:val="1"/>
          <w:rtl w:val="0"/>
          <w:lang w:val="en-US"/>
        </w:rPr>
        <w:t>Digital Sovereignty</w:t>
      </w:r>
      <w:r>
        <w:rPr>
          <w:rtl w:val="0"/>
          <w:lang w:val="en-US"/>
        </w:rPr>
        <w:t>: Ensure uniform access by competent authorities to freight transport and consignment movement information intended for the performance of supervisory activities.</w:t>
      </w:r>
    </w:p>
    <w:p>
      <w:pPr>
        <w:pStyle w:val="List Paragraph"/>
        <w:numPr>
          <w:ilvl w:val="0"/>
          <w:numId w:val="2"/>
        </w:numPr>
        <w:bidi w:val="0"/>
        <w:spacing w:before="40" w:after="40"/>
        <w:ind w:right="0"/>
        <w:jc w:val="left"/>
        <w:rPr>
          <w:rtl w:val="0"/>
          <w:lang w:val="en-US"/>
        </w:rPr>
      </w:pPr>
      <w:r>
        <w:rPr>
          <w:b w:val="1"/>
          <w:bCs w:val="1"/>
          <w:rtl w:val="0"/>
          <w:lang w:val="en-US"/>
        </w:rPr>
        <w:t>Administrative Efficiency</w:t>
      </w:r>
      <w:r>
        <w:rPr>
          <w:rtl w:val="0"/>
          <w:lang w:val="en-US"/>
        </w:rPr>
        <w:t>: Automating compliance checks and processes for Estonian competent authorities and other agencies to reduce roadside inspection times.</w:t>
      </w:r>
    </w:p>
    <w:p>
      <w:pPr>
        <w:pStyle w:val="List Paragraph"/>
        <w:numPr>
          <w:ilvl w:val="0"/>
          <w:numId w:val="2"/>
        </w:numPr>
        <w:bidi w:val="0"/>
        <w:spacing w:before="40" w:after="40"/>
        <w:ind w:right="0"/>
        <w:jc w:val="left"/>
        <w:rPr>
          <w:rtl w:val="0"/>
          <w:lang w:val="en-US"/>
        </w:rPr>
      </w:pPr>
      <w:r>
        <w:rPr>
          <w:b w:val="1"/>
          <w:bCs w:val="1"/>
          <w:rtl w:val="0"/>
          <w:lang w:val="en-US"/>
        </w:rPr>
        <w:t>Regional Leadership</w:t>
      </w:r>
      <w:r>
        <w:rPr>
          <w:rtl w:val="0"/>
          <w:lang w:val="en-US"/>
        </w:rPr>
        <w:t>: Setting a technical benchmark for eFTI implementations within the EU through a lightweight, high-availability architecture.</w:t>
      </w:r>
    </w:p>
    <w:p>
      <w:pPr>
        <w:pStyle w:val="Body A"/>
        <w:spacing w:before="80"/>
      </w:pPr>
    </w:p>
    <w:p>
      <w:pPr>
        <w:pStyle w:val="Heading 2"/>
      </w:pPr>
      <w:r>
        <w:rPr>
          <w:rtl w:val="0"/>
          <w:lang w:val="en-US"/>
        </w:rPr>
        <w:t>2.2 eFTI Requirements</w:t>
      </w:r>
    </w:p>
    <w:p>
      <w:pPr>
        <w:pStyle w:val="Body A"/>
        <w:spacing w:before="60" w:after="80"/>
      </w:pPr>
      <w:r>
        <w:rPr>
          <w:rtl w:val="0"/>
          <w:lang w:val="en-US"/>
        </w:rPr>
        <w:t>This section outlines the comprehensive technical requirements for the eFTI Gate, categorized by functional domain to support building a compliant system from scratch.</w:t>
      </w:r>
    </w:p>
    <w:p>
      <w:pPr>
        <w:pStyle w:val="Body A"/>
        <w:spacing w:before="80"/>
      </w:pPr>
    </w:p>
    <w:p>
      <w:pPr>
        <w:pStyle w:val="Heading 3"/>
      </w:pPr>
      <w:r>
        <w:rPr>
          <w:rtl w:val="0"/>
          <w:lang w:val="en-US"/>
        </w:rPr>
        <w:t>2.2.1 Core Infrastructure &amp; Protocol Requirements</w:t>
      </w:r>
    </w:p>
    <w:tbl>
      <w:tblPr>
        <w:tblW w:w="902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97"/>
        <w:gridCol w:w="2620"/>
        <w:gridCol w:w="4903"/>
      </w:tblGrid>
      <w:tr>
        <w:tblPrEx>
          <w:shd w:val="clear" w:color="auto" w:fill="156082"/>
        </w:tblPrEx>
        <w:trPr>
          <w:trHeight w:val="222" w:hRule="atLeast"/>
          <w:tblHeader/>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Specification</w:t>
            </w:r>
          </w:p>
        </w:tc>
      </w:tr>
      <w:tr>
        <w:tblPrEx>
          <w:shd w:val="clear" w:color="auto" w:fill="cad1d7"/>
        </w:tblPrEx>
        <w:trPr>
          <w:trHeight w:val="724"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REQ-CORE-01</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Secure EU Interoperability</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Mandatory implementation of eDelivery/AS4 protocol for eFTI gate-to-gate and eFTI gate-to-platform communication.</w:t>
            </w:r>
          </w:p>
        </w:tc>
      </w:tr>
      <w:tr>
        <w:tblPrEx>
          <w:shd w:val="clear" w:color="auto" w:fill="cad1d7"/>
        </w:tblPrEx>
        <w:trPr>
          <w:trHeight w:val="724"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REQ-CORE-02</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Registry of Identifiers (RoI)</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Maintain a PostgreSQL database of Unique Identifying Links (UIL) mapping freight transport identifiers to eFTI platform endpoints.</w:t>
            </w:r>
          </w:p>
        </w:tc>
      </w:tr>
      <w:tr>
        <w:tblPrEx>
          <w:shd w:val="clear" w:color="auto" w:fill="cad1d7"/>
        </w:tblPrEx>
        <w:trPr>
          <w:trHeight w:val="724"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REQ-CORE-03</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Global Broadcast Search</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If an identifier is not found locally, the eFTI Gate must broadcast a query to all other EU Member State eFTI gates via AS4.</w:t>
            </w:r>
          </w:p>
        </w:tc>
      </w:tr>
      <w:tr>
        <w:tblPrEx>
          <w:shd w:val="clear" w:color="auto" w:fill="cad1d7"/>
        </w:tblPrEx>
        <w:trPr>
          <w:trHeight w:val="724"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REQ-CORE-04</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Data Persistence Policy</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Only identifiers and UIL are stored in Estonian eFTI Gate. Full CMDS are available only via eFTI platform queries.</w:t>
            </w:r>
          </w:p>
        </w:tc>
      </w:tr>
      <w:tr>
        <w:tblPrEx>
          <w:shd w:val="clear" w:color="auto" w:fill="cad1d7"/>
        </w:tblPrEx>
        <w:trPr>
          <w:trHeight w:val="724"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REQ-CORE-05</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X.509 Certificate Management</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Automated handling of WS-Security and mTLS certificates for secure message signing and encryption.</w:t>
            </w:r>
          </w:p>
        </w:tc>
      </w:tr>
      <w:tr>
        <w:tblPrEx>
          <w:shd w:val="clear" w:color="auto" w:fill="cad1d7"/>
        </w:tblPrEx>
        <w:trPr>
          <w:trHeight w:val="724"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REQ-CORE-06</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Performance Benchmark</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System must handle queries with &lt;60s end-to-end response time (Commission Implementing Regulation (EU) 2024/1942).</w:t>
            </w:r>
          </w:p>
        </w:tc>
      </w:tr>
      <w:tr>
        <w:tblPrEx>
          <w:shd w:val="clear" w:color="auto" w:fill="cad1d7"/>
        </w:tblPrEx>
        <w:trPr>
          <w:trHeight w:val="718" w:hRule="atLeast"/>
        </w:trPr>
        <w:tc>
          <w:tcPr>
            <w:tcW w:type="dxa" w:w="1497"/>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REQ-CORE-07</w:t>
            </w:r>
          </w:p>
        </w:tc>
        <w:tc>
          <w:tcPr>
            <w:tcW w:type="dxa" w:w="262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Throughput</w:t>
            </w:r>
          </w:p>
        </w:tc>
        <w:tc>
          <w:tcPr>
            <w:tcW w:type="dxa" w:w="49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System must be scalable, initially handle high number of queries.</w:t>
            </w:r>
          </w:p>
        </w:tc>
      </w:tr>
    </w:tbl>
    <w:p>
      <w:pPr>
        <w:pStyle w:val="Heading 3"/>
        <w:widowControl w:val="0"/>
        <w:ind w:left="108" w:hanging="108"/>
      </w:pPr>
    </w:p>
    <w:p>
      <w:pPr>
        <w:pStyle w:val="Heading 3"/>
        <w:widowControl w:val="0"/>
      </w:pPr>
    </w:p>
    <w:p>
      <w:pPr>
        <w:pStyle w:val="Body A"/>
        <w:spacing w:before="120"/>
      </w:pPr>
    </w:p>
    <w:p>
      <w:pPr>
        <w:pStyle w:val="Heading 3"/>
      </w:pPr>
    </w:p>
    <w:p>
      <w:pPr>
        <w:pStyle w:val="Heading 3"/>
      </w:pPr>
      <w:r>
        <w:rPr>
          <w:rtl w:val="0"/>
          <w:lang w:val="en-US"/>
        </w:rPr>
        <w:t>2.2.2 eFTI CMDS Statuses</w:t>
      </w:r>
    </w:p>
    <w:p>
      <w:pPr>
        <w:pStyle w:val="Body A"/>
        <w:spacing w:before="60" w:after="80"/>
      </w:pPr>
      <w:r>
        <w:rPr>
          <w:rtl w:val="0"/>
          <w:lang w:val="en-US"/>
        </w:rPr>
        <w:t>The eFTI Consignment Movement Dataset (CMDS) undergoes several status changes throughout its lifecycle, which determine its searchability in the Registry of Identifiers (RoI) and the corresponding access rights for Competent Authorities (CA) and Economic Operators (EO). Statuses are described via CMDS lifecycle on an eFTI Platform</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04"/>
        <w:gridCol w:w="1791"/>
        <w:gridCol w:w="1793"/>
        <w:gridCol w:w="4750"/>
      </w:tblGrid>
      <w:tr>
        <w:tblPrEx>
          <w:shd w:val="clear" w:color="auto" w:fill="156082"/>
        </w:tblPrEx>
        <w:trPr>
          <w:trHeight w:val="438" w:hRule="atLeast"/>
          <w:tblHeader/>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Status</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eFTI Gate Interaction</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Access Rights</w:t>
            </w:r>
          </w:p>
        </w:tc>
      </w:tr>
      <w:tr>
        <w:tblPrEx>
          <w:shd w:val="clear" w:color="auto" w:fill="cad1d7"/>
        </w:tblPrEx>
        <w:trPr>
          <w:trHeight w:val="2398" w:hRule="atLeast"/>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Draft</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CMDS is being composed on the eFTI platform. Data elements are being entered but the dataset is not yet complete or validated.</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None. FTI004 has not been sent. UIL is not yet registered in the eFTI Gate RoI.</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CA: No access (dataset not visible to eFTI Gate). EO: Full create and edit rights on eFTI platform.</w:t>
            </w:r>
          </w:p>
        </w:tc>
      </w:tr>
      <w:tr>
        <w:tblPrEx>
          <w:shd w:val="clear" w:color="auto" w:fill="cad1d7"/>
        </w:tblPrEx>
        <w:trPr>
          <w:trHeight w:val="3118" w:hRule="atLeast"/>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Active</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CMDS is validated and complete. FTI004 has been sent to the eFTI Gate, registering the UIL and identifiers in the RoI. The transport operation is ongoing.</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Corresponds to eFTI Gate status: Registered. UIL is active and searchable in RoI.</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CA: Full access via eFTI Gate (search + subset retrieval). EO: Edit rights on eFTI platform; updates trigger new FTI004 to eFTI Gate.</w:t>
            </w:r>
          </w:p>
        </w:tc>
      </w:tr>
      <w:tr>
        <w:tblPrEx>
          <w:shd w:val="clear" w:color="auto" w:fill="cad1d7"/>
        </w:tblPrEx>
        <w:trPr>
          <w:trHeight w:val="2638" w:hRule="atLeast"/>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Completed</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Transport operation finished. Delivery date (eFTI188) has been recorded. No further edits permitted. eFTI Platform notifies eFTI Gate of completion.</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Triggers eFTI Gate transition to Deactivated (extended period for for road transport).</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CA: Via eFTI Gate (road); via direct UIL if authorized (other modes). EO: Read-only on eFTI platform.</w:t>
            </w:r>
          </w:p>
        </w:tc>
      </w:tr>
      <w:tr>
        <w:tblPrEx>
          <w:shd w:val="clear" w:color="auto" w:fill="cad1d7"/>
        </w:tblPrEx>
        <w:trPr>
          <w:trHeight w:val="2158" w:hRule="atLeast"/>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Ready to Archive</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CMDS has been completed and deactivated in the eFTI Gate. The dataset awaits the final archiving operation on the eFTI platform.</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None. eFTI Gate has already removed UIL from RoI.</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CA: Accessible via direct UIL for immediate post-transport checks if authorized. EO: Authorized to perform Archive CMDS operation.</w:t>
            </w:r>
          </w:p>
        </w:tc>
      </w:tr>
      <w:tr>
        <w:tblPrEx>
          <w:shd w:val="clear" w:color="auto" w:fill="cad1d7"/>
        </w:tblPrEx>
        <w:trPr>
          <w:trHeight w:val="2638" w:hRule="atLeast"/>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Archived</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CMDS has been archived on the eFTI platform for long-term retention in accordance with applicable transport legislation retention periods.</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None. Dataset is retained on eFTI platform only.</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CA: Accessible for retrospective audits and ex-post controls via direct eFTI platform access if authorized. Access can only be granted by EO. EO: Read-only for compliance and audit purposes.</w:t>
            </w:r>
          </w:p>
        </w:tc>
      </w:tr>
      <w:tr>
        <w:tblPrEx>
          <w:shd w:val="clear" w:color="auto" w:fill="cad1d7"/>
        </w:tblPrEx>
        <w:trPr>
          <w:trHeight w:val="2878" w:hRule="atLeast"/>
        </w:trPr>
        <w:tc>
          <w:tcPr>
            <w:tcW w:type="dxa" w:w="1304"/>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Cancelled</w:t>
            </w:r>
          </w:p>
        </w:tc>
        <w:tc>
          <w:tcPr>
            <w:tcW w:type="dxa" w:w="1791"/>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CMDS was created in error or consignment voided. The dataset is cancelled on the eFTI platform with an audit trail preserved. Physical deletion is not permitted.</w:t>
            </w:r>
          </w:p>
        </w:tc>
        <w:tc>
          <w:tcPr>
            <w:tcW w:type="dxa" w:w="179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 Platform sends cancellation signal to eFTI Gate. eFTI Gate removes UIL from RoI and logs the cancellation.</w:t>
            </w:r>
          </w:p>
        </w:tc>
        <w:tc>
          <w:tcPr>
            <w:tcW w:type="dxa" w:w="475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CA: Not accessible via eFTI Gate. Cancellation traceable via audit logs on both eFTI Gate and eFTI platform. EO: No further operations. Audit trail preserved.</w:t>
            </w:r>
          </w:p>
        </w:tc>
      </w:tr>
    </w:tbl>
    <w:p>
      <w:pPr>
        <w:pStyle w:val="Body A"/>
        <w:widowControl w:val="0"/>
        <w:spacing w:before="60" w:after="80"/>
        <w:ind w:left="108" w:hanging="108"/>
      </w:pPr>
    </w:p>
    <w:p>
      <w:pPr>
        <w:pStyle w:val="Body A"/>
        <w:widowControl w:val="0"/>
        <w:spacing w:before="60" w:after="80"/>
      </w:pPr>
    </w:p>
    <w:p>
      <w:pPr>
        <w:pStyle w:val="Body A"/>
        <w:spacing w:before="120"/>
      </w:pPr>
    </w:p>
    <w:p>
      <w:pPr>
        <w:pStyle w:val="Heading 3"/>
      </w:pPr>
      <w:r>
        <w:rPr>
          <w:rtl w:val="0"/>
          <w:lang w:val="en-US"/>
        </w:rPr>
        <w:t>2.2.3 Freight Transport Mode Specific Requirements</w:t>
      </w:r>
    </w:p>
    <w:p>
      <w:pPr>
        <w:pStyle w:val="Body A"/>
        <w:spacing w:before="60" w:after="80"/>
      </w:pPr>
      <w:r>
        <w:rPr>
          <w:rtl w:val="0"/>
          <w:lang w:val="en-US"/>
        </w:rPr>
        <w:t>The following tables outline the specific searchable identifiers and regulatory requirements for each transport mode supported by the eFTI Gate, in accordance with Article 11 of Implementing Regulation (EU) 2024/1942 and Section 2 of the Annex to Delegated Regulation (EU) 2024/2024.</w:t>
      </w:r>
    </w:p>
    <w:p>
      <w:pPr>
        <w:pStyle w:val="Body A"/>
        <w:spacing w:before="80"/>
      </w:pPr>
    </w:p>
    <w:p>
      <w:pPr>
        <w:pStyle w:val="heading 4"/>
      </w:pPr>
      <w:r>
        <w:rPr>
          <w:rtl w:val="0"/>
          <w:lang w:val="en-US"/>
        </w:rPr>
        <w:t>Table 1: Road Transport Requirements (Mode 3)</w:t>
      </w:r>
    </w:p>
    <w:tbl>
      <w:tblPr>
        <w:tblW w:w="7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1400"/>
        <w:gridCol w:w="2400"/>
        <w:gridCol w:w="2438"/>
      </w:tblGrid>
      <w:tr>
        <w:tblPrEx>
          <w:shd w:val="clear" w:color="auto" w:fill="156082"/>
        </w:tblPrEx>
        <w:trPr>
          <w:trHeight w:val="438" w:hRule="atLeast"/>
          <w:tblHeader/>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eFTI Element</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Law / Regulation Reference</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REQ-ROAD-01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eFTI131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Unique identifier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REQ-ROAD-02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type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REQ-ROAD-03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eFTI618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REQ-ROAD-04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eFTI620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Registration country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REQ-ROAD-05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11(3)(a)(iv)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REQ-ROAD-06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eFTI374</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REQ-ROAD-07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REQ-ROAD-08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eFTI987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REQ-ROAD-09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eFTI450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REQ-ROAD-10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eFTI448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REQ-ROAD-11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eFTI1857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REQ-ROAD-12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eFTI1000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REQ-ROAD-13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eFTI39</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REQ-ROAD-14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REQ-ROAD-15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eFTI583</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REQ-ROAD-16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eFTI908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REQ-ROAD-17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REQ-ROAD-18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eFTI162</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REQ-ROAD-19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eFTI596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REQ-ROAD-20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REQ-ROAD-21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Main transport mode</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REQ-ROAD-22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eFTI1855</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indicator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REQ-ROAD-23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eFTI1400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UN </w:t>
            </w:r>
            <w:r>
              <w:rPr>
                <w:shd w:val="nil" w:color="auto" w:fill="auto"/>
                <w:rtl w:val="0"/>
                <w:lang w:val="en-US"/>
              </w:rPr>
              <w:t xml:space="preserve">Dangerous goods </w:t>
            </w:r>
            <w:r>
              <w:rPr>
                <w:shd w:val="nil" w:color="auto" w:fill="auto"/>
                <w:rtl w:val="0"/>
                <w:lang w:val="en-US"/>
              </w:rPr>
              <w:t>number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REQ-ROAD-24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eFTI1401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class</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119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REQ-ROAD-25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Mode 3</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UILs for road transport are deactivated only after the period defined in Art 8(2) of Reg 1072/2009</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11(4) 2024/1942</w:t>
            </w:r>
          </w:p>
        </w:tc>
      </w:tr>
    </w:tbl>
    <w:p>
      <w:pPr>
        <w:pStyle w:val="heading 4"/>
        <w:widowControl w:val="0"/>
        <w:ind w:left="108" w:hanging="108"/>
      </w:pPr>
    </w:p>
    <w:p>
      <w:pPr>
        <w:pStyle w:val="heading 4"/>
        <w:widowControl w:val="0"/>
      </w:pPr>
    </w:p>
    <w:p>
      <w:pPr>
        <w:pStyle w:val="Body A"/>
        <w:spacing w:before="80"/>
      </w:pPr>
    </w:p>
    <w:p>
      <w:pPr>
        <w:pStyle w:val="heading 4"/>
      </w:pPr>
      <w:r>
        <w:rPr>
          <w:rtl w:val="0"/>
          <w:lang w:val="en-US"/>
        </w:rPr>
        <w:t>Table 2: Rail Transport Requirements (Mode 2)</w:t>
      </w:r>
    </w:p>
    <w:tbl>
      <w:tblPr>
        <w:tblW w:w="7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1400"/>
        <w:gridCol w:w="2400"/>
        <w:gridCol w:w="2438"/>
      </w:tblGrid>
      <w:tr>
        <w:tblPrEx>
          <w:shd w:val="clear" w:color="auto" w:fill="156082"/>
        </w:tblPrEx>
        <w:trPr>
          <w:trHeight w:val="438" w:hRule="atLeast"/>
          <w:tblHeader/>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eFTI Element</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Law / Regulation Reference</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REQ-RAIL-01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eFTI131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Unique identifier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REQ-RAIL-02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type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REQ-RAIL-03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eFTI618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REQ-RAIL-04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eFTI620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Registration country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REQ-RAIL-05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11(3)(a)(iv)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REQ-RAIL-06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eFTI374</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REQ-RAIL-07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REQ-RAIL-08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eFTI987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REQ-RAIL-09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eFTI450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REQ-RAIL-10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eFTI448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REQ-RAIL-11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eFTI1857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REQ-RAIL-12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eFTI1000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REQ-RAIL-13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eFTI39</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REQ-RAIL-14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REQ-RAIL-15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eFTI583</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REQ-RAIL-16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eFTI908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REQ-RAIL-17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REQ-RAIL-18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eFTI162</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REQ-RAIL-19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eFTI596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REQ-RAIL-20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REQ-RAIL-21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Main transport mode</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REQ-RAIL-22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eFTI1855</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indicator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REQ-RAIL-23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eFTI1400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w:t>
            </w:r>
            <w:r>
              <w:rPr>
                <w:shd w:val="nil" w:color="auto" w:fill="auto"/>
                <w:rtl w:val="0"/>
                <w:lang w:val="en-US"/>
              </w:rPr>
              <w:t xml:space="preserve"> Dangerous goods</w:t>
            </w:r>
            <w:r>
              <w:rPr>
                <w:shd w:val="nil" w:color="auto" w:fill="auto"/>
                <w:rtl w:val="0"/>
                <w:lang w:val="en-US"/>
              </w:rPr>
              <w:t xml:space="preserve"> number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REQ-RAIL-24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eFTI1401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class</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bl>
    <w:p>
      <w:pPr>
        <w:pStyle w:val="heading 4"/>
        <w:widowControl w:val="0"/>
        <w:ind w:left="108" w:hanging="108"/>
      </w:pPr>
    </w:p>
    <w:p>
      <w:pPr>
        <w:pStyle w:val="heading 4"/>
        <w:widowControl w:val="0"/>
      </w:pPr>
    </w:p>
    <w:p>
      <w:pPr>
        <w:pStyle w:val="Body A"/>
        <w:spacing w:before="80"/>
      </w:pPr>
    </w:p>
    <w:p>
      <w:pPr>
        <w:pStyle w:val="heading 4"/>
      </w:pPr>
      <w:r>
        <w:rPr>
          <w:rtl w:val="0"/>
          <w:lang w:val="en-US"/>
        </w:rPr>
        <w:t>Table 3: Air Transport Requirements (Mode 4)</w:t>
      </w:r>
    </w:p>
    <w:tbl>
      <w:tblPr>
        <w:tblW w:w="7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1400"/>
        <w:gridCol w:w="2400"/>
        <w:gridCol w:w="2438"/>
      </w:tblGrid>
      <w:tr>
        <w:tblPrEx>
          <w:shd w:val="clear" w:color="auto" w:fill="156082"/>
        </w:tblPrEx>
        <w:trPr>
          <w:trHeight w:val="438" w:hRule="atLeast"/>
          <w:tblHeader/>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eFTI Element</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Law / Regulation Reference</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REQ-AIR-01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eFTI131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Unique identifier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REQ-AIR-02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type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REQ-AIR-03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eFTI618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REQ-AIR-04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eFTI620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Registration country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REQ-AIR-05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11(3)(a)(iv)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REQ-AIR-06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eFTI374</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REQ-AIR-07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REQ-AIR-08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eFTI987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REQ-AIR-09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eFTI450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REQ-AIR-10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eFTI448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REQ-AIR-11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eFTI1857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REQ-AIR-12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eFTI1000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REQ-AIR-13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eFTI39</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REQ-AIR-14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REQ-AIR-15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eFTI583</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REQ-AIR-16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eFTI908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REQ-AIR-17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REQ-AIR-18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eFTI162</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REQ-AIR-19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eFTI596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REQ-AIR-20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REQ-AIR-21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Main transport mode</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REQ-AIR-22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eFTI1855</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indicator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5"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REQ-AIR-23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eFTI1400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UN </w:t>
            </w:r>
            <w:r>
              <w:rPr>
                <w:shd w:val="nil" w:color="auto" w:fill="auto"/>
                <w:rtl w:val="0"/>
                <w:lang w:val="en-US"/>
              </w:rPr>
              <w:t xml:space="preserve">Dangerous goods </w:t>
            </w:r>
            <w:r>
              <w:rPr>
                <w:shd w:val="nil" w:color="auto" w:fill="auto"/>
                <w:rtl w:val="0"/>
                <w:lang w:val="en-US"/>
              </w:rPr>
              <w:t>number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REQ-AIR-24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eFTI1401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class</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bl>
    <w:p>
      <w:pPr>
        <w:pStyle w:val="heading 4"/>
        <w:widowControl w:val="0"/>
        <w:ind w:left="108" w:hanging="108"/>
      </w:pPr>
    </w:p>
    <w:p>
      <w:pPr>
        <w:pStyle w:val="heading 4"/>
        <w:widowControl w:val="0"/>
      </w:pPr>
    </w:p>
    <w:p>
      <w:pPr>
        <w:pStyle w:val="Body A"/>
        <w:spacing w:before="80"/>
      </w:pPr>
    </w:p>
    <w:p>
      <w:pPr>
        <w:pStyle w:val="heading 4"/>
      </w:pPr>
      <w:r>
        <w:rPr>
          <w:rtl w:val="0"/>
          <w:lang w:val="en-US"/>
        </w:rPr>
        <w:t>Table 4: Inland Waterways Requirements (Mode 8)</w:t>
      </w:r>
    </w:p>
    <w:tbl>
      <w:tblPr>
        <w:tblW w:w="7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1400"/>
        <w:gridCol w:w="2400"/>
        <w:gridCol w:w="2438"/>
      </w:tblGrid>
      <w:tr>
        <w:tblPrEx>
          <w:shd w:val="clear" w:color="auto" w:fill="156082"/>
        </w:tblPrEx>
        <w:trPr>
          <w:trHeight w:val="438" w:hRule="atLeast"/>
          <w:tblHeader/>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eFTI Element</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Law / Regulation Reference</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REQ-IWW-01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eFTI131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Unique identifier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REQ-IWW-02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type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REQ-IWW-03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eFTI618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REQ-IWW-04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eFTI620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Registration country of the means of transport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REQ-IWW-05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11(3)(a)(iv)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REQ-IWW-06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eFTI374</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REQ-IWW-07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eFTI578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REQ-IWW-08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eFTI987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REQ-IWW-09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eFTI450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category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REQ-IWW-10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eFTI448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11(3)(a)(v)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REQ-IWW-11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eFTI1857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REQ-IWW-12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eFTI1000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Sequence number of the carried transport equipment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REQ-IWW-13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eFTI39</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REQ-IWW-14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acceptance of the consignment</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REQ-IWW-15</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eFTI583</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REQ-IWW-16</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eFTI908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REQ-IWW-17</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eFTI188</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REQ-IWW-18</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eFTI162</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delivery</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REQ-IWW-19</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eFTI596</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Date and time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REQ-IWW-20</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eFTI917</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Country of the place of unloading</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11(3)(a)(xiii)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REQ-IWW-21</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eFTI581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Main transport mode</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11(3)(a)(vi)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REQ-IWW-22</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eFTI1855</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indicator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REQ-IWW-23</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eFTI1400</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w:t>
            </w:r>
            <w:r>
              <w:rPr>
                <w:shd w:val="nil" w:color="auto" w:fill="auto"/>
                <w:rtl w:val="0"/>
                <w:lang w:val="en-US"/>
              </w:rPr>
              <w:t xml:space="preserve"> Dangerous goods</w:t>
            </w:r>
            <w:r>
              <w:rPr>
                <w:shd w:val="nil" w:color="auto" w:fill="auto"/>
                <w:rtl w:val="0"/>
                <w:lang w:val="en-US"/>
              </w:rPr>
              <w:t xml:space="preserve"> number</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11(3)(b) 2024/1942</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REQ-IWW-24</w:t>
            </w:r>
          </w:p>
        </w:tc>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eFTI1401</w:t>
            </w:r>
          </w:p>
        </w:tc>
        <w:tc>
          <w:tcPr>
            <w:tcW w:type="dxa" w:w="2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Dangerous goods class</w:t>
            </w:r>
          </w:p>
        </w:tc>
        <w:tc>
          <w:tcPr>
            <w:tcW w:type="dxa" w:w="2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11(3)(b) 2024/1942</w:t>
            </w:r>
          </w:p>
        </w:tc>
      </w:tr>
    </w:tbl>
    <w:p>
      <w:pPr>
        <w:pStyle w:val="heading 4"/>
        <w:widowControl w:val="0"/>
        <w:ind w:left="108" w:hanging="108"/>
      </w:pPr>
    </w:p>
    <w:p>
      <w:pPr>
        <w:pStyle w:val="heading 4"/>
        <w:widowControl w:val="0"/>
      </w:pPr>
    </w:p>
    <w:p>
      <w:pPr>
        <w:pStyle w:val="Body A"/>
        <w:spacing w:before="120"/>
      </w:pPr>
    </w:p>
    <w:p>
      <w:pPr>
        <w:pStyle w:val="Heading 3"/>
      </w:pPr>
      <w:r>
        <w:rPr>
          <w:rtl w:val="0"/>
          <w:lang w:val="en-US"/>
        </w:rPr>
        <w:t>2.2.4 API Service Requirements</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00"/>
        <w:gridCol w:w="2500"/>
        <w:gridCol w:w="5538"/>
      </w:tblGrid>
      <w:tr>
        <w:tblPrEx>
          <w:shd w:val="clear" w:color="auto" w:fill="156082"/>
        </w:tblPrEx>
        <w:trPr>
          <w:trHeight w:val="218" w:hRule="atLeast"/>
          <w:tblHeader/>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Service</w:t>
            </w:r>
          </w:p>
        </w:tc>
        <w:tc>
          <w:tcPr>
            <w:tcW w:type="dxa" w:w="25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55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Functional Requirement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w:t>
            </w:r>
          </w:p>
        </w:tc>
        <w:tc>
          <w:tcPr>
            <w:tcW w:type="dxa" w:w="25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POST /identifiers/:datasetId</w:t>
            </w:r>
          </w:p>
        </w:tc>
        <w:tc>
          <w:tcPr>
            <w:tcW w:type="dxa" w:w="55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Platforms register freight transport CMDS UIL and identifiers. Must validate against consignment-identifier.xsd.</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Search</w:t>
            </w:r>
          </w:p>
        </w:tc>
        <w:tc>
          <w:tcPr>
            <w:tcW w:type="dxa" w:w="25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GET /identifiers/:identifier</w:t>
            </w:r>
          </w:p>
        </w:tc>
        <w:tc>
          <w:tcPr>
            <w:tcW w:type="dxa" w:w="55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Competent Authorities search for freight transport information. The eFTI Gate must stream results via SSE (Server-Sent Events) for real-time responsiveness.</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Retrieval</w:t>
            </w:r>
          </w:p>
        </w:tc>
        <w:tc>
          <w:tcPr>
            <w:tcW w:type="dxa" w:w="25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GET /dataset/...</w:t>
            </w:r>
          </w:p>
        </w:tc>
        <w:tc>
          <w:tcPr>
            <w:tcW w:type="dxa" w:w="55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Fetch XML from eFTI Platform for specific subsets (EU01-EU06) requested by the competent authority.</w:t>
            </w:r>
          </w:p>
        </w:tc>
      </w:tr>
      <w:tr>
        <w:tblPrEx>
          <w:shd w:val="clear" w:color="auto" w:fill="cad1d7"/>
        </w:tblPrEx>
        <w:trPr>
          <w:trHeight w:val="143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Follow-up</w:t>
            </w:r>
          </w:p>
        </w:tc>
        <w:tc>
          <w:tcPr>
            <w:tcW w:type="dxa" w:w="25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POST /follow-up/...</w:t>
            </w:r>
          </w:p>
        </w:tc>
        <w:tc>
          <w:tcPr>
            <w:tcW w:type="dxa" w:w="55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Communication from a competent authority to an economic operator or to an eFTI platform, following an initial request for information; may consist of a request for missing eFTI data or information in relation to follow-up action (Article 1(6) and 6(2)(c) of Implementing Regulation (EU) 2024/1942).</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Auth</w:t>
            </w:r>
          </w:p>
        </w:tc>
        <w:tc>
          <w:tcPr>
            <w:tcW w:type="dxa" w:w="25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/auth/token</w:t>
            </w:r>
          </w:p>
        </w:tc>
        <w:tc>
          <w:tcPr>
            <w:tcW w:type="dxa" w:w="55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Bearer token issuance for eFTI Platforms and Competent Authorities via X-Road or internal access management.</w:t>
            </w:r>
          </w:p>
        </w:tc>
      </w:tr>
    </w:tbl>
    <w:p>
      <w:pPr>
        <w:pStyle w:val="Heading 3"/>
        <w:widowControl w:val="0"/>
        <w:ind w:left="108" w:hanging="108"/>
      </w:pPr>
    </w:p>
    <w:p>
      <w:pPr>
        <w:pStyle w:val="Heading 3"/>
        <w:widowControl w:val="0"/>
      </w:pPr>
    </w:p>
    <w:p>
      <w:pPr>
        <w:pStyle w:val="Body A"/>
        <w:spacing w:before="80"/>
      </w:pPr>
    </w:p>
    <w:p>
      <w:pPr>
        <w:pStyle w:val="Body A"/>
        <w:spacing w:before="60" w:after="80"/>
      </w:pPr>
      <w:r>
        <w:rPr>
          <w:b w:val="1"/>
          <w:bCs w:val="1"/>
          <w:rtl w:val="0"/>
          <w:lang w:val="en-US"/>
        </w:rPr>
        <w:t>Available eFTI Subsets:</w:t>
      </w:r>
    </w:p>
    <w:p>
      <w:pPr>
        <w:pStyle w:val="List Paragraph"/>
        <w:numPr>
          <w:ilvl w:val="0"/>
          <w:numId w:val="2"/>
        </w:numPr>
        <w:bidi w:val="0"/>
        <w:spacing w:before="40" w:after="40"/>
        <w:ind w:right="0"/>
        <w:jc w:val="left"/>
        <w:rPr>
          <w:rtl w:val="0"/>
          <w:lang w:val="en-US"/>
        </w:rPr>
      </w:pPr>
      <w:r>
        <w:rPr>
          <w:b w:val="1"/>
          <w:bCs w:val="1"/>
          <w:rtl w:val="0"/>
          <w:lang w:val="en-US"/>
        </w:rPr>
        <w:t>EU01 (Full Dataset)</w:t>
      </w:r>
      <w:r>
        <w:rPr>
          <w:rtl w:val="0"/>
          <w:lang w:val="en-US"/>
        </w:rPr>
        <w:t>: All regulatory information requirements.</w:t>
      </w:r>
    </w:p>
    <w:p>
      <w:pPr>
        <w:pStyle w:val="List Paragraph"/>
        <w:numPr>
          <w:ilvl w:val="0"/>
          <w:numId w:val="2"/>
        </w:numPr>
        <w:bidi w:val="0"/>
        <w:spacing w:before="40" w:after="40"/>
        <w:ind w:right="0"/>
        <w:jc w:val="left"/>
        <w:rPr>
          <w:rtl w:val="0"/>
          <w:lang w:val="en-US"/>
        </w:rPr>
      </w:pPr>
      <w:r>
        <w:rPr>
          <w:b w:val="1"/>
          <w:bCs w:val="1"/>
          <w:rtl w:val="0"/>
          <w:lang w:val="en-US"/>
        </w:rPr>
        <w:t>EU02 (Combined Transport)</w:t>
      </w:r>
      <w:r>
        <w:rPr>
          <w:rtl w:val="0"/>
          <w:lang w:val="en-US"/>
        </w:rPr>
        <w:t>: Information requirements for the verification of combined transport operations.</w:t>
      </w:r>
    </w:p>
    <w:p>
      <w:pPr>
        <w:pStyle w:val="List Paragraph"/>
        <w:numPr>
          <w:ilvl w:val="0"/>
          <w:numId w:val="2"/>
        </w:numPr>
        <w:bidi w:val="0"/>
        <w:spacing w:before="40" w:after="40"/>
        <w:ind w:right="0"/>
        <w:jc w:val="left"/>
        <w:rPr>
          <w:rtl w:val="0"/>
          <w:lang w:val="en-US"/>
        </w:rPr>
      </w:pPr>
      <w:r>
        <w:rPr>
          <w:b w:val="1"/>
          <w:bCs w:val="1"/>
          <w:rtl w:val="0"/>
          <w:lang w:val="en-US"/>
        </w:rPr>
        <w:t>EU03 (Waste Transport)</w:t>
      </w:r>
      <w:r>
        <w:rPr>
          <w:rtl w:val="0"/>
          <w:lang w:val="en-US"/>
        </w:rPr>
        <w:t>: Information requirements for the shipment of waste.</w:t>
      </w:r>
    </w:p>
    <w:p>
      <w:pPr>
        <w:pStyle w:val="List Paragraph"/>
        <w:numPr>
          <w:ilvl w:val="0"/>
          <w:numId w:val="2"/>
        </w:numPr>
        <w:bidi w:val="0"/>
        <w:spacing w:before="40" w:after="40"/>
        <w:ind w:right="0"/>
        <w:jc w:val="left"/>
        <w:rPr>
          <w:rtl w:val="0"/>
          <w:lang w:val="en-US"/>
        </w:rPr>
      </w:pPr>
      <w:r>
        <w:rPr>
          <w:b w:val="1"/>
          <w:bCs w:val="1"/>
          <w:rtl w:val="0"/>
          <w:lang w:val="en-US"/>
        </w:rPr>
        <w:t>EU04 (Food &amp; Health)</w:t>
      </w:r>
      <w:r>
        <w:rPr>
          <w:rtl w:val="0"/>
          <w:lang w:val="en-US"/>
        </w:rPr>
        <w:t>: Information requirements for food safety, animal, and plant health.</w:t>
      </w:r>
    </w:p>
    <w:p>
      <w:pPr>
        <w:pStyle w:val="List Paragraph"/>
        <w:numPr>
          <w:ilvl w:val="0"/>
          <w:numId w:val="2"/>
        </w:numPr>
        <w:bidi w:val="0"/>
        <w:spacing w:before="40" w:after="40"/>
        <w:ind w:right="0"/>
        <w:jc w:val="left"/>
        <w:rPr>
          <w:rtl w:val="0"/>
          <w:lang w:val="en-US"/>
        </w:rPr>
      </w:pPr>
      <w:r>
        <w:rPr>
          <w:b w:val="1"/>
          <w:bCs w:val="1"/>
          <w:rtl w:val="0"/>
          <w:lang w:val="en-US"/>
        </w:rPr>
        <w:t>EU05 (Dangerous Goods)</w:t>
      </w:r>
      <w:r>
        <w:rPr>
          <w:rtl w:val="0"/>
          <w:lang w:val="en-US"/>
        </w:rPr>
        <w:t>: Information requirements for the transport of dangerous goods (ADR/RID/ADN).</w:t>
      </w:r>
    </w:p>
    <w:p>
      <w:pPr>
        <w:pStyle w:val="List Paragraph"/>
        <w:numPr>
          <w:ilvl w:val="0"/>
          <w:numId w:val="2"/>
        </w:numPr>
        <w:bidi w:val="0"/>
        <w:spacing w:before="40" w:after="40"/>
        <w:ind w:right="0"/>
        <w:jc w:val="left"/>
        <w:rPr>
          <w:rtl w:val="0"/>
          <w:lang w:val="en-US"/>
        </w:rPr>
      </w:pPr>
      <w:r>
        <w:rPr>
          <w:b w:val="1"/>
          <w:bCs w:val="1"/>
          <w:rtl w:val="0"/>
          <w:lang w:val="en-US"/>
        </w:rPr>
        <w:t>EU06 (Cabotage)</w:t>
      </w:r>
      <w:r>
        <w:rPr>
          <w:rtl w:val="0"/>
          <w:lang w:val="en-US"/>
        </w:rPr>
        <w:t>: Information requirements for the verification of cabotage compliance.</w:t>
      </w:r>
    </w:p>
    <w:p>
      <w:pPr>
        <w:pStyle w:val="Body A"/>
        <w:spacing w:before="120"/>
      </w:pPr>
    </w:p>
    <w:p>
      <w:pPr>
        <w:pStyle w:val="Heading 2"/>
      </w:pPr>
      <w:r>
        <w:rPr>
          <w:rtl w:val="0"/>
          <w:lang w:val="en-US"/>
        </w:rPr>
        <w:t>2.3 Stakeholder Requirements</w:t>
      </w:r>
    </w:p>
    <w:p>
      <w:pPr>
        <w:pStyle w:val="Body A"/>
        <w:spacing w:before="60" w:after="80"/>
      </w:pPr>
      <w:r>
        <w:rPr>
          <w:rtl w:val="0"/>
          <w:lang w:val="en-US"/>
        </w:rPr>
        <w:t>This section details specific functional and technical requirements from Estonian competent authorities (CA), categorized by their primary systems and query workflows.</w:t>
      </w:r>
    </w:p>
    <w:p>
      <w:pPr>
        <w:pStyle w:val="Body A"/>
        <w:spacing w:before="80"/>
      </w:pPr>
    </w:p>
    <w:p>
      <w:pPr>
        <w:pStyle w:val="Heading 3"/>
      </w:pPr>
      <w:r>
        <w:rPr>
          <w:rtl w:val="0"/>
          <w:lang w:val="en-US"/>
        </w:rPr>
        <w:t>2.3.1 Summary of Competent Authority Requirements</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7638"/>
      </w:tblGrid>
      <w:tr>
        <w:tblPrEx>
          <w:shd w:val="clear" w:color="auto" w:fill="156082"/>
        </w:tblPrEx>
        <w:trPr>
          <w:trHeight w:val="438" w:hRule="atLeast"/>
          <w:tblHeader/>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Competent Authority</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r>
      <w:tr>
        <w:tblPrEx>
          <w:shd w:val="clear" w:color="auto" w:fill="cad1d7"/>
        </w:tblPrEx>
        <w:trPr>
          <w:trHeight w:val="2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EMTA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Requirement 1: EMTA Related requirements are specified in section 13</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PPA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Requirement 2: The eFTI Gate must provide standardized interfaces for real-time access to regulatory information during roadside inspections.</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PPA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Requirement 3: The eFTI Gate must provide real-time result streaming via Server-Sent Events (SSE) to field tools to minimize latency.</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PPA</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Requirement 4: The eFTI Gate must provide access to historical transport identifiers to enable verification of Union cabotage compliance.</w:t>
            </w:r>
          </w:p>
        </w:tc>
      </w:tr>
      <w:tr>
        <w:tblPrEx>
          <w:shd w:val="clear" w:color="auto" w:fill="cad1d7"/>
        </w:tblPrEx>
        <w:trPr>
          <w:trHeight w:val="4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TRAM</w:t>
            </w:r>
          </w:p>
        </w:tc>
        <w:tc>
          <w:tcPr>
            <w:tcW w:type="dxa" w:w="7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Requirement 5: The eFTI Gate must provide access to aviation and maritime regulatory information subsets for ramp and port inspections.</w:t>
            </w:r>
          </w:p>
        </w:tc>
      </w:tr>
    </w:tbl>
    <w:p>
      <w:pPr>
        <w:pStyle w:val="Heading 3"/>
        <w:widowControl w:val="0"/>
        <w:ind w:left="108" w:hanging="108"/>
      </w:pPr>
    </w:p>
    <w:p>
      <w:pPr>
        <w:pStyle w:val="Heading 3"/>
        <w:widowControl w:val="0"/>
      </w:pPr>
    </w:p>
    <w:p>
      <w:pPr>
        <w:pStyle w:val="Body A"/>
        <w:spacing w:before="80"/>
      </w:pPr>
    </w:p>
    <w:p>
      <w:pPr>
        <w:pStyle w:val="Heading 3"/>
      </w:pPr>
      <w:r>
        <w:rPr>
          <w:rtl w:val="0"/>
          <w:lang w:val="en-US"/>
        </w:rPr>
        <w:t>2.3.2 Detailed Functional Requirements of Estonian eFTI gate</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00"/>
        <w:gridCol w:w="2000"/>
        <w:gridCol w:w="6038"/>
      </w:tblGrid>
      <w:tr>
        <w:tblPrEx>
          <w:shd w:val="clear" w:color="auto" w:fill="156082"/>
        </w:tblPrEx>
        <w:trPr>
          <w:trHeight w:val="218" w:hRule="atLeast"/>
          <w:tblHeader/>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Requirement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REQ-EST-01</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Driver Identification</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Data subsets provided to EMTA/PPA MUST include the driver's Estonian personal identification code and birth date (Note: driver data is not searchable in the RoI).</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REQ-EST-02</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Post-Transport Data Access</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Competent Authorities MUST be able to query and retrieve data even after the transport operation has physically ended (up to the standard retention limit).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REQ-EST-03</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X-Road Integration</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All inter-agency queries MUST be routed through the national X-Road (X-Tee) infrastructure for non-repudiation and identity management.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REQ-EST-04</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Real-time SSE Streaming</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Search results MUST be streamed to field tools (like Apollo) via Server-Sent Events to minimize perceived latency for roadside checks.</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REQ-EST-05</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Intermodal Transparency</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system MUST achieve intermodal transparency by mapping sea waybills (eSW) and Bills of Lading (eBoL) in the Registry of Identifiers (RoI), allowing authorities to query maritime-linked consignments via standardized APIs.</w:t>
            </w:r>
          </w:p>
        </w:tc>
      </w:tr>
    </w:tbl>
    <w:p>
      <w:pPr>
        <w:pStyle w:val="Heading 3"/>
        <w:widowControl w:val="0"/>
        <w:ind w:left="108" w:hanging="108"/>
      </w:pPr>
    </w:p>
    <w:p>
      <w:pPr>
        <w:pStyle w:val="Heading 3"/>
        <w:widowControl w:val="0"/>
      </w:pPr>
    </w:p>
    <w:p>
      <w:pPr>
        <w:pStyle w:val="Body A"/>
        <w:spacing w:before="80"/>
      </w:pPr>
    </w:p>
    <w:p>
      <w:pPr>
        <w:pStyle w:val="Body A"/>
        <w:spacing w:before="60" w:after="80"/>
      </w:pP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3. System Description and Architecture Overview</w:t>
      </w:r>
    </w:p>
    <w:p>
      <w:pPr>
        <w:pStyle w:val="Heading 2"/>
      </w:pPr>
      <w:r>
        <w:rPr>
          <w:rtl w:val="0"/>
          <w:lang w:val="en-US"/>
        </w:rPr>
        <w:t>3.1 Design Principles</w:t>
      </w:r>
    </w:p>
    <w:p>
      <w:pPr>
        <w:pStyle w:val="Body A"/>
        <w:spacing w:before="60" w:after="80"/>
      </w:pPr>
      <w:r>
        <w:rPr>
          <w:rtl w:val="0"/>
          <w:lang w:val="en-US"/>
        </w:rPr>
        <w:t>The eFTI Gate should be built on six core architectural pillars, aligned with Regulation (EU) 2020/1056, Implementing Regulation (EU) 2024/1942, Delegated Regulation (EU) 2024/2024, and TGD Annex 1 v1.0.3.</w:t>
      </w:r>
    </w:p>
    <w:p>
      <w:pPr>
        <w:pStyle w:val="List Paragraph"/>
        <w:numPr>
          <w:ilvl w:val="0"/>
          <w:numId w:val="2"/>
        </w:numPr>
        <w:bidi w:val="0"/>
        <w:spacing w:before="40" w:after="40"/>
        <w:ind w:right="0"/>
        <w:jc w:val="left"/>
        <w:rPr>
          <w:rtl w:val="0"/>
          <w:lang w:val="en-US"/>
        </w:rPr>
      </w:pPr>
      <w:r>
        <w:rPr>
          <w:b w:val="1"/>
          <w:bCs w:val="1"/>
          <w:rtl w:val="0"/>
          <w:lang w:val="en-US"/>
        </w:rPr>
        <w:t>Lightweight Architecture</w:t>
      </w:r>
      <w:r>
        <w:rPr>
          <w:rtl w:val="0"/>
          <w:lang w:val="en-US"/>
        </w:rPr>
        <w:t>: A modular implementation that avoids heavy third-party Access Point middleware (e.g., Domibus), reducing deployment complexity, attack surface, and maintenance overhead. This direct approach reduces deployment complexity, minimizes the attack surface, and significantly lowers maintenance overhead by eliminating complex dependency trees.</w:t>
      </w:r>
    </w:p>
    <w:p>
      <w:pPr>
        <w:pStyle w:val="List Paragraph"/>
        <w:numPr>
          <w:ilvl w:val="0"/>
          <w:numId w:val="2"/>
        </w:numPr>
        <w:bidi w:val="0"/>
        <w:spacing w:before="40" w:after="40"/>
        <w:ind w:right="0"/>
        <w:jc w:val="left"/>
        <w:rPr>
          <w:rtl w:val="0"/>
          <w:lang w:val="en-US"/>
        </w:rPr>
      </w:pPr>
      <w:r>
        <w:rPr>
          <w:b w:val="1"/>
          <w:bCs w:val="1"/>
          <w:rtl w:val="0"/>
          <w:lang w:val="en-US"/>
        </w:rPr>
        <w:t>High Concurrency &amp; Scalability</w:t>
      </w:r>
      <w:r>
        <w:rPr>
          <w:rtl w:val="0"/>
          <w:lang w:val="en-US"/>
        </w:rPr>
        <w:t>: Optimized JVM implementation leveraging Virtual Threads (Project Loom), SAX-based XML streaming, and Server-Sent Events (SSE) to handle high volumes of concurrent requests with low, predictable latency.</w:t>
      </w:r>
    </w:p>
    <w:p>
      <w:pPr>
        <w:pStyle w:val="List Paragraph"/>
        <w:numPr>
          <w:ilvl w:val="0"/>
          <w:numId w:val="2"/>
        </w:numPr>
        <w:bidi w:val="0"/>
        <w:spacing w:before="40" w:after="40"/>
        <w:ind w:right="0"/>
        <w:jc w:val="left"/>
        <w:rPr>
          <w:rtl w:val="0"/>
          <w:lang w:val="en-US"/>
        </w:rPr>
      </w:pPr>
      <w:r>
        <w:rPr>
          <w:b w:val="1"/>
          <w:bCs w:val="1"/>
          <w:rtl w:val="0"/>
          <w:lang w:val="en-US"/>
        </w:rPr>
        <w:t>Data Minimization &amp; Privacy</w:t>
      </w:r>
      <w:r>
        <w:rPr>
          <w:rtl w:val="0"/>
          <w:lang w:val="en-US"/>
        </w:rPr>
        <w:t>: UILs And searchable identifiers are stored in PostgreSQL; freight transport payloads are processed ephemerally and never persisted, with configurable retention policies for stored records.</w:t>
      </w:r>
    </w:p>
    <w:p>
      <w:pPr>
        <w:pStyle w:val="List Paragraph"/>
        <w:numPr>
          <w:ilvl w:val="0"/>
          <w:numId w:val="2"/>
        </w:numPr>
        <w:bidi w:val="0"/>
        <w:spacing w:before="40" w:after="40"/>
        <w:ind w:right="0"/>
        <w:jc w:val="left"/>
        <w:rPr>
          <w:rtl w:val="0"/>
          <w:lang w:val="en-US"/>
        </w:rPr>
      </w:pPr>
      <w:r>
        <w:rPr>
          <w:b w:val="1"/>
          <w:bCs w:val="1"/>
          <w:rtl w:val="0"/>
          <w:lang w:val="en-US"/>
        </w:rPr>
        <w:t>Security &amp; Non-Repudiation</w:t>
      </w:r>
      <w:r>
        <w:rPr>
          <w:rtl w:val="0"/>
          <w:lang w:val="en-US"/>
        </w:rPr>
        <w:t>: Zero Trust architecture with mutual TLS, token-based access control (OAuth 2.0), eIDAS-compliant digital signatures/seals validation, and comprehensive tamper-evident audit logging ensuring full traceability and non-repudiation of all operations</w:t>
      </w:r>
    </w:p>
    <w:p>
      <w:pPr>
        <w:pStyle w:val="List Paragraph"/>
        <w:numPr>
          <w:ilvl w:val="0"/>
          <w:numId w:val="2"/>
        </w:numPr>
        <w:bidi w:val="0"/>
        <w:spacing w:before="40" w:after="40"/>
        <w:ind w:right="0"/>
        <w:jc w:val="left"/>
        <w:rPr>
          <w:rtl w:val="0"/>
          <w:lang w:val="en-US"/>
        </w:rPr>
      </w:pPr>
      <w:r>
        <w:rPr>
          <w:b w:val="1"/>
          <w:bCs w:val="1"/>
          <w:rtl w:val="0"/>
          <w:lang w:val="en-US"/>
        </w:rPr>
        <w:t>Multi-Protocol Interoperability</w:t>
      </w:r>
      <w:r>
        <w:rPr>
          <w:rtl w:val="0"/>
          <w:lang w:val="en-US"/>
        </w:rPr>
        <w:t>: eDelivery (AS4) for cross-border eFTI gate-to-gate exchange, REST API (OpenAPI 3.1) for certified eFTI platform integration (FTI004), and X-Road (X-Tee) as the national integration layer for Estonian competent authorities.</w:t>
      </w:r>
    </w:p>
    <w:p>
      <w:pPr>
        <w:pStyle w:val="List Paragraph"/>
        <w:numPr>
          <w:ilvl w:val="0"/>
          <w:numId w:val="2"/>
        </w:numPr>
        <w:bidi w:val="0"/>
        <w:spacing w:before="40" w:after="40"/>
        <w:ind w:right="0"/>
        <w:jc w:val="left"/>
        <w:rPr>
          <w:rtl w:val="0"/>
          <w:lang w:val="en-US"/>
        </w:rPr>
      </w:pPr>
      <w:r>
        <w:rPr>
          <w:b w:val="1"/>
          <w:bCs w:val="1"/>
          <w:rtl w:val="0"/>
          <w:lang w:val="en-US"/>
        </w:rPr>
        <w:t>Observability &amp; Audit Compliance</w:t>
      </w:r>
      <w:r>
        <w:rPr>
          <w:rtl w:val="0"/>
          <w:lang w:val="en-US"/>
        </w:rPr>
        <w:t>: Structured logging, OpenTelemetry-based distributed tracing, circuit breaker resilience patterns, and a dedicated append-only regulatory audit trail satisfying the traceability requirements of Article 7 of Regulation (EU) 2020/1056.</w:t>
      </w:r>
    </w:p>
    <w:p>
      <w:pPr>
        <w:pStyle w:val="Body A"/>
        <w:spacing w:before="120"/>
      </w:pPr>
    </w:p>
    <w:p>
      <w:pPr>
        <w:pStyle w:val="Heading 2"/>
      </w:pPr>
      <w:r>
        <w:rPr>
          <w:rtl w:val="0"/>
          <w:lang w:val="en-US"/>
        </w:rPr>
        <w:t>3.2 Components Description</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7438"/>
      </w:tblGrid>
      <w:tr>
        <w:tblPrEx>
          <w:shd w:val="clear" w:color="auto" w:fill="156082"/>
        </w:tblPrEx>
        <w:trPr>
          <w:trHeight w:val="218" w:hRule="atLeast"/>
          <w:tblHeader/>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Component</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Technical Description &amp; Protocols</w:t>
            </w:r>
          </w:p>
        </w:tc>
      </w:tr>
      <w:tr>
        <w:tblPrEx>
          <w:shd w:val="clear" w:color="auto" w:fill="cad1d7"/>
        </w:tblPrEx>
        <w:trPr>
          <w:trHeight w:val="1438" w:hRule="atLeast"/>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Core</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Central orchestration engine managing the lifecycle of consignment identifiers and system entities. It exposes REST APIs (JSON) for administrative tasks and Synchronous REST (XML) for local eFTI platform registration (FTI004). Integrates with national authorities via X-Road (REST/SOAP), ensuring secure identity propagation. Manages persistent metadata in PostgreSQL via JDBC.</w:t>
            </w:r>
          </w:p>
        </w:tc>
      </w:tr>
      <w:tr>
        <w:tblPrEx>
          <w:shd w:val="clear" w:color="auto" w:fill="cad1d7"/>
        </w:tblPrEx>
        <w:trPr>
          <w:trHeight w:val="1438" w:hRule="atLeast"/>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eDelivery Module</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 custom, lightweight implementation of the AS4 (ebMS3) protocol. It handles asynchronous message exchange with other EU member states eFTI Gates and remote eFTI platforms. Key technical features include WS-Security (X.509), XML Canonicalization (C14N), and digital signature generation/verification (XMLDSig) to ensure non-repudiation in cross-border data flows.</w:t>
            </w:r>
          </w:p>
        </w:tc>
      </w:tr>
      <w:tr>
        <w:tblPrEx>
          <w:shd w:val="clear" w:color="auto" w:fill="cad1d7"/>
        </w:tblPrEx>
        <w:trPr>
          <w:trHeight w:val="1198" w:hRule="atLeast"/>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Subsetter Module</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High-performance data transformation engine used by the eFTI Gate to ensure retrieved datasets are filtered down to the specific subsets (EU01-EU06) requested by the competent authority. It applies a SAX-based streaming filter to minimize memory overhead when the source eFTI platform does not support native subsetting.</w:t>
            </w:r>
          </w:p>
        </w:tc>
      </w:tr>
      <w:tr>
        <w:tblPrEx>
          <w:shd w:val="clear" w:color="auto" w:fill="cad1d7"/>
        </w:tblPrEx>
        <w:trPr>
          <w:trHeight w:val="958" w:hRule="atLeast"/>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Management UI</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 Reactive web interface built with Svelte and Tailwind CSS. It communicates with the eFTI Gate Core via a secured REST API (using Bearer tokens). It provides real-time monitoring of system health and enables configuration.</w:t>
            </w:r>
          </w:p>
        </w:tc>
      </w:tr>
      <w:tr>
        <w:tblPrEx>
          <w:shd w:val="clear" w:color="auto" w:fill="cad1d7"/>
        </w:tblPrEx>
        <w:trPr>
          <w:trHeight w:val="958" w:hRule="atLeast"/>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Registry Services</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Internal logic layer responsible for managing connectivity parameters, security certificates (mTLS), and endpoint discovery. It utilizes PostgreSQL for state persistence and supports dynamic discovery updates via SMP/SML integration.</w:t>
            </w:r>
          </w:p>
        </w:tc>
      </w:tr>
      <w:tr>
        <w:tblPrEx>
          <w:shd w:val="clear" w:color="auto" w:fill="cad1d7"/>
        </w:tblPrEx>
        <w:trPr>
          <w:trHeight w:val="958" w:hRule="atLeast"/>
        </w:trPr>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Messaging Layer</w:t>
            </w:r>
          </w:p>
        </w:tc>
        <w:tc>
          <w:tcPr>
            <w:tcW w:type="dxa" w:w="7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Handles the internal routing and delivery of eFTI messages (FTI001-FTI031). It supports Server-Sent Events (SSE) for real-time streaming of search results to field applications, reducing perceived latency for roadside inspections.</w:t>
            </w:r>
          </w:p>
        </w:tc>
      </w:tr>
    </w:tbl>
    <w:p>
      <w:pPr>
        <w:pStyle w:val="Heading 2"/>
        <w:widowControl w:val="0"/>
        <w:ind w:left="108" w:hanging="108"/>
      </w:pPr>
    </w:p>
    <w:p>
      <w:pPr>
        <w:pStyle w:val="Heading 2"/>
        <w:widowControl w:val="0"/>
      </w:pPr>
    </w:p>
    <w:p>
      <w:pPr>
        <w:pStyle w:val="Body A"/>
        <w:spacing w:before="120"/>
      </w:pPr>
    </w:p>
    <w:p>
      <w:pPr>
        <w:pStyle w:val="Heading 2"/>
      </w:pPr>
      <w:r>
        <w:rPr>
          <w:rtl w:val="0"/>
          <w:lang w:val="en-US"/>
        </w:rPr>
        <w:t>3.3 System Architecture</w:t>
      </w:r>
    </w:p>
    <w:p>
      <w:pPr>
        <w:pStyle w:val="Body A"/>
        <w:spacing w:before="60" w:after="80"/>
      </w:pPr>
      <w:r>
        <w:rPr>
          <w:rtl w:val="0"/>
          <w:lang w:val="en-US"/>
        </w:rPr>
        <w:t>The following diagram illustrates the interaction between the Estonian eFTI Gate, competent authorities, and the external eFTI ecosystem.</w:t>
      </w:r>
    </w:p>
    <w:p>
      <w:pPr>
        <w:pStyle w:val="Body A"/>
        <w:spacing w:before="160" w:after="80"/>
        <w:jc w:val="center"/>
      </w:pPr>
      <w:r>
        <w:drawing xmlns:a="http://schemas.openxmlformats.org/drawingml/2006/main">
          <wp:inline distT="0" distB="0" distL="0" distR="0">
            <wp:extent cx="5727573" cy="2823854"/>
            <wp:effectExtent l="0" t="0" r="0" b="0"/>
            <wp:docPr id="1073741825" name="officeArt object" descr="Figure 1: System Architecture Overview&#10;&#10;Figure 1: System Architecture Overview"/>
            <wp:cNvGraphicFramePr/>
            <a:graphic xmlns:a="http://schemas.openxmlformats.org/drawingml/2006/main">
              <a:graphicData uri="http://schemas.openxmlformats.org/drawingml/2006/picture">
                <pic:pic xmlns:pic="http://schemas.openxmlformats.org/drawingml/2006/picture">
                  <pic:nvPicPr>
                    <pic:cNvPr id="1073741825" name="Figure 1: System Architecture OverviewFigure 1: System Architecture Overview" descr="Figure 1: System Architecture OverviewFigure 1: System Architecture Overview"/>
                    <pic:cNvPicPr>
                      <a:picLocks noChangeAspect="1"/>
                    </pic:cNvPicPr>
                  </pic:nvPicPr>
                  <pic:blipFill>
                    <a:blip r:embed="rId4">
                      <a:extLst/>
                    </a:blip>
                    <a:stretch>
                      <a:fillRect/>
                    </a:stretch>
                  </pic:blipFill>
                  <pic:spPr>
                    <a:xfrm>
                      <a:off x="0" y="0"/>
                      <a:ext cx="5727573" cy="2823854"/>
                    </a:xfrm>
                    <a:prstGeom prst="rect">
                      <a:avLst/>
                    </a:prstGeom>
                    <a:ln w="12700" cap="flat">
                      <a:noFill/>
                      <a:miter lim="400000"/>
                    </a:ln>
                    <a:effectLst/>
                  </pic:spPr>
                </pic:pic>
              </a:graphicData>
            </a:graphic>
          </wp:inline>
        </w:drawing>
      </w:r>
    </w:p>
    <w:p>
      <w:pPr>
        <w:pStyle w:val="caption"/>
      </w:pPr>
      <w:r>
        <w:rPr>
          <w:rtl w:val="0"/>
          <w:lang w:val="en-US"/>
        </w:rPr>
        <w:t>Figure 1: eFTI Gate System Architecture</w:t>
      </w:r>
    </w:p>
    <w:p>
      <w:pPr>
        <w:pStyle w:val="Body A"/>
        <w:spacing w:before="120"/>
      </w:pPr>
    </w:p>
    <w:p>
      <w:pPr>
        <w:pStyle w:val="Heading 2"/>
      </w:pPr>
      <w:r>
        <w:rPr>
          <w:rtl w:val="0"/>
          <w:lang w:val="en-US"/>
        </w:rPr>
        <w:t>3.4 Technical Stack</w:t>
      </w:r>
    </w:p>
    <w:p>
      <w:pPr>
        <w:pStyle w:val="Body A"/>
        <w:spacing w:before="60" w:after="80"/>
      </w:pPr>
      <w:r>
        <w:rPr>
          <w:rtl w:val="0"/>
          <w:lang w:val="en-US"/>
        </w:rPr>
        <w:t>Estonian eFTI Gate leverages a modern, efficient stack designed for the JVM:</w:t>
      </w:r>
    </w:p>
    <w:p>
      <w:pPr>
        <w:pStyle w:val="List Paragraph"/>
        <w:numPr>
          <w:ilvl w:val="0"/>
          <w:numId w:val="2"/>
        </w:numPr>
        <w:bidi w:val="0"/>
        <w:spacing w:before="40" w:after="40"/>
        <w:ind w:right="0"/>
        <w:jc w:val="left"/>
        <w:rPr>
          <w:rtl w:val="0"/>
          <w:lang w:val="en-US"/>
        </w:rPr>
      </w:pPr>
      <w:r>
        <w:rPr>
          <w:b w:val="1"/>
          <w:bCs w:val="1"/>
          <w:rtl w:val="0"/>
          <w:lang w:val="en-US"/>
        </w:rPr>
        <w:t>Language</w:t>
      </w:r>
      <w:r>
        <w:rPr>
          <w:rtl w:val="0"/>
          <w:lang w:val="en-US"/>
        </w:rPr>
        <w:t>: Kotlin (JVM 25) for concise, type-safe backend logic.</w:t>
      </w:r>
    </w:p>
    <w:p>
      <w:pPr>
        <w:pStyle w:val="List Paragraph"/>
        <w:numPr>
          <w:ilvl w:val="0"/>
          <w:numId w:val="2"/>
        </w:numPr>
        <w:bidi w:val="0"/>
        <w:spacing w:before="40" w:after="40"/>
        <w:ind w:right="0"/>
        <w:jc w:val="left"/>
        <w:rPr>
          <w:rtl w:val="0"/>
          <w:lang w:val="en-US"/>
        </w:rPr>
      </w:pPr>
      <w:r>
        <w:rPr>
          <w:b w:val="1"/>
          <w:bCs w:val="1"/>
          <w:rtl w:val="0"/>
          <w:lang w:val="en-US"/>
        </w:rPr>
        <w:t>Framework</w:t>
      </w:r>
      <w:r>
        <w:rPr>
          <w:rtl w:val="0"/>
          <w:lang w:val="en-US"/>
        </w:rPr>
        <w:t>: Klite - a high-performance, lightweight HTTP framework with built-in support for JSON, XML, and OpenAPI.</w:t>
      </w:r>
    </w:p>
    <w:p>
      <w:pPr>
        <w:pStyle w:val="List Paragraph"/>
        <w:numPr>
          <w:ilvl w:val="0"/>
          <w:numId w:val="2"/>
        </w:numPr>
        <w:bidi w:val="0"/>
        <w:spacing w:before="40" w:after="40"/>
        <w:ind w:right="0"/>
        <w:jc w:val="left"/>
        <w:rPr>
          <w:rtl w:val="0"/>
          <w:lang w:val="en-US"/>
        </w:rPr>
      </w:pPr>
      <w:r>
        <w:rPr>
          <w:b w:val="1"/>
          <w:bCs w:val="1"/>
          <w:rtl w:val="0"/>
          <w:lang w:val="en-US"/>
        </w:rPr>
        <w:t>Database</w:t>
      </w:r>
      <w:r>
        <w:rPr>
          <w:rtl w:val="0"/>
          <w:lang w:val="en-US"/>
        </w:rPr>
        <w:t>: PostgreSQL for reliable storage of identifiers and entity metadata.</w:t>
      </w:r>
    </w:p>
    <w:p>
      <w:pPr>
        <w:pStyle w:val="List Paragraph"/>
        <w:numPr>
          <w:ilvl w:val="0"/>
          <w:numId w:val="2"/>
        </w:numPr>
        <w:bidi w:val="0"/>
        <w:spacing w:before="40" w:after="40"/>
        <w:ind w:right="0"/>
        <w:jc w:val="left"/>
        <w:rPr>
          <w:rtl w:val="0"/>
          <w:lang w:val="en-US"/>
        </w:rPr>
      </w:pPr>
      <w:r>
        <w:rPr>
          <w:b w:val="1"/>
          <w:bCs w:val="1"/>
          <w:rtl w:val="0"/>
          <w:lang w:val="en-US"/>
        </w:rPr>
        <w:t>Frontend</w:t>
      </w:r>
      <w:r>
        <w:rPr>
          <w:rtl w:val="0"/>
          <w:lang w:val="en-US"/>
        </w:rPr>
        <w:t>: Svelte with Tailwind CSS for a fast, responsive administrative interface.</w:t>
      </w:r>
    </w:p>
    <w:p>
      <w:pPr>
        <w:pStyle w:val="List Paragraph"/>
        <w:numPr>
          <w:ilvl w:val="0"/>
          <w:numId w:val="2"/>
        </w:numPr>
        <w:bidi w:val="0"/>
        <w:spacing w:before="40" w:after="40"/>
        <w:ind w:right="0"/>
        <w:jc w:val="left"/>
        <w:rPr>
          <w:rtl w:val="0"/>
          <w:lang w:val="en-US"/>
        </w:rPr>
      </w:pPr>
      <w:r>
        <w:rPr>
          <w:b w:val="1"/>
          <w:bCs w:val="1"/>
          <w:rtl w:val="0"/>
          <w:lang w:val="en-US"/>
        </w:rPr>
        <w:t>Security</w:t>
      </w:r>
      <w:r>
        <w:rPr>
          <w:rtl w:val="0"/>
          <w:lang w:val="en-US"/>
        </w:rPr>
        <w:t>: Custom implementation of XMLDSig and mTLS for eDelivery; Bearer tokens and X-Road for API security. Authorization (RBAC) and authentication are handled by the system's security module.</w:t>
      </w:r>
    </w:p>
    <w:p>
      <w:pPr>
        <w:pStyle w:val="List Paragraph"/>
        <w:numPr>
          <w:ilvl w:val="0"/>
          <w:numId w:val="2"/>
        </w:numPr>
        <w:bidi w:val="0"/>
        <w:spacing w:before="40" w:after="40"/>
        <w:ind w:right="0"/>
        <w:jc w:val="left"/>
        <w:rPr>
          <w:rtl w:val="0"/>
          <w:lang w:val="en-US"/>
        </w:rPr>
      </w:pPr>
      <w:r>
        <w:rPr>
          <w:b w:val="1"/>
          <w:bCs w:val="1"/>
          <w:rtl w:val="0"/>
          <w:lang w:val="en-US"/>
        </w:rPr>
        <w:t>Deployment</w:t>
      </w:r>
      <w:r>
        <w:rPr>
          <w:rtl w:val="0"/>
          <w:lang w:val="en-US"/>
        </w:rPr>
        <w:t>: Docker and Kubernetes (via Helm charts) for scalable, containerized operations.</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4. Functional Requirements</w:t>
      </w:r>
    </w:p>
    <w:p>
      <w:pPr>
        <w:pStyle w:val="Heading 2"/>
      </w:pPr>
      <w:r>
        <w:rPr>
          <w:rtl w:val="0"/>
          <w:lang w:val="en-US"/>
        </w:rPr>
        <w:t>4.1 Core eFTI Gate Functions and Use Cases</w:t>
      </w:r>
    </w:p>
    <w:p>
      <w:pPr>
        <w:pStyle w:val="Body A"/>
        <w:spacing w:before="60" w:after="80"/>
      </w:pPr>
      <w:r>
        <w:rPr>
          <w:rtl w:val="0"/>
          <w:lang w:val="en-US"/>
        </w:rPr>
        <w:t>The Estonian eFTI Gate should implement four primary technical functions as defined in EU Regulation 2020/1056, enabling a wide range of functional domains for competent authorities.</w:t>
      </w:r>
    </w:p>
    <w:p>
      <w:pPr>
        <w:pStyle w:val="Body A"/>
        <w:spacing w:before="80"/>
      </w:pPr>
    </w:p>
    <w:p>
      <w:pPr>
        <w:pStyle w:val="Heading 3"/>
      </w:pPr>
      <w:r>
        <w:rPr>
          <w:rtl w:val="0"/>
          <w:lang w:val="en-US"/>
        </w:rPr>
        <w:t>4.1.1 Core eFTI Gate Functions</w:t>
      </w:r>
    </w:p>
    <w:p>
      <w:pPr>
        <w:pStyle w:val="List Paragraph"/>
        <w:numPr>
          <w:ilvl w:val="0"/>
          <w:numId w:val="2"/>
        </w:numPr>
        <w:bidi w:val="0"/>
        <w:spacing w:before="40" w:after="40"/>
        <w:ind w:right="0"/>
        <w:jc w:val="left"/>
        <w:rPr>
          <w:rtl w:val="0"/>
          <w:lang w:val="en-US"/>
        </w:rPr>
      </w:pPr>
      <w:r>
        <w:rPr>
          <w:b w:val="1"/>
          <w:bCs w:val="1"/>
          <w:rtl w:val="0"/>
          <w:lang w:val="en-US"/>
        </w:rPr>
        <w:t>Processing of unique identifiers of eFTI datasets and corresponding UILs</w:t>
      </w:r>
      <w:r>
        <w:rPr>
          <w:rtl w:val="0"/>
          <w:lang w:val="en-US"/>
        </w:rPr>
        <w:t>: Enables certified eFTI Platforms to register identifiers and UILs in the Registry of Identifiers (RoI) as defined in Article 11 of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Processing of requests for access to regulatory information</w:t>
      </w:r>
      <w:r>
        <w:rPr>
          <w:rtl w:val="0"/>
          <w:lang w:val="en-US"/>
        </w:rPr>
        <w:t>: Allows competent authorities to perform real-time checks (local and EU-wide via AS4). Checks can be performed according to identifiers in the RoI (based on UILs registered in the RoI).</w:t>
      </w:r>
    </w:p>
    <w:p>
      <w:pPr>
        <w:pStyle w:val="List Paragraph"/>
        <w:numPr>
          <w:ilvl w:val="0"/>
          <w:numId w:val="2"/>
        </w:numPr>
        <w:bidi w:val="0"/>
        <w:spacing w:before="40" w:after="40"/>
        <w:ind w:right="0"/>
        <w:jc w:val="left"/>
        <w:rPr>
          <w:rtl w:val="0"/>
          <w:lang w:val="en-US"/>
        </w:rPr>
      </w:pPr>
      <w:r>
        <w:rPr>
          <w:b w:val="1"/>
          <w:bCs w:val="1"/>
          <w:rtl w:val="0"/>
          <w:lang w:val="en-US"/>
        </w:rPr>
        <w:t>Processing of responses to requests for access to regulatory information</w:t>
      </w:r>
      <w:r>
        <w:rPr>
          <w:rtl w:val="0"/>
          <w:lang w:val="en-US"/>
        </w:rPr>
        <w:t>: Facilitates the fetching of XML datasets from eFTI platforms and ensures competent authorities only receive the specific data subsets they have requested through subset filtering.</w:t>
      </w:r>
    </w:p>
    <w:p>
      <w:pPr>
        <w:pStyle w:val="List Paragraph"/>
        <w:numPr>
          <w:ilvl w:val="0"/>
          <w:numId w:val="2"/>
        </w:numPr>
        <w:bidi w:val="0"/>
        <w:spacing w:before="40" w:after="40"/>
        <w:ind w:right="0"/>
        <w:jc w:val="left"/>
        <w:rPr>
          <w:rtl w:val="0"/>
          <w:lang w:val="en-US"/>
        </w:rPr>
      </w:pPr>
      <w:r>
        <w:rPr>
          <w:b w:val="1"/>
          <w:bCs w:val="1"/>
          <w:rtl w:val="0"/>
          <w:lang w:val="en-US"/>
        </w:rPr>
        <w:t>Processing of follow-up communications</w:t>
      </w:r>
      <w:r>
        <w:rPr>
          <w:rtl w:val="0"/>
          <w:lang w:val="en-US"/>
        </w:rPr>
        <w:t>: In accordance with Article 1(6) of Implementing Regulation (EU) 2024/1942, provides a secure channel for authorities to request additional information or clarify data discrepancies directly with the eFTI Platform.</w:t>
      </w:r>
    </w:p>
    <w:p>
      <w:pPr>
        <w:pStyle w:val="Body A"/>
        <w:spacing w:before="80"/>
      </w:pPr>
    </w:p>
    <w:p>
      <w:pPr>
        <w:pStyle w:val="Heading 3"/>
      </w:pPr>
      <w:r>
        <w:rPr>
          <w:rtl w:val="0"/>
          <w:lang w:val="en-US"/>
        </w:rPr>
        <w:t>4.1.2 Primary Functional Domains (Use Cases)</w:t>
      </w:r>
    </w:p>
    <w:p>
      <w:pPr>
        <w:pStyle w:val="Body A"/>
        <w:spacing w:before="60" w:after="80"/>
      </w:pPr>
      <w:r>
        <w:rPr>
          <w:rtl w:val="0"/>
          <w:lang w:val="en-US"/>
        </w:rPr>
        <w:t>The system supports several primary domains:</w:t>
      </w:r>
    </w:p>
    <w:p>
      <w:pPr>
        <w:pStyle w:val="List Paragraph"/>
        <w:numPr>
          <w:ilvl w:val="0"/>
          <w:numId w:val="2"/>
        </w:numPr>
        <w:bidi w:val="0"/>
        <w:spacing w:before="40" w:after="40"/>
        <w:ind w:right="0"/>
        <w:jc w:val="left"/>
        <w:rPr>
          <w:rtl w:val="0"/>
          <w:lang w:val="en-US"/>
        </w:rPr>
      </w:pPr>
      <w:r>
        <w:rPr>
          <w:b w:val="1"/>
          <w:bCs w:val="1"/>
          <w:rtl w:val="0"/>
          <w:lang w:val="en-US"/>
        </w:rPr>
        <w:t>General Road Freight Compliance</w:t>
      </w:r>
      <w:r>
        <w:rPr>
          <w:rtl w:val="0"/>
          <w:lang w:val="en-US"/>
        </w:rPr>
        <w:t>: Enables roadside inspectors to retrieve the full CMDS digitally during on-site checks.</w:t>
      </w:r>
    </w:p>
    <w:p>
      <w:pPr>
        <w:pStyle w:val="List Paragraph"/>
        <w:numPr>
          <w:ilvl w:val="0"/>
          <w:numId w:val="2"/>
        </w:numPr>
        <w:bidi w:val="0"/>
        <w:spacing w:before="40" w:after="40"/>
        <w:ind w:right="0"/>
        <w:jc w:val="left"/>
        <w:rPr>
          <w:rtl w:val="0"/>
          <w:lang w:val="en-US"/>
        </w:rPr>
      </w:pPr>
      <w:r>
        <w:rPr>
          <w:b w:val="1"/>
          <w:bCs w:val="1"/>
          <w:rtl w:val="0"/>
          <w:lang w:val="en-US"/>
        </w:rPr>
        <w:t>Dangerous Goods (DG)</w:t>
      </w:r>
      <w:r>
        <w:rPr>
          <w:rtl w:val="0"/>
          <w:lang w:val="en-US"/>
        </w:rPr>
        <w:t>: Facilitates specialized checks for ADR/RID/ADN via dedicated subsets (EU05).</w:t>
      </w:r>
    </w:p>
    <w:p>
      <w:pPr>
        <w:pStyle w:val="List Paragraph"/>
        <w:numPr>
          <w:ilvl w:val="0"/>
          <w:numId w:val="2"/>
        </w:numPr>
        <w:bidi w:val="0"/>
        <w:spacing w:before="40" w:after="40"/>
        <w:ind w:right="0"/>
        <w:jc w:val="left"/>
        <w:rPr>
          <w:rtl w:val="0"/>
          <w:lang w:val="en-US"/>
        </w:rPr>
      </w:pPr>
      <w:r>
        <w:rPr>
          <w:b w:val="1"/>
          <w:bCs w:val="1"/>
          <w:rtl w:val="0"/>
          <w:lang w:val="en-US"/>
        </w:rPr>
        <w:t>Cabotage Monitoring</w:t>
      </w:r>
      <w:r>
        <w:rPr>
          <w:rtl w:val="0"/>
          <w:lang w:val="en-US"/>
        </w:rPr>
        <w:t>: Enables competent authority to verify fulfillment of cabotage rules.</w:t>
      </w:r>
    </w:p>
    <w:p>
      <w:pPr>
        <w:pStyle w:val="List Paragraph"/>
        <w:numPr>
          <w:ilvl w:val="0"/>
          <w:numId w:val="2"/>
        </w:numPr>
        <w:bidi w:val="0"/>
        <w:spacing w:before="40" w:after="40"/>
        <w:ind w:right="0"/>
        <w:jc w:val="left"/>
        <w:rPr>
          <w:rtl w:val="0"/>
          <w:lang w:val="en-US"/>
        </w:rPr>
      </w:pPr>
      <w:r>
        <w:rPr>
          <w:b w:val="1"/>
          <w:bCs w:val="1"/>
          <w:rtl w:val="0"/>
          <w:lang w:val="en-US"/>
        </w:rPr>
        <w:t>Combined Transport</w:t>
      </w:r>
      <w:r>
        <w:rPr>
          <w:rtl w:val="0"/>
          <w:lang w:val="en-US"/>
        </w:rPr>
        <w:t>: Streamlines regulatory checks for multi-modal transitions (e.g., Sea-Road) by supporting subset EU02 for authorized authorities.</w:t>
      </w:r>
    </w:p>
    <w:p>
      <w:pPr>
        <w:pStyle w:val="List Paragraph"/>
        <w:numPr>
          <w:ilvl w:val="0"/>
          <w:numId w:val="2"/>
        </w:numPr>
        <w:bidi w:val="0"/>
        <w:spacing w:before="40" w:after="40"/>
        <w:ind w:right="0"/>
        <w:jc w:val="left"/>
        <w:rPr>
          <w:rtl w:val="0"/>
          <w:lang w:val="en-US"/>
        </w:rPr>
      </w:pPr>
      <w:r>
        <w:rPr>
          <w:b w:val="1"/>
          <w:bCs w:val="1"/>
          <w:rtl w:val="0"/>
          <w:lang w:val="en-US"/>
        </w:rPr>
        <w:t>Rail and Aviation Interoperability</w:t>
      </w:r>
      <w:r>
        <w:rPr>
          <w:rtl w:val="0"/>
          <w:lang w:val="en-US"/>
        </w:rPr>
        <w:t>: Allow competent authorities to link air, rail and inland waterways transport data to specific eFTI transport data.</w:t>
      </w:r>
    </w:p>
    <w:p>
      <w:pPr>
        <w:pStyle w:val="List Paragraph"/>
        <w:numPr>
          <w:ilvl w:val="0"/>
          <w:numId w:val="2"/>
        </w:numPr>
        <w:bidi w:val="0"/>
        <w:spacing w:before="40" w:after="40"/>
        <w:ind w:right="0"/>
        <w:jc w:val="left"/>
        <w:rPr>
          <w:rtl w:val="0"/>
          <w:lang w:val="en-US"/>
        </w:rPr>
      </w:pPr>
      <w:r>
        <w:rPr>
          <w:b w:val="1"/>
          <w:bCs w:val="1"/>
          <w:rtl w:val="0"/>
          <w:lang w:val="en-US"/>
        </w:rPr>
        <w:t>Waste Shipment Compliance</w:t>
      </w:r>
      <w:r>
        <w:rPr>
          <w:rtl w:val="0"/>
          <w:lang w:val="en-US"/>
        </w:rPr>
        <w:t>: Supports cross-border waste transport verification per Regulation (EC) No 1013/2006, leveraging eFTI subsets for waste-specific regulatory data elements.</w:t>
      </w:r>
    </w:p>
    <w:p>
      <w:pPr>
        <w:pStyle w:val="Body A"/>
        <w:spacing w:before="60" w:after="80"/>
      </w:pPr>
      <w:r>
        <w:rPr>
          <w:i w:val="1"/>
          <w:iCs w:val="1"/>
          <w:rtl w:val="0"/>
          <w:lang w:val="en-US"/>
        </w:rPr>
        <w:t>Note: subject of further analysis, described in section 12 of this document</w:t>
      </w:r>
    </w:p>
    <w:p>
      <w:pPr>
        <w:pStyle w:val="Body A"/>
        <w:spacing w:before="120"/>
      </w:pPr>
    </w:p>
    <w:p>
      <w:pPr>
        <w:pStyle w:val="Heading 2"/>
      </w:pPr>
      <w:r>
        <w:rPr>
          <w:rtl w:val="0"/>
          <w:lang w:val="it-IT"/>
        </w:rPr>
        <w:t>4.2 Message Catalog</w:t>
      </w:r>
    </w:p>
    <w:p>
      <w:pPr>
        <w:pStyle w:val="Body A"/>
        <w:spacing w:before="60" w:after="80"/>
      </w:pPr>
      <w:r>
        <w:rPr>
          <w:rtl w:val="0"/>
          <w:lang w:val="en-US"/>
        </w:rPr>
        <w:t>All system interactions follow the FTI message standard. Every transaction is identified by a MessageId and associated with a ConversationId.</w:t>
      </w:r>
    </w:p>
    <w:p>
      <w:pPr>
        <w:pStyle w:val="Body A"/>
        <w:spacing w:before="60" w:after="80"/>
      </w:pPr>
      <w:r>
        <w:rPr>
          <w:b w:val="1"/>
          <w:bCs w:val="1"/>
          <w:rtl w:val="0"/>
          <w:lang w:val="en-US"/>
        </w:rPr>
        <w:t>Note: these message IDs are recommended by the eFTI4EU project as the basis for technical interoperability.</w:t>
      </w:r>
    </w:p>
    <w:tbl>
      <w:tblPr>
        <w:tblW w:w="72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1800"/>
        <w:gridCol w:w="2600"/>
        <w:gridCol w:w="1638"/>
      </w:tblGrid>
      <w:tr>
        <w:tblPrEx>
          <w:shd w:val="clear" w:color="auto" w:fill="156082"/>
        </w:tblPrEx>
        <w:trPr>
          <w:trHeight w:val="438" w:hRule="atLeast"/>
          <w:tblHeader/>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Message ID</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Name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Response / Answer</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FTI001</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Login Request</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EO user authentication request to the eFTI Platform.</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FTI002</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FTI002</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Login Response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Status of the login process, providing a token (e.g., JWT) upon success.</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FTI003</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Upload Raw eFTI Data</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EO Application uploads full or partial dataset elements to the eFTI Platform.</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FTI006</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FTI004</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Upload Identifiers</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rPr>
              <w:t xml:space="preserve">eFTI </w:t>
            </w:r>
            <w:r>
              <w:rPr>
                <w:shd w:val="nil" w:color="auto" w:fill="auto"/>
                <w:rtl w:val="0"/>
                <w:lang w:val="en-US"/>
              </w:rPr>
              <w:t>Platform registers consignment metadata (identifiers + UIL) to the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FTI029</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FTI005</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Store Identifiers</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forwards identifiers to a Registry of Identifiers (RoI).</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FTI030</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FTI006</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UIL Generation</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rPr>
              <w:t xml:space="preserve">eFTI </w:t>
            </w:r>
            <w:r>
              <w:rPr>
                <w:shd w:val="nil" w:color="auto" w:fill="auto"/>
                <w:rtl w:val="0"/>
                <w:lang w:val="en-US"/>
              </w:rPr>
              <w:t>Platform notifies the EO Application of the generated UIL and record UUID.</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FTI007</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Raw Dataset Request</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UAP requests a dataset from the AAP using a UIL.</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FTI012</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FTI008</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Fully Qualified Dataset Request</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AAP enriches the request with CA identity and authorized subsets for the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FTI011</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FTI009</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Forward Dataset Request</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requests the dataset from the specific eFTI Platform via its endpoint.</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FTI010</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FTI010</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Response Dataset</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rPr>
              <w:t xml:space="preserve">eFTI </w:t>
            </w:r>
            <w:r>
              <w:rPr>
                <w:shd w:val="nil" w:color="auto" w:fill="auto"/>
                <w:rtl w:val="0"/>
                <w:lang w:val="en-US"/>
              </w:rPr>
              <w:t>Platform returns the filtered XML payload to the requesting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FTI011</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Forward Response (eFTI Gate)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Requesting eFTI Gate forwards the dataset payload back to the AAP.</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FTI012</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Forward Response (AAP)</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AAP forwards the final authorized payload to the CA's User Application.</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FTI013</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Request Identifier Search</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UAP initiates search (e.g., by License Plate) to the AAP.</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FTI018</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FTI014</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Authorize Search</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AAP validates search rights and forwards the query to the local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FTI017</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FTI015</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Identifiers' Search</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performs an internal lookup in its local RoI database.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FTI016</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FTI016</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Search Response (Local)</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Local RoI returns matching UILs and identifiers to the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FTI017</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Search Response (AAP)</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returns consolidated results (local + remote) to the AAP.</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FTI018</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Search Response (UAP)</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AAP forwards the final list of matching UILs to the CA Officer's screen.</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FTI019</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Request Search (Cross-Gate)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Requesting eFTI Gate broadcasts the search query to other EU MS eFTI Gates via AS4.</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FTI021</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FTI020</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Forward Request (Cross-Gate)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Requesting eFTI Gate forwards a dataset retrieval request to a remote EU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FTI022</w:t>
            </w:r>
          </w:p>
        </w:tc>
      </w:tr>
      <w:tr>
        <w:tblPrEx>
          <w:shd w:val="clear" w:color="auto" w:fill="cad1d7"/>
        </w:tblPrEx>
        <w:trPr>
          <w:trHeight w:val="119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FTI021</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Forward Search Response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Receiving eFTI Gate returns its local RoI matches to the Requesting eFTI Gate via AS4.</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119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FTI022</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Forward Dataset Response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Receiving eFTI Gate forwards the eFTI Platform's dataset response back to the Requesting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47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FTI023</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Follow-up by UAP</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CA Officer adds notes/annotations to a CMDS.</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FTI028 (Timeout)</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FTI024</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Follow-up by AAP</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AAP forwards the follow-up note to the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FTI025</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Forward Follow-up (eFTI Gate)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forwards the annotation to the eFTI Platform's follow-up endpoint.</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FTI030 (Ack)</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FTI026</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Forward Follow-up (Remote)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 Gate forwards the note to another MS eFTI Gate if the eFTI platform is remote.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FTI031 (Ack)</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FTI027</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No Response (eFTI Gate)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Signaled by the eFTI Gate to AAP when a 60s processing timeout is reached.</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FTI028</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No Response (AAP)</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Signaled by AAP to UAP when the backend system fails to respond.</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119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FTI029</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Upload Response (eFTI Platform)</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Gate confirms to eFTI Platform that identifiers were successfully stored in RoI.</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71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FTI030</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Upload Response (RoI)</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External RoI confirms record creation/update status to the eFTI Gate.</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N/A</w:t>
            </w:r>
          </w:p>
        </w:tc>
      </w:tr>
      <w:tr>
        <w:tblPrEx>
          <w:shd w:val="clear" w:color="auto" w:fill="cad1d7"/>
        </w:tblPrEx>
        <w:trPr>
          <w:trHeight w:val="958" w:hRule="atLeast"/>
        </w:trPr>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FTI031</w:t>
            </w:r>
          </w:p>
        </w:tc>
        <w:tc>
          <w:tcPr>
            <w:tcW w:type="dxa" w:w="18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Follow-up Ack (Remote)</w:t>
            </w:r>
          </w:p>
        </w:tc>
        <w:tc>
          <w:tcPr>
            <w:tcW w:type="dxa" w:w="2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Remote eFTI Gate confirms receipt of follow-up communication via AS4.</w:t>
            </w:r>
          </w:p>
        </w:tc>
        <w:tc>
          <w:tcPr>
            <w:tcW w:type="dxa" w:w="16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w:t>
            </w:r>
          </w:p>
        </w:tc>
      </w:tr>
    </w:tbl>
    <w:p>
      <w:pPr>
        <w:pStyle w:val="Body A"/>
        <w:widowControl w:val="0"/>
        <w:spacing w:before="60" w:after="80"/>
        <w:ind w:left="108" w:hanging="108"/>
      </w:pPr>
    </w:p>
    <w:p>
      <w:pPr>
        <w:pStyle w:val="Body A"/>
        <w:widowControl w:val="0"/>
        <w:spacing w:before="60" w:after="80"/>
      </w:pPr>
    </w:p>
    <w:p>
      <w:pPr>
        <w:pStyle w:val="Body A"/>
        <w:spacing w:before="120"/>
      </w:pPr>
    </w:p>
    <w:p>
      <w:pPr>
        <w:pStyle w:val="Heading 2"/>
      </w:pPr>
      <w:r>
        <w:rPr>
          <w:rtl w:val="0"/>
          <w:lang w:val="en-US"/>
        </w:rPr>
        <w:t>4.3 Registry of Identifiers (RoI)</w:t>
      </w:r>
    </w:p>
    <w:p>
      <w:pPr>
        <w:pStyle w:val="Body A"/>
        <w:spacing w:before="60" w:after="80"/>
      </w:pPr>
      <w:r>
        <w:rPr>
          <w:rtl w:val="0"/>
          <w:lang w:val="en-US"/>
        </w:rPr>
        <w:t>In accordance with Article 1(12) and Article 11 of Commission Implementing Regulation (EU) 2024/1942, the registry of identifiers is the component of the eFTI gate that stores and provides access to unique identifiers of eFTI datasets and corresponding Unique Identi</w:t>
      </w:r>
      <w:r>
        <w:rPr>
          <w:rtl w:val="0"/>
          <w:lang w:val="en-US"/>
        </w:rPr>
        <w:t>fying</w:t>
      </w:r>
      <w:r>
        <w:rPr>
          <w:rtl w:val="0"/>
          <w:lang w:val="de-DE"/>
        </w:rPr>
        <w:t xml:space="preserve"> Links (UILs).</w:t>
      </w:r>
    </w:p>
    <w:p>
      <w:pPr>
        <w:pStyle w:val="Body A"/>
        <w:spacing w:before="60" w:after="80"/>
      </w:pPr>
      <w:r>
        <w:rPr>
          <w:rtl w:val="0"/>
          <w:lang w:val="en-US"/>
        </w:rPr>
        <w:t>The following identifiers are processed in the RoI for the purpose of search and identification of regulatory information as defined in Article 11(3) of Implementing Regulation (EU) 2024/1942:</w:t>
      </w: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00"/>
        <w:gridCol w:w="2000"/>
        <w:gridCol w:w="6038"/>
      </w:tblGrid>
      <w:tr>
        <w:tblPrEx>
          <w:shd w:val="clear" w:color="auto" w:fill="156082"/>
        </w:tblPrEx>
        <w:trPr>
          <w:trHeight w:val="218" w:hRule="atLeast"/>
          <w:tblHeader/>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ID</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Name</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UIL</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Unique Identifying Link</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Unique Identifying Link used to uniquely identify and fetch a dataset across the EU network. It consists of gateId, platformId, and datasetId.</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eFTI131[*]</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Unique identifier of the consignment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unique identification of the consignment.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eFTI617[*]</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type of the means of transport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code specifying the type of freight transport means used.</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eFTI618</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means of transport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identifier of the means of transport used in the main leg of transportation.</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eFTI620</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Registration country of the means of transport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country code of the registration country of the transport means used in the main leg of transportation.</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eFTI378</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category of the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code specifying the category for the used transport equipment.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eFTI374</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identifier of the transport equipment used for transporting this consignment.</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eFTI578</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Registration country of the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code for the registration country of the used transport equipment.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eFTI987</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Sequence number of the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sequence number differentiating this piece of transport equipment from others in a set of used transport equipment.</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eFTI450[*]</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Identification of the category of the carried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code specifying the category of the carried transport equipment.</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eFTI448</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Identification of the carried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identifier of the carried transport equipment.</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eFTI1857[*]</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Registration country of the carried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registration country for this carried transport equipment.</w:t>
            </w:r>
            <w:r>
              <w:rPr>
                <w:shd w:val="nil" w:color="auto" w:fill="auto"/>
                <w:rtl w:val="0"/>
                <w:lang w:val="en-US"/>
              </w:rPr>
              <w:t xml:space="preserve"> </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eFTI1000</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Sequence number of the carried transport equipment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sequence number differentiating this piece of transport equipment from others in a set of carried transport equipment.</w:t>
            </w:r>
          </w:p>
        </w:tc>
      </w:tr>
      <w:tr>
        <w:tblPrEx>
          <w:shd w:val="clear" w:color="auto" w:fill="cad1d7"/>
        </w:tblPrEx>
        <w:trPr>
          <w:trHeight w:val="71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eFTI39</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Date and time of acceptance of the consignment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date, time, date time or other date time value when this supply chain consignment has been accepted by the carrier.</w:t>
            </w:r>
          </w:p>
        </w:tc>
      </w:tr>
      <w:tr>
        <w:tblPrEx>
          <w:shd w:val="clear" w:color="auto" w:fill="cad1d7"/>
        </w:tblPrEx>
        <w:trPr>
          <w:trHeight w:val="95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eFTI146[*]</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Country of the place of acceptance of the consignment</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country code of the carrier acceptance location.</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eFTI583[*]</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Date and time of loading</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actual loading date/time.</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eFTI908[*]</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Country of the place of loading</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country code of the loading event location.</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eFTI188</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Date and time of delivery</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actual delivery date/time for this consignment.</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eFTI162[*]</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Country of the place of delivery</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country code of the consignee receipt location.</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eFTI596[*]</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Date and time of unloading</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actual unloading date/time.</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eFTI917[*]</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Country of the place of unloading</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country code of the unloading event location.</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eFTI581</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Main transport mode</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code specifying the mode of transport for the main leg of transport.</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eFTI1855</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Dangerous goods indicator</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indication of whether or not dangerous goods are carried.</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eFTI1400[*]</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UN number</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The four-digit identification number of the substance or article taken from the UN Model Regulations.</w:t>
            </w:r>
          </w:p>
        </w:tc>
      </w:tr>
      <w:tr>
        <w:tblPrEx>
          <w:shd w:val="clear" w:color="auto" w:fill="cad1d7"/>
        </w:tblPrEx>
        <w:trPr>
          <w:trHeight w:val="478" w:hRule="atLeast"/>
        </w:trPr>
        <w:tc>
          <w:tcPr>
            <w:tcW w:type="dxa" w:w="16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eFTI1401[*]</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Dangerous goods class</w:t>
            </w:r>
          </w:p>
        </w:tc>
        <w:tc>
          <w:tcPr>
            <w:tcW w:type="dxa" w:w="60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class (and division, if applicable) assigned to the dangerous goods.</w:t>
            </w:r>
          </w:p>
        </w:tc>
      </w:tr>
    </w:tbl>
    <w:p>
      <w:pPr>
        <w:pStyle w:val="Body A"/>
        <w:widowControl w:val="0"/>
        <w:spacing w:before="60" w:after="80"/>
        <w:ind w:left="108" w:hanging="108"/>
      </w:pPr>
    </w:p>
    <w:p>
      <w:pPr>
        <w:pStyle w:val="Body A"/>
        <w:widowControl w:val="0"/>
        <w:spacing w:before="60" w:after="80"/>
      </w:pPr>
    </w:p>
    <w:p>
      <w:pPr>
        <w:pStyle w:val="Body A"/>
        <w:spacing w:before="80"/>
      </w:pPr>
    </w:p>
    <w:p>
      <w:pPr>
        <w:pStyle w:val="Body A"/>
        <w:spacing w:before="60" w:after="80"/>
      </w:pPr>
      <w:r>
        <w:rPr>
          <w:rtl w:val="0"/>
          <w:lang w:val="en-US"/>
        </w:rPr>
        <w:t>[*] Not part of mandatory XSD</w:t>
      </w:r>
      <w:r>
        <w:rPr>
          <w:rtl w:val="0"/>
          <w:lang w:val="en-US"/>
        </w:rPr>
        <w:t xml:space="preserve">. All added identifiers are identified during proof of concept Estonian eFTI Gate and are added to simplify authority queries. </w:t>
      </w:r>
    </w:p>
    <w:p>
      <w:pPr>
        <w:pStyle w:val="Body A"/>
        <w:spacing w:before="80"/>
      </w:pPr>
    </w:p>
    <w:p>
      <w:pPr>
        <w:pStyle w:val="heading 4"/>
      </w:pPr>
      <w:r>
        <w:rPr>
          <w:rtl w:val="0"/>
          <w:lang w:val="en-US"/>
        </w:rPr>
        <w:t>4.3.1 Storage and Archiving Rules</w:t>
      </w:r>
    </w:p>
    <w:p>
      <w:pPr>
        <w:pStyle w:val="List Paragraph"/>
        <w:numPr>
          <w:ilvl w:val="0"/>
          <w:numId w:val="2"/>
        </w:numPr>
        <w:bidi w:val="0"/>
        <w:spacing w:before="40" w:after="40"/>
        <w:ind w:right="0"/>
        <w:jc w:val="left"/>
        <w:rPr>
          <w:rtl w:val="0"/>
          <w:lang w:val="en-US"/>
        </w:rPr>
      </w:pPr>
      <w:r>
        <w:rPr>
          <w:b w:val="1"/>
          <w:bCs w:val="1"/>
          <w:rtl w:val="0"/>
          <w:lang w:val="en-US"/>
        </w:rPr>
        <w:t>Registration</w:t>
      </w:r>
      <w:r>
        <w:rPr>
          <w:rtl w:val="0"/>
          <w:lang w:val="en-US"/>
        </w:rPr>
        <w:t>: Created when FTI004 is received from an eFTI Platform.</w:t>
      </w:r>
    </w:p>
    <w:p>
      <w:pPr>
        <w:pStyle w:val="List Paragraph"/>
        <w:numPr>
          <w:ilvl w:val="0"/>
          <w:numId w:val="2"/>
        </w:numPr>
        <w:bidi w:val="0"/>
        <w:spacing w:before="40" w:after="40"/>
        <w:ind w:right="0"/>
        <w:jc w:val="left"/>
        <w:rPr>
          <w:rtl w:val="0"/>
          <w:lang w:val="en-US"/>
        </w:rPr>
      </w:pPr>
      <w:r>
        <w:rPr>
          <w:b w:val="1"/>
          <w:bCs w:val="1"/>
          <w:rtl w:val="0"/>
          <w:lang w:val="en-US"/>
        </w:rPr>
        <w:t>Update</w:t>
      </w:r>
      <w:r>
        <w:rPr>
          <w:rtl w:val="0"/>
          <w:lang w:val="en-US"/>
        </w:rPr>
        <w:t>: Replaces existing record when a newer FTI004 is received.</w:t>
      </w:r>
    </w:p>
    <w:p>
      <w:pPr>
        <w:pStyle w:val="List Paragraph"/>
        <w:numPr>
          <w:ilvl w:val="0"/>
          <w:numId w:val="2"/>
        </w:numPr>
        <w:bidi w:val="0"/>
        <w:spacing w:before="40" w:after="40"/>
        <w:ind w:right="0"/>
        <w:jc w:val="left"/>
        <w:rPr>
          <w:rtl w:val="0"/>
          <w:lang w:val="en-US"/>
        </w:rPr>
      </w:pPr>
      <w:r>
        <w:rPr>
          <w:b w:val="1"/>
          <w:bCs w:val="1"/>
          <w:rtl w:val="0"/>
          <w:lang w:val="en-US"/>
        </w:rPr>
        <w:t>Deactivation</w:t>
      </w:r>
      <w:r>
        <w:rPr>
          <w:rtl w:val="0"/>
          <w:lang w:val="en-US"/>
        </w:rPr>
        <w:t>: Triggered by the processing of the date and time of delivery (eFTI188). To support cabotage control for road transport (eFTI581 = '3'), the UIL remains active in the Registry for the period defined in Article 8(2) of Regulation (EC) No 1072/2009, in accordance with Article 11(4) of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Retention</w:t>
      </w:r>
      <w:r>
        <w:rPr>
          <w:rtl w:val="0"/>
          <w:lang w:val="en-US"/>
        </w:rPr>
        <w:t>: In accordance with Article 11(4) of Implementing Regulation (EU) 2024/1942, identifiers and UILs are deleted from the Registry upon deactivation. Long-term accessibility is ensured via eFTI platform directly. Upon deactivation, identifiers and UILs are deleted from the Registry, subject to the extended retention period for cabotage as described above.</w:t>
      </w:r>
    </w:p>
    <w:p>
      <w:pPr>
        <w:pStyle w:val="List Paragraph"/>
        <w:numPr>
          <w:ilvl w:val="0"/>
          <w:numId w:val="2"/>
        </w:numPr>
        <w:bidi w:val="0"/>
        <w:spacing w:before="40" w:after="40"/>
        <w:ind w:right="0"/>
        <w:jc w:val="left"/>
        <w:rPr>
          <w:rtl w:val="0"/>
          <w:lang w:val="en-US"/>
        </w:rPr>
      </w:pPr>
      <w:r>
        <w:rPr>
          <w:b w:val="1"/>
          <w:bCs w:val="1"/>
          <w:rtl w:val="0"/>
          <w:lang w:val="en-US"/>
        </w:rPr>
        <w:t>Operations Log</w:t>
      </w:r>
      <w:r>
        <w:rPr>
          <w:rtl w:val="0"/>
          <w:lang w:val="en-US"/>
        </w:rPr>
        <w:t>: As per Article 9(1)(c) of Regulation (EU) 2020/1056 and Article 6 of Implementing Regulation (EU) 2024/1942, the eFTI Gate maintains a log for a period of at least two years for the purpose of ensuring compliance, including searchable metadata and transaction logs.</w:t>
      </w:r>
    </w:p>
    <w:p>
      <w:pPr>
        <w:pStyle w:val="List Paragraph"/>
        <w:numPr>
          <w:ilvl w:val="0"/>
          <w:numId w:val="2"/>
        </w:numPr>
        <w:bidi w:val="0"/>
        <w:spacing w:before="40" w:after="40"/>
        <w:ind w:right="0"/>
        <w:jc w:val="left"/>
        <w:rPr>
          <w:rtl w:val="0"/>
          <w:lang w:val="en-US"/>
        </w:rPr>
      </w:pPr>
      <w:r>
        <w:rPr>
          <w:b w:val="1"/>
          <w:bCs w:val="1"/>
          <w:rtl w:val="0"/>
          <w:lang w:val="en-US"/>
        </w:rPr>
        <w:t>Error handling</w:t>
      </w:r>
      <w:r>
        <w:rPr>
          <w:rtl w:val="0"/>
          <w:lang w:val="en-US"/>
        </w:rPr>
        <w:t>: In case deactivated or deleted eFTI dataset (UIL + identifiers) is queried from Estonian eFTI Gate (FTI007 .. FTI0012), the answer must include a specific error message</w:t>
      </w:r>
    </w:p>
    <w:p>
      <w:pPr>
        <w:pStyle w:val="Body A"/>
        <w:spacing w:before="120"/>
      </w:pPr>
    </w:p>
    <w:p>
      <w:pPr>
        <w:pStyle w:val="Heading 2"/>
      </w:pPr>
      <w:r>
        <w:rPr>
          <w:rtl w:val="0"/>
          <w:lang w:val="en-US"/>
        </w:rPr>
        <w:t>4.4 Follow-up Communication</w:t>
      </w:r>
    </w:p>
    <w:p>
      <w:pPr>
        <w:pStyle w:val="Body A"/>
        <w:spacing w:before="60" w:after="80"/>
      </w:pPr>
      <w:r>
        <w:rPr>
          <w:rtl w:val="0"/>
          <w:lang w:val="en-US"/>
        </w:rPr>
        <w:t>In accordance with Article 1(6) of Commission Implementing Regulation (EU) 2024/1942, follow-up communication means communication between competent authorities and the economic operators concerned on the information made available by the economic operators on an eFTI platform, following a compliance check by a competent authority officer of that information as provided in response to a request for access to eFTI data. Any such follow-up communication shall comply with applicable national legal requirements on follow-up actions to regulatory compliance checks, as stipulated in Article 6(4) of Implementing Regulation (EU) 2024/1942.</w:t>
      </w:r>
    </w:p>
    <w:p>
      <w:pPr>
        <w:pStyle w:val="Body A"/>
        <w:spacing w:before="80"/>
      </w:pPr>
    </w:p>
    <w:p>
      <w:pPr>
        <w:pStyle w:val="heading 4"/>
      </w:pPr>
      <w:r>
        <w:rPr>
          <w:rtl w:val="0"/>
          <w:lang w:val="en-US"/>
        </w:rPr>
        <w:t>Scope and Purpose</w:t>
      </w:r>
    </w:p>
    <w:p>
      <w:pPr>
        <w:pStyle w:val="Body A"/>
        <w:spacing w:before="60" w:after="80"/>
      </w:pPr>
      <w:r>
        <w:rPr>
          <w:rtl w:val="0"/>
          <w:lang w:val="en-US"/>
        </w:rPr>
        <w:t>Follow-up communication is initiated where a competent authority officer establishes that the information retrieved from an eFTI platform is incomplete or otherwise fails to comply with the applicable regulatory information requirements. The purpose is to communicate those findings to the economic operator and, where necessary, to request clarification or additional information.</w:t>
      </w:r>
    </w:p>
    <w:p>
      <w:pPr>
        <w:pStyle w:val="Body A"/>
        <w:spacing w:before="80"/>
      </w:pPr>
    </w:p>
    <w:p>
      <w:pPr>
        <w:pStyle w:val="heading 4"/>
      </w:pPr>
      <w:r>
        <w:rPr>
          <w:rtl w:val="0"/>
          <w:lang w:val="en-US"/>
        </w:rPr>
        <w:t>Processing by the eFTI Gate</w:t>
      </w:r>
    </w:p>
    <w:p>
      <w:pPr>
        <w:pStyle w:val="Body A"/>
        <w:spacing w:before="60" w:after="80"/>
      </w:pPr>
      <w:r>
        <w:rPr>
          <w:rtl w:val="0"/>
          <w:lang w:val="en-US"/>
        </w:rPr>
        <w:t>The eFTI Gate acts as a pass-through intermediary for follow-up communications. It does not interpret or modify the content of the communication but ensures secure routing and metadata logging. Specifically, the eFTI Gate performs the following:</w:t>
      </w:r>
    </w:p>
    <w:p>
      <w:pPr>
        <w:pStyle w:val="List Paragraph"/>
        <w:numPr>
          <w:ilvl w:val="0"/>
          <w:numId w:val="2"/>
        </w:numPr>
        <w:bidi w:val="0"/>
        <w:spacing w:before="40" w:after="40"/>
        <w:ind w:right="0"/>
        <w:jc w:val="left"/>
        <w:rPr>
          <w:rtl w:val="0"/>
          <w:lang w:val="en-US"/>
        </w:rPr>
      </w:pPr>
      <w:r>
        <w:rPr>
          <w:rtl w:val="0"/>
          <w:lang w:val="en-US"/>
        </w:rPr>
        <w:t>Receives the follow-up communication from the AAP component via the user application and routes it to the relevant eFTI platform via the established connection (AS4 for cross-border, REST API for domestic eFTI platform connections).</w:t>
      </w:r>
    </w:p>
    <w:p>
      <w:pPr>
        <w:pStyle w:val="List Paragraph"/>
        <w:numPr>
          <w:ilvl w:val="0"/>
          <w:numId w:val="2"/>
        </w:numPr>
        <w:bidi w:val="0"/>
        <w:spacing w:before="40" w:after="40"/>
        <w:ind w:right="0"/>
        <w:jc w:val="left"/>
        <w:rPr>
          <w:rtl w:val="0"/>
          <w:lang w:val="en-US"/>
        </w:rPr>
      </w:pPr>
      <w:r>
        <w:rPr>
          <w:rtl w:val="0"/>
          <w:lang w:val="en-US"/>
        </w:rPr>
        <w:t>Logs the metadata as required by Article 6(2)(c) of Implementing Regulation (EU) 2024/1942: the unique identification number of the follow-up communication, the identifier of the AAP or requesting eFTI Gate, and the precise date and time of receipt.</w:t>
      </w:r>
    </w:p>
    <w:p>
      <w:pPr>
        <w:pStyle w:val="List Paragraph"/>
        <w:numPr>
          <w:ilvl w:val="0"/>
          <w:numId w:val="2"/>
        </w:numPr>
        <w:bidi w:val="0"/>
        <w:spacing w:before="40" w:after="40"/>
        <w:ind w:right="0"/>
        <w:jc w:val="left"/>
        <w:rPr>
          <w:rtl w:val="0"/>
          <w:lang w:val="en-US"/>
        </w:rPr>
      </w:pPr>
      <w:r>
        <w:rPr>
          <w:rtl w:val="0"/>
          <w:lang w:val="en-US"/>
        </w:rPr>
        <w:t>Routes any response from the eFTI platform (on behalf of the economic operator) back to the originating AAP component.</w:t>
      </w:r>
    </w:p>
    <w:p>
      <w:pPr>
        <w:pStyle w:val="Body A"/>
        <w:spacing w:before="80"/>
      </w:pPr>
    </w:p>
    <w:p>
      <w:pPr>
        <w:pStyle w:val="heading 4"/>
      </w:pPr>
      <w:r>
        <w:rPr>
          <w:rtl w:val="0"/>
          <w:lang w:val="en-US"/>
        </w:rPr>
        <w:t>Content Requirements</w:t>
      </w:r>
    </w:p>
    <w:p>
      <w:pPr>
        <w:pStyle w:val="Body A"/>
        <w:spacing w:before="60" w:after="80"/>
      </w:pPr>
      <w:r>
        <w:rPr>
          <w:rtl w:val="0"/>
          <w:lang w:val="en-US"/>
        </w:rPr>
        <w:t>In accordance with Article 6(4) of Implementing Regulation (EU) 2024/1942, the follow-up communication transmitted by a competent authority shall contain:</w:t>
      </w:r>
    </w:p>
    <w:p>
      <w:pPr>
        <w:pStyle w:val="List Paragraph"/>
        <w:numPr>
          <w:ilvl w:val="0"/>
          <w:numId w:val="2"/>
        </w:numPr>
        <w:bidi w:val="0"/>
        <w:spacing w:before="40" w:after="40"/>
        <w:ind w:right="0"/>
        <w:jc w:val="left"/>
        <w:rPr>
          <w:rtl w:val="0"/>
          <w:lang w:val="en-US"/>
        </w:rPr>
      </w:pPr>
      <w:r>
        <w:rPr>
          <w:rtl w:val="0"/>
          <w:lang w:val="en-US"/>
        </w:rPr>
        <w:t>The unique identification number of the original request for access to eFTI data to which the follow-up relates.</w:t>
      </w:r>
    </w:p>
    <w:p>
      <w:pPr>
        <w:pStyle w:val="List Paragraph"/>
        <w:numPr>
          <w:ilvl w:val="0"/>
          <w:numId w:val="2"/>
        </w:numPr>
        <w:bidi w:val="0"/>
        <w:spacing w:before="40" w:after="40"/>
        <w:ind w:right="0"/>
        <w:jc w:val="left"/>
        <w:rPr>
          <w:rtl w:val="0"/>
          <w:lang w:val="en-US"/>
        </w:rPr>
      </w:pPr>
      <w:r>
        <w:rPr>
          <w:rtl w:val="0"/>
          <w:lang w:val="en-US"/>
        </w:rPr>
        <w:t>A specification of the regulatory information requirements that were found to be incomplete or non-compliant.</w:t>
      </w:r>
    </w:p>
    <w:p>
      <w:pPr>
        <w:pStyle w:val="List Paragraph"/>
        <w:numPr>
          <w:ilvl w:val="0"/>
          <w:numId w:val="2"/>
        </w:numPr>
        <w:bidi w:val="0"/>
        <w:spacing w:before="40" w:after="40"/>
        <w:ind w:right="0"/>
        <w:jc w:val="left"/>
        <w:rPr>
          <w:rtl w:val="0"/>
          <w:lang w:val="en-US"/>
        </w:rPr>
      </w:pPr>
      <w:r>
        <w:rPr>
          <w:rtl w:val="0"/>
          <w:lang w:val="en-US"/>
        </w:rPr>
        <w:t>The nature of the follow-up action requested (e.g., clarification, correction, submission of additional data).</w:t>
      </w:r>
    </w:p>
    <w:p>
      <w:pPr>
        <w:pStyle w:val="Body A"/>
        <w:spacing w:before="80"/>
      </w:pPr>
    </w:p>
    <w:p>
      <w:pPr>
        <w:pStyle w:val="heading 4"/>
      </w:pPr>
      <w:r>
        <w:rPr>
          <w:rtl w:val="0"/>
          <w:lang w:val="en-US"/>
        </w:rPr>
        <w:t>Relationship to Compliance Operations</w:t>
      </w:r>
    </w:p>
    <w:p>
      <w:pPr>
        <w:pStyle w:val="Body A"/>
        <w:spacing w:before="60" w:after="80"/>
      </w:pPr>
      <w:r>
        <w:rPr>
          <w:rtl w:val="0"/>
          <w:lang w:val="en-US"/>
        </w:rPr>
        <w:t>Follow-up communication is operationally linked to the "Verify eFTI CMDS" and "Record Inspection Result" operations. A follow-up is typically initiated after a verification operation has identified a discrepancy, and the inspection result may be updated upon receipt of the economic operator's response.</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5. Messages and Data Flow Description</w:t>
      </w:r>
    </w:p>
    <w:p>
      <w:pPr>
        <w:pStyle w:val="Body A"/>
        <w:spacing w:before="60" w:after="80"/>
      </w:pPr>
      <w:r>
        <w:rPr>
          <w:rtl w:val="0"/>
          <w:lang w:val="en-US"/>
        </w:rPr>
        <w:t>This section details the primary system-to-system interactions within the eFTI ecosystem, mapping functional requirements to technical implementations.</w:t>
      </w:r>
    </w:p>
    <w:p>
      <w:pPr>
        <w:pStyle w:val="Body A"/>
        <w:spacing w:before="80"/>
      </w:pPr>
    </w:p>
    <w:p>
      <w:pPr>
        <w:pStyle w:val="Heading 2"/>
      </w:pPr>
      <w:r>
        <w:rPr>
          <w:rtl w:val="0"/>
          <w:lang w:val="it-IT"/>
        </w:rPr>
        <w:t>5.1 Economic Operator Data Upload (Informative)</w:t>
      </w:r>
    </w:p>
    <w:p>
      <w:pPr>
        <w:pStyle w:val="Body A"/>
        <w:spacing w:before="60" w:after="80"/>
      </w:pPr>
      <w:r>
        <w:rPr>
          <w:b w:val="1"/>
          <w:bCs w:val="1"/>
          <w:rtl w:val="0"/>
          <w:lang w:val="fr-FR"/>
        </w:rPr>
        <w:t>Description</w:t>
      </w:r>
      <w:r>
        <w:rPr>
          <w:rtl w:val="0"/>
          <w:lang w:val="en-US"/>
        </w:rPr>
        <w:t>: The Economic Operator (EO) uploads freight transport data to their chosen certified eFTI Platform. This flow is national to the eFTI Platform's relationship with the EO but triggers the subsequent registration with the national eFTI Gate.</w:t>
      </w:r>
    </w:p>
    <w:p>
      <w:pPr>
        <w:pStyle w:val="List Paragraph"/>
        <w:numPr>
          <w:ilvl w:val="0"/>
          <w:numId w:val="2"/>
        </w:numPr>
        <w:bidi w:val="0"/>
        <w:spacing w:before="40" w:after="40"/>
        <w:ind w:right="0"/>
        <w:jc w:val="left"/>
        <w:rPr>
          <w:rtl w:val="0"/>
          <w:lang w:val="en-US"/>
        </w:rPr>
      </w:pPr>
      <w:r>
        <w:rPr>
          <w:b w:val="1"/>
          <w:bCs w:val="1"/>
          <w:rtl w:val="0"/>
          <w:lang w:val="en-US"/>
        </w:rPr>
        <w:t>Messages</w:t>
      </w:r>
      <w:r>
        <w:rPr>
          <w:rtl w:val="0"/>
          <w:lang w:val="en-US"/>
        </w:rPr>
        <w:t>: FTI003 (Upload Data), FTI006 (UIL Generation).</w:t>
      </w:r>
    </w:p>
    <w:p>
      <w:pPr>
        <w:pStyle w:val="List Paragraph"/>
        <w:numPr>
          <w:ilvl w:val="0"/>
          <w:numId w:val="2"/>
        </w:numPr>
        <w:bidi w:val="0"/>
        <w:spacing w:before="40" w:after="40"/>
        <w:ind w:right="0"/>
        <w:jc w:val="left"/>
        <w:rPr>
          <w:rtl w:val="0"/>
          <w:lang w:val="en-US"/>
        </w:rPr>
      </w:pPr>
      <w:r>
        <w:rPr>
          <w:b w:val="1"/>
          <w:bCs w:val="1"/>
          <w:rtl w:val="0"/>
          <w:lang w:val="en-US"/>
        </w:rPr>
        <w:t>Trigger</w:t>
      </w:r>
      <w:r>
        <w:rPr>
          <w:rtl w:val="0"/>
          <w:lang w:val="en-US"/>
        </w:rPr>
        <w:t>: New freight transport assignment or update in EO's internal system.</w:t>
      </w:r>
    </w:p>
    <w:p>
      <w:pPr>
        <w:pStyle w:val="Body A"/>
        <w:spacing w:before="160" w:after="80"/>
        <w:jc w:val="center"/>
      </w:pPr>
      <w:r>
        <w:drawing xmlns:a="http://schemas.openxmlformats.org/drawingml/2006/main">
          <wp:inline distT="0" distB="0" distL="0" distR="0">
            <wp:extent cx="5391150" cy="3819525"/>
            <wp:effectExtent l="0" t="0" r="0" b="0"/>
            <wp:docPr id="1073741826" name="officeArt object" descr="Figure 2: Economic Operator Data Upload&#10;&#10;Figure 2: Economic Operator Data Upload"/>
            <wp:cNvGraphicFramePr/>
            <a:graphic xmlns:a="http://schemas.openxmlformats.org/drawingml/2006/main">
              <a:graphicData uri="http://schemas.openxmlformats.org/drawingml/2006/picture">
                <pic:pic xmlns:pic="http://schemas.openxmlformats.org/drawingml/2006/picture">
                  <pic:nvPicPr>
                    <pic:cNvPr id="1073741826" name="Figure 2: Economic Operator Data UploadFigure 2: Economic Operator Data Upload" descr="Figure 2: Economic Operator Data UploadFigure 2: Economic Operator Data Upload"/>
                    <pic:cNvPicPr>
                      <a:picLocks noChangeAspect="1"/>
                    </pic:cNvPicPr>
                  </pic:nvPicPr>
                  <pic:blipFill>
                    <a:blip r:embed="rId5">
                      <a:extLst/>
                    </a:blip>
                    <a:stretch>
                      <a:fillRect/>
                    </a:stretch>
                  </pic:blipFill>
                  <pic:spPr>
                    <a:xfrm>
                      <a:off x="0" y="0"/>
                      <a:ext cx="5391150" cy="3819525"/>
                    </a:xfrm>
                    <a:prstGeom prst="rect">
                      <a:avLst/>
                    </a:prstGeom>
                    <a:ln w="12700" cap="flat">
                      <a:noFill/>
                      <a:miter lim="400000"/>
                    </a:ln>
                    <a:effectLst/>
                  </pic:spPr>
                </pic:pic>
              </a:graphicData>
            </a:graphic>
          </wp:inline>
        </w:drawing>
      </w:r>
    </w:p>
    <w:p>
      <w:pPr>
        <w:pStyle w:val="caption"/>
      </w:pPr>
      <w:r>
        <w:rPr>
          <w:rtl w:val="0"/>
          <w:lang w:val="en-US"/>
        </w:rPr>
        <w:t>Figure 2: Economic Operator Data Upload</w:t>
      </w:r>
    </w:p>
    <w:p>
      <w:pPr>
        <w:pStyle w:val="Body A"/>
        <w:spacing w:before="80"/>
      </w:pPr>
    </w:p>
    <w:p>
      <w:pPr>
        <w:pStyle w:val="Heading 2"/>
      </w:pPr>
      <w:r>
        <w:rPr>
          <w:rtl w:val="0"/>
          <w:lang w:val="en-US"/>
        </w:rPr>
        <w:t>5.2 Processing of Unique Identifiers and UILs (Registration)</w:t>
      </w:r>
    </w:p>
    <w:p>
      <w:pPr>
        <w:pStyle w:val="Body A"/>
        <w:spacing w:before="60" w:after="80"/>
      </w:pPr>
      <w:r>
        <w:rPr>
          <w:b w:val="1"/>
          <w:bCs w:val="1"/>
          <w:rtl w:val="0"/>
          <w:lang w:val="fr-FR"/>
        </w:rPr>
        <w:t>Description</w:t>
      </w:r>
      <w:r>
        <w:rPr>
          <w:rtl w:val="0"/>
          <w:lang w:val="en-US"/>
        </w:rPr>
        <w:t>: The eFTI Platform uploads the identifiers of the CMDS, together with its UIL to the national eFTI Gate for registration in the RoI</w:t>
      </w:r>
    </w:p>
    <w:p>
      <w:pPr>
        <w:pStyle w:val="List Paragraph"/>
        <w:numPr>
          <w:ilvl w:val="0"/>
          <w:numId w:val="2"/>
        </w:numPr>
        <w:bidi w:val="0"/>
        <w:spacing w:before="40" w:after="40"/>
        <w:ind w:right="0"/>
        <w:jc w:val="left"/>
        <w:rPr>
          <w:rtl w:val="0"/>
          <w:lang w:val="en-US"/>
        </w:rPr>
      </w:pPr>
      <w:r>
        <w:rPr>
          <w:b w:val="1"/>
          <w:bCs w:val="1"/>
          <w:rtl w:val="0"/>
          <w:lang w:val="en-US"/>
        </w:rPr>
        <w:t>Messages</w:t>
      </w:r>
      <w:r>
        <w:rPr>
          <w:rtl w:val="0"/>
          <w:lang w:val="en-US"/>
        </w:rPr>
        <w:t>: FTI004 (Upload Identifiers), FTI029 (Upload Response).</w:t>
      </w:r>
    </w:p>
    <w:p>
      <w:pPr>
        <w:pStyle w:val="List Paragraph"/>
        <w:numPr>
          <w:ilvl w:val="0"/>
          <w:numId w:val="2"/>
        </w:numPr>
        <w:bidi w:val="0"/>
        <w:spacing w:before="40" w:after="40"/>
        <w:ind w:right="0"/>
        <w:jc w:val="left"/>
        <w:rPr>
          <w:rtl w:val="0"/>
          <w:lang w:val="en-US"/>
        </w:rPr>
      </w:pPr>
      <w:r>
        <w:rPr>
          <w:b w:val="1"/>
          <w:bCs w:val="1"/>
          <w:rtl w:val="0"/>
          <w:lang w:val="en-US"/>
        </w:rPr>
        <w:t>Storage</w:t>
      </w:r>
      <w:r>
        <w:rPr>
          <w:rtl w:val="0"/>
          <w:lang w:val="en-US"/>
        </w:rPr>
        <w:t>: Data is persisted in the Registry of Identifiers (RoI).</w:t>
      </w:r>
    </w:p>
    <w:p>
      <w:pPr>
        <w:pStyle w:val="Body A"/>
        <w:spacing w:before="160" w:after="80"/>
        <w:jc w:val="center"/>
      </w:pPr>
      <w:r>
        <w:drawing xmlns:a="http://schemas.openxmlformats.org/drawingml/2006/main">
          <wp:inline distT="0" distB="0" distL="0" distR="0">
            <wp:extent cx="5727573" cy="2739275"/>
            <wp:effectExtent l="0" t="0" r="0" b="0"/>
            <wp:docPr id="1073741827" name="officeArt object" descr="Figure 3: Processing of Unique Identifiers and UILs&#10;&#10;Figure 3: Processing of Unique Identifiers and UILs"/>
            <wp:cNvGraphicFramePr/>
            <a:graphic xmlns:a="http://schemas.openxmlformats.org/drawingml/2006/main">
              <a:graphicData uri="http://schemas.openxmlformats.org/drawingml/2006/picture">
                <pic:pic xmlns:pic="http://schemas.openxmlformats.org/drawingml/2006/picture">
                  <pic:nvPicPr>
                    <pic:cNvPr id="1073741827" name="Figure 3: Processing of Unique Identifiers and UILsFigure 3: Processing of Unique Identifiers and UILs" descr="Figure 3: Processing of Unique Identifiers and UILsFigure 3: Processing of Unique Identifiers and UILs"/>
                    <pic:cNvPicPr>
                      <a:picLocks noChangeAspect="1"/>
                    </pic:cNvPicPr>
                  </pic:nvPicPr>
                  <pic:blipFill>
                    <a:blip r:embed="rId6">
                      <a:extLst/>
                    </a:blip>
                    <a:stretch>
                      <a:fillRect/>
                    </a:stretch>
                  </pic:blipFill>
                  <pic:spPr>
                    <a:xfrm>
                      <a:off x="0" y="0"/>
                      <a:ext cx="5727573" cy="2739275"/>
                    </a:xfrm>
                    <a:prstGeom prst="rect">
                      <a:avLst/>
                    </a:prstGeom>
                    <a:ln w="12700" cap="flat">
                      <a:noFill/>
                      <a:miter lim="400000"/>
                    </a:ln>
                    <a:effectLst/>
                  </pic:spPr>
                </pic:pic>
              </a:graphicData>
            </a:graphic>
          </wp:inline>
        </w:drawing>
      </w:r>
    </w:p>
    <w:p>
      <w:pPr>
        <w:pStyle w:val="caption"/>
      </w:pPr>
      <w:r>
        <w:rPr>
          <w:rtl w:val="0"/>
          <w:lang w:val="en-US"/>
        </w:rPr>
        <w:t>Figure 3: Processing of Unique Identifiers and UILs</w:t>
      </w:r>
    </w:p>
    <w:p>
      <w:pPr>
        <w:pStyle w:val="Body A"/>
        <w:spacing w:before="80"/>
      </w:pPr>
    </w:p>
    <w:p>
      <w:pPr>
        <w:pStyle w:val="Heading 2"/>
      </w:pPr>
      <w:r>
        <w:rPr>
          <w:rtl w:val="0"/>
          <w:lang w:val="en-US"/>
        </w:rPr>
        <w:t>5.3 Processing of Requests for Regulatory Information (Search)</w:t>
      </w:r>
    </w:p>
    <w:p>
      <w:pPr>
        <w:pStyle w:val="Body A"/>
        <w:spacing w:before="60" w:after="80"/>
      </w:pPr>
      <w:r>
        <w:rPr>
          <w:b w:val="1"/>
          <w:bCs w:val="1"/>
          <w:rtl w:val="0"/>
          <w:lang w:val="fr-FR"/>
        </w:rPr>
        <w:t>Description</w:t>
      </w:r>
      <w:r>
        <w:rPr>
          <w:rtl w:val="0"/>
          <w:lang w:val="en-US"/>
        </w:rPr>
        <w:t>: Competent Authorities search for regulatory information by specified identifiers. Initial requests from Estonian competent authorities are national (via X-Road). If not found in the Estonian eFTI Gate, then it broadcasts a cross-border search to other Member State eFTI Gates via the eDelivery AS4 network.</w:t>
      </w:r>
    </w:p>
    <w:p>
      <w:pPr>
        <w:pStyle w:val="List Paragraph"/>
        <w:numPr>
          <w:ilvl w:val="0"/>
          <w:numId w:val="2"/>
        </w:numPr>
        <w:bidi w:val="0"/>
        <w:spacing w:before="40" w:after="40"/>
        <w:ind w:right="0"/>
        <w:jc w:val="left"/>
        <w:rPr>
          <w:rtl w:val="0"/>
          <w:lang w:val="en-US"/>
        </w:rPr>
      </w:pPr>
      <w:r>
        <w:rPr>
          <w:b w:val="1"/>
          <w:bCs w:val="1"/>
          <w:rtl w:val="0"/>
          <w:lang w:val="en-US"/>
        </w:rPr>
        <w:t>Messages</w:t>
      </w:r>
      <w:r>
        <w:rPr>
          <w:rtl w:val="0"/>
          <w:lang w:val="en-US"/>
        </w:rPr>
        <w:t>: FTI014 (Search Request - AAP to eFTI Gate), FTI019 (Cross-Gate Search), FTI021 (Cross-Gate Response).</w:t>
      </w:r>
    </w:p>
    <w:p>
      <w:pPr>
        <w:pStyle w:val="List Paragraph"/>
        <w:numPr>
          <w:ilvl w:val="0"/>
          <w:numId w:val="2"/>
        </w:numPr>
        <w:bidi w:val="0"/>
        <w:spacing w:before="40" w:after="40"/>
        <w:ind w:right="0"/>
        <w:jc w:val="left"/>
        <w:rPr>
          <w:rtl w:val="0"/>
          <w:lang w:val="en-US"/>
        </w:rPr>
      </w:pPr>
      <w:r>
        <w:rPr>
          <w:b w:val="1"/>
          <w:bCs w:val="1"/>
          <w:rtl w:val="0"/>
          <w:lang w:val="en-US"/>
        </w:rPr>
        <w:t>Feature</w:t>
      </w:r>
      <w:r>
        <w:rPr>
          <w:rtl w:val="0"/>
          <w:lang w:val="en-US"/>
        </w:rPr>
        <w:t>: Real-time result streaming using Server-Sent Events (SSE).</w:t>
      </w:r>
    </w:p>
    <w:p>
      <w:pPr>
        <w:pStyle w:val="Body A"/>
        <w:spacing w:before="160" w:after="80"/>
        <w:jc w:val="center"/>
      </w:pPr>
      <w:r>
        <w:drawing xmlns:a="http://schemas.openxmlformats.org/drawingml/2006/main">
          <wp:inline distT="0" distB="0" distL="0" distR="0">
            <wp:extent cx="5727573" cy="3479900"/>
            <wp:effectExtent l="0" t="0" r="0" b="0"/>
            <wp:docPr id="1073741828" name="officeArt object" descr="Figure 4: Processing of Requests for Regulatory Information&#10;&#10;Figure 4: Processing of Requests for Regulatory Information"/>
            <wp:cNvGraphicFramePr/>
            <a:graphic xmlns:a="http://schemas.openxmlformats.org/drawingml/2006/main">
              <a:graphicData uri="http://schemas.openxmlformats.org/drawingml/2006/picture">
                <pic:pic xmlns:pic="http://schemas.openxmlformats.org/drawingml/2006/picture">
                  <pic:nvPicPr>
                    <pic:cNvPr id="1073741828" name="Figure 4: Processing of Requests for Regulatory InformationFigure 4: Processing of Requests for Regulatory Information" descr="Figure 4: Processing of Requests for Regulatory InformationFigure 4: Processing of Requests for Regulatory Information"/>
                    <pic:cNvPicPr>
                      <a:picLocks noChangeAspect="1"/>
                    </pic:cNvPicPr>
                  </pic:nvPicPr>
                  <pic:blipFill>
                    <a:blip r:embed="rId7">
                      <a:extLst/>
                    </a:blip>
                    <a:stretch>
                      <a:fillRect/>
                    </a:stretch>
                  </pic:blipFill>
                  <pic:spPr>
                    <a:xfrm>
                      <a:off x="0" y="0"/>
                      <a:ext cx="5727573" cy="3479900"/>
                    </a:xfrm>
                    <a:prstGeom prst="rect">
                      <a:avLst/>
                    </a:prstGeom>
                    <a:ln w="12700" cap="flat">
                      <a:noFill/>
                      <a:miter lim="400000"/>
                    </a:ln>
                    <a:effectLst/>
                  </pic:spPr>
                </pic:pic>
              </a:graphicData>
            </a:graphic>
          </wp:inline>
        </w:drawing>
      </w:r>
    </w:p>
    <w:p>
      <w:pPr>
        <w:pStyle w:val="caption"/>
      </w:pPr>
      <w:r>
        <w:rPr>
          <w:rtl w:val="0"/>
          <w:lang w:val="en-US"/>
        </w:rPr>
        <w:t>Figure 4: Search for Regulatory Information</w:t>
      </w:r>
    </w:p>
    <w:p>
      <w:pPr>
        <w:pStyle w:val="Body A"/>
        <w:spacing w:before="80"/>
      </w:pPr>
    </w:p>
    <w:p>
      <w:pPr>
        <w:pStyle w:val="Heading 2"/>
      </w:pPr>
      <w:r>
        <w:rPr>
          <w:rtl w:val="0"/>
          <w:lang w:val="en-US"/>
        </w:rPr>
        <w:t>5.4 Processing of Responses for Regulatory Information (Retrieval)</w:t>
      </w:r>
    </w:p>
    <w:p>
      <w:pPr>
        <w:pStyle w:val="Body A"/>
        <w:spacing w:before="60" w:after="80"/>
      </w:pPr>
      <w:r>
        <w:rPr>
          <w:b w:val="1"/>
          <w:bCs w:val="1"/>
          <w:rtl w:val="0"/>
          <w:lang w:val="fr-FR"/>
        </w:rPr>
        <w:t>Description</w:t>
      </w:r>
      <w:r>
        <w:rPr>
          <w:rtl w:val="0"/>
          <w:lang w:val="en-US"/>
        </w:rPr>
        <w:t>: Competent Authorities retrieve a specific authorized data subset using a UIL. The request is made by Estonian competent authority. The Estonian eFTI Gate proxies the request to the target eFTI Platform (national or cross-border).</w:t>
      </w:r>
    </w:p>
    <w:p>
      <w:pPr>
        <w:pStyle w:val="List Paragraph"/>
        <w:numPr>
          <w:ilvl w:val="0"/>
          <w:numId w:val="2"/>
        </w:numPr>
        <w:bidi w:val="0"/>
        <w:spacing w:before="40" w:after="40"/>
        <w:ind w:right="0"/>
        <w:jc w:val="left"/>
        <w:rPr>
          <w:rtl w:val="0"/>
          <w:lang w:val="en-US"/>
        </w:rPr>
      </w:pPr>
      <w:r>
        <w:rPr>
          <w:b w:val="1"/>
          <w:bCs w:val="1"/>
          <w:rtl w:val="0"/>
          <w:lang w:val="en-US"/>
        </w:rPr>
        <w:t>Messages</w:t>
      </w:r>
      <w:r>
        <w:rPr>
          <w:rtl w:val="0"/>
          <w:lang w:val="en-US"/>
        </w:rPr>
        <w:t>: FTI008 (Dataset Request - AAP to eFTI Gate), FTI009 (Forward to eFTI Platform), FTI020 (Forward to Remote eFTI Gate).</w:t>
      </w:r>
    </w:p>
    <w:p>
      <w:pPr>
        <w:pStyle w:val="List Paragraph"/>
        <w:numPr>
          <w:ilvl w:val="0"/>
          <w:numId w:val="2"/>
        </w:numPr>
        <w:bidi w:val="0"/>
        <w:spacing w:before="40" w:after="40"/>
        <w:ind w:right="0"/>
        <w:jc w:val="left"/>
        <w:rPr>
          <w:rtl w:val="0"/>
          <w:lang w:val="en-US"/>
        </w:rPr>
      </w:pPr>
      <w:r>
        <w:rPr>
          <w:b w:val="1"/>
          <w:bCs w:val="1"/>
          <w:rtl w:val="0"/>
          <w:lang w:val="en-US"/>
        </w:rPr>
        <w:t>Processing</w:t>
      </w:r>
      <w:r>
        <w:rPr>
          <w:rtl w:val="0"/>
          <w:lang w:val="en-US"/>
        </w:rPr>
        <w:t>: eFTI Gate applies Subset Filtering before delivery.</w:t>
      </w:r>
    </w:p>
    <w:p>
      <w:pPr>
        <w:pStyle w:val="Body A"/>
        <w:spacing w:before="160" w:after="80"/>
        <w:jc w:val="center"/>
      </w:pPr>
      <w:r>
        <w:drawing xmlns:a="http://schemas.openxmlformats.org/drawingml/2006/main">
          <wp:inline distT="0" distB="0" distL="0" distR="0">
            <wp:extent cx="5727573" cy="3394329"/>
            <wp:effectExtent l="0" t="0" r="0" b="0"/>
            <wp:docPr id="1073741829" name="officeArt object" descr="Figure 5: Processing of Responses for Regulatory Information&#10;&#10;Figure 5: Processing of Responses for Regulatory Information"/>
            <wp:cNvGraphicFramePr/>
            <a:graphic xmlns:a="http://schemas.openxmlformats.org/drawingml/2006/main">
              <a:graphicData uri="http://schemas.openxmlformats.org/drawingml/2006/picture">
                <pic:pic xmlns:pic="http://schemas.openxmlformats.org/drawingml/2006/picture">
                  <pic:nvPicPr>
                    <pic:cNvPr id="1073741829" name="Figure 5: Processing of Responses for Regulatory InformationFigure 5: Processing of Responses for Regulatory Information" descr="Figure 5: Processing of Responses for Regulatory InformationFigure 5: Processing of Responses for Regulatory Information"/>
                    <pic:cNvPicPr>
                      <a:picLocks noChangeAspect="1"/>
                    </pic:cNvPicPr>
                  </pic:nvPicPr>
                  <pic:blipFill>
                    <a:blip r:embed="rId8">
                      <a:extLst/>
                    </a:blip>
                    <a:stretch>
                      <a:fillRect/>
                    </a:stretch>
                  </pic:blipFill>
                  <pic:spPr>
                    <a:xfrm>
                      <a:off x="0" y="0"/>
                      <a:ext cx="5727573" cy="3394329"/>
                    </a:xfrm>
                    <a:prstGeom prst="rect">
                      <a:avLst/>
                    </a:prstGeom>
                    <a:ln w="12700" cap="flat">
                      <a:noFill/>
                      <a:miter lim="400000"/>
                    </a:ln>
                    <a:effectLst/>
                  </pic:spPr>
                </pic:pic>
              </a:graphicData>
            </a:graphic>
          </wp:inline>
        </w:drawing>
      </w:r>
    </w:p>
    <w:p>
      <w:pPr>
        <w:pStyle w:val="caption"/>
      </w:pPr>
      <w:r>
        <w:rPr>
          <w:rtl w:val="0"/>
          <w:lang w:val="en-US"/>
        </w:rPr>
        <w:t>Figure 5: Retrieval of Regulatory Information</w:t>
      </w:r>
    </w:p>
    <w:p>
      <w:pPr>
        <w:pStyle w:val="Body A"/>
        <w:spacing w:before="80"/>
      </w:pPr>
    </w:p>
    <w:p>
      <w:pPr>
        <w:pStyle w:val="Heading 2"/>
      </w:pPr>
      <w:r>
        <w:rPr>
          <w:rtl w:val="0"/>
          <w:lang w:val="en-US"/>
        </w:rPr>
        <w:t>5.5 Processing of Follow-up Communications</w:t>
      </w:r>
    </w:p>
    <w:p>
      <w:pPr>
        <w:pStyle w:val="Body A"/>
        <w:spacing w:before="60" w:after="80"/>
      </w:pPr>
      <w:r>
        <w:rPr>
          <w:b w:val="1"/>
          <w:bCs w:val="1"/>
          <w:rtl w:val="0"/>
          <w:lang w:val="fr-FR"/>
        </w:rPr>
        <w:t>Description</w:t>
      </w:r>
      <w:r>
        <w:rPr>
          <w:rtl w:val="0"/>
          <w:lang w:val="en-US"/>
        </w:rPr>
        <w:t>: A competent authority representative sends follow-up communication regarding a retrieved dataset to the eFTI Platform.</w:t>
      </w:r>
    </w:p>
    <w:p>
      <w:pPr>
        <w:pStyle w:val="List Paragraph"/>
        <w:numPr>
          <w:ilvl w:val="0"/>
          <w:numId w:val="2"/>
        </w:numPr>
        <w:bidi w:val="0"/>
        <w:spacing w:before="40" w:after="40"/>
        <w:ind w:right="0"/>
        <w:jc w:val="left"/>
        <w:rPr>
          <w:rtl w:val="0"/>
          <w:lang w:val="en-US"/>
        </w:rPr>
      </w:pPr>
      <w:r>
        <w:rPr>
          <w:b w:val="1"/>
          <w:bCs w:val="1"/>
          <w:rtl w:val="0"/>
          <w:lang w:val="en-US"/>
        </w:rPr>
        <w:t>Messages</w:t>
      </w:r>
      <w:r>
        <w:rPr>
          <w:rtl w:val="0"/>
          <w:lang w:val="en-US"/>
        </w:rPr>
        <w:t>: FTI024 (Follow-up Request - AAP to eFTI Gate), FTI025 (Forward to eFTI Platform), FTI026 (Forward to Remote eFTI Gate).</w:t>
      </w:r>
    </w:p>
    <w:p>
      <w:pPr>
        <w:pStyle w:val="List Paragraph"/>
        <w:numPr>
          <w:ilvl w:val="0"/>
          <w:numId w:val="2"/>
        </w:numPr>
        <w:bidi w:val="0"/>
        <w:spacing w:before="40" w:after="40"/>
        <w:ind w:right="0"/>
        <w:jc w:val="left"/>
        <w:rPr>
          <w:rtl w:val="0"/>
          <w:lang w:val="en-US"/>
        </w:rPr>
      </w:pPr>
      <w:r>
        <w:rPr>
          <w:b w:val="1"/>
          <w:bCs w:val="1"/>
          <w:rtl w:val="0"/>
          <w:lang w:val="en-US"/>
        </w:rPr>
        <w:t>Trigger</w:t>
      </w:r>
      <w:r>
        <w:rPr>
          <w:rtl w:val="0"/>
          <w:lang w:val="en-US"/>
        </w:rPr>
        <w:t>: New freight transport assignment or update in EO's internal system.</w:t>
      </w:r>
    </w:p>
    <w:p>
      <w:pPr>
        <w:pStyle w:val="Body A"/>
        <w:spacing w:before="160" w:after="80"/>
        <w:jc w:val="center"/>
      </w:pPr>
      <w:r>
        <w:drawing xmlns:a="http://schemas.openxmlformats.org/drawingml/2006/main">
          <wp:inline distT="0" distB="0" distL="0" distR="0">
            <wp:extent cx="5727573" cy="3057749"/>
            <wp:effectExtent l="0" t="0" r="0" b="0"/>
            <wp:docPr id="1073741830" name="officeArt object" descr="Figure 6: Processing of Follow-up Communications&#10;&#10;Figure 6: Processing of Follow-up Communications"/>
            <wp:cNvGraphicFramePr/>
            <a:graphic xmlns:a="http://schemas.openxmlformats.org/drawingml/2006/main">
              <a:graphicData uri="http://schemas.openxmlformats.org/drawingml/2006/picture">
                <pic:pic xmlns:pic="http://schemas.openxmlformats.org/drawingml/2006/picture">
                  <pic:nvPicPr>
                    <pic:cNvPr id="1073741830" name="Figure 6: Processing of Follow-up CommunicationsFigure 6: Processing of Follow-up Communications" descr="Figure 6: Processing of Follow-up CommunicationsFigure 6: Processing of Follow-up Communications"/>
                    <pic:cNvPicPr>
                      <a:picLocks noChangeAspect="1"/>
                    </pic:cNvPicPr>
                  </pic:nvPicPr>
                  <pic:blipFill>
                    <a:blip r:embed="rId9">
                      <a:extLst/>
                    </a:blip>
                    <a:stretch>
                      <a:fillRect/>
                    </a:stretch>
                  </pic:blipFill>
                  <pic:spPr>
                    <a:xfrm>
                      <a:off x="0" y="0"/>
                      <a:ext cx="5727573" cy="3057749"/>
                    </a:xfrm>
                    <a:prstGeom prst="rect">
                      <a:avLst/>
                    </a:prstGeom>
                    <a:ln w="12700" cap="flat">
                      <a:noFill/>
                      <a:miter lim="400000"/>
                    </a:ln>
                    <a:effectLst/>
                  </pic:spPr>
                </pic:pic>
              </a:graphicData>
            </a:graphic>
          </wp:inline>
        </w:drawing>
      </w:r>
    </w:p>
    <w:p>
      <w:pPr>
        <w:pStyle w:val="caption"/>
      </w:pPr>
      <w:r>
        <w:rPr>
          <w:rtl w:val="0"/>
          <w:lang w:val="en-US"/>
        </w:rPr>
        <w:t>Figure 6: Follow-up Communications</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6. User Roles and Privileges</w:t>
      </w:r>
    </w:p>
    <w:p>
      <w:pPr>
        <w:pStyle w:val="Heading 2"/>
      </w:pPr>
      <w:r>
        <w:rPr>
          <w:rtl w:val="0"/>
          <w:lang w:val="en-US"/>
        </w:rPr>
        <w:t>6.1 Role Definitions</w:t>
      </w:r>
    </w:p>
    <w:p>
      <w:pPr>
        <w:pStyle w:val="Body A"/>
        <w:spacing w:before="60" w:after="80"/>
      </w:pPr>
      <w:r>
        <w:rPr>
          <w:rtl w:val="0"/>
          <w:lang w:val="en-US"/>
        </w:rPr>
        <w:t>The eFTI Gate defines roles based on the underlying code implementation and the entities specified in EU Regulation 2020/1056. These roles are assigned to human users (using the Management UI) for system management and data access.</w:t>
      </w:r>
    </w:p>
    <w:p>
      <w:pPr>
        <w:pStyle w:val="Body A"/>
        <w:spacing w:before="80"/>
      </w:pPr>
    </w:p>
    <w:p>
      <w:pPr>
        <w:pStyle w:val="List Paragraph"/>
        <w:numPr>
          <w:ilvl w:val="0"/>
          <w:numId w:val="2"/>
        </w:numPr>
        <w:spacing w:before="40" w:after="40"/>
        <w:rPr>
          <w:lang w:val="en-US"/>
        </w:rPr>
      </w:pPr>
      <w:r>
        <w:rPr>
          <w:b w:val="1"/>
          <w:bCs w:val="1"/>
          <w:rtl w:val="0"/>
          <w:lang w:val="en-US"/>
        </w:rPr>
        <w:t>eFTI Gate Super Admin</w:t>
      </w:r>
      <w:r>
        <w:rPr>
          <w:rtl w:val="0"/>
          <w:lang w:val="en-US"/>
        </w:rPr>
        <w:t xml:space="preserve"> (Code: ADMIN): Full system access without specific entity scoping. Responsible for high-level management, including creating other admins, managing system-wide certificates, and monitoring overall health.</w:t>
      </w:r>
    </w:p>
    <w:p>
      <w:pPr>
        <w:pStyle w:val="List Paragraph"/>
        <w:numPr>
          <w:ilvl w:val="0"/>
          <w:numId w:val="2"/>
        </w:numPr>
        <w:bidi w:val="0"/>
        <w:spacing w:before="40" w:after="40"/>
        <w:ind w:right="0"/>
        <w:jc w:val="left"/>
        <w:rPr>
          <w:rtl w:val="0"/>
          <w:lang w:val="en-US"/>
        </w:rPr>
      </w:pPr>
      <w:r>
        <w:rPr>
          <w:b w:val="1"/>
          <w:bCs w:val="1"/>
          <w:rtl w:val="0"/>
          <w:lang w:val="en-US"/>
        </w:rPr>
        <w:t>Competent Authority</w:t>
      </w:r>
      <w:r>
        <w:rPr>
          <w:rtl w:val="0"/>
          <w:lang w:val="en-US"/>
        </w:rPr>
        <w:t xml:space="preserve"> (Code: AUTHORITY): A public authority authorized to query and view regulatory freight transport information in accordance with its legal mandate.</w:t>
      </w:r>
    </w:p>
    <w:p>
      <w:pPr>
        <w:pStyle w:val="List Paragraph"/>
        <w:numPr>
          <w:ilvl w:val="1"/>
          <w:numId w:val="4"/>
        </w:numPr>
        <w:bidi w:val="0"/>
        <w:spacing w:before="40" w:after="40"/>
        <w:ind w:right="0"/>
        <w:jc w:val="left"/>
        <w:rPr>
          <w:rtl w:val="0"/>
          <w:lang w:val="en-US"/>
        </w:rPr>
      </w:pPr>
      <w:r>
        <w:rPr>
          <w:rtl w:val="0"/>
          <w:lang w:val="en-US"/>
        </w:rPr>
        <w:t>CA Admin: An administrative user (human) scoped to a specific AuthorityId. Manages user accounts and API keys for their authority.</w:t>
      </w:r>
    </w:p>
    <w:p>
      <w:pPr>
        <w:pStyle w:val="List Paragraph"/>
        <w:numPr>
          <w:ilvl w:val="1"/>
          <w:numId w:val="4"/>
        </w:numPr>
        <w:bidi w:val="0"/>
        <w:spacing w:before="40" w:after="40"/>
        <w:ind w:right="0"/>
        <w:jc w:val="left"/>
        <w:rPr>
          <w:rtl w:val="0"/>
          <w:lang w:val="en-US"/>
        </w:rPr>
      </w:pPr>
      <w:r>
        <w:rPr>
          <w:rtl w:val="0"/>
          <w:lang w:val="en-US"/>
        </w:rPr>
        <w:t>Inspector / Officer: A human user performing real-time searches and retrievals through an authorized competent authority user interface.</w:t>
      </w:r>
    </w:p>
    <w:p>
      <w:pPr>
        <w:pStyle w:val="List Paragraph"/>
        <w:numPr>
          <w:ilvl w:val="0"/>
          <w:numId w:val="2"/>
        </w:numPr>
        <w:bidi w:val="0"/>
        <w:spacing w:before="40" w:after="40"/>
        <w:ind w:right="0"/>
        <w:jc w:val="left"/>
        <w:rPr>
          <w:rtl w:val="0"/>
          <w:lang w:val="en-US"/>
        </w:rPr>
      </w:pPr>
      <w:r>
        <w:rPr>
          <w:b w:val="1"/>
          <w:bCs w:val="1"/>
          <w:rtl w:val="0"/>
          <w:lang w:val="en-US"/>
        </w:rPr>
        <w:t>eFTI Platform</w:t>
      </w:r>
      <w:r>
        <w:rPr>
          <w:rtl w:val="0"/>
          <w:lang w:val="en-US"/>
        </w:rPr>
        <w:t xml:space="preserve"> (Code: PLATFORM): A certified ICT solution used by economic operators to store and process freight transport datasets.</w:t>
      </w:r>
    </w:p>
    <w:p>
      <w:pPr>
        <w:pStyle w:val="List Paragraph"/>
        <w:numPr>
          <w:ilvl w:val="1"/>
          <w:numId w:val="4"/>
        </w:numPr>
        <w:spacing w:before="40" w:after="40"/>
        <w:rPr>
          <w:lang w:val="en-US"/>
        </w:rPr>
      </w:pPr>
      <w:r>
        <w:rPr>
          <w:rtl w:val="0"/>
          <w:lang w:val="en-US"/>
        </w:rPr>
        <w:t>eFTI Platform Admin: A human user managing credentials and monitoring registration success for a specific PlatformId.</w:t>
      </w:r>
    </w:p>
    <w:p>
      <w:pPr>
        <w:pStyle w:val="List Paragraph"/>
        <w:numPr>
          <w:ilvl w:val="0"/>
          <w:numId w:val="2"/>
        </w:numPr>
        <w:bidi w:val="0"/>
        <w:spacing w:before="40" w:after="40"/>
        <w:ind w:right="0"/>
        <w:jc w:val="left"/>
        <w:rPr>
          <w:rtl w:val="0"/>
          <w:lang w:val="en-US"/>
        </w:rPr>
      </w:pPr>
      <w:r>
        <w:rPr>
          <w:b w:val="1"/>
          <w:bCs w:val="1"/>
          <w:rtl w:val="0"/>
          <w:lang w:val="en-US"/>
        </w:rPr>
        <w:t>EU Member State eFTI Gate</w:t>
      </w:r>
      <w:r>
        <w:rPr>
          <w:rtl w:val="0"/>
          <w:lang w:val="en-US"/>
        </w:rPr>
        <w:t xml:space="preserve"> (Code: GATE): Represents a peer national eFTI gate in the EU-wide eFTI exchange environment, communicating via secure AS4/eDelivery.</w:t>
      </w:r>
    </w:p>
    <w:p>
      <w:pPr>
        <w:pStyle w:val="Body A"/>
        <w:spacing w:before="80"/>
      </w:pPr>
    </w:p>
    <w:p>
      <w:pPr>
        <w:pStyle w:val="Heading 2"/>
      </w:pPr>
      <w:r>
        <w:rPr>
          <w:rtl w:val="0"/>
          <w:lang w:val="en-US"/>
        </w:rPr>
        <w:t>6.2 Role User Rights</w:t>
      </w:r>
    </w:p>
    <w:p>
      <w:pPr>
        <w:pStyle w:val="Body A"/>
        <w:spacing w:before="60" w:after="80"/>
      </w:pPr>
      <w:r>
        <w:rPr>
          <w:rtl w:val="0"/>
          <w:lang w:val="en-US"/>
        </w:rPr>
        <w:t>The following matrix defines the functional permissions for each role within the eFTI Gate ecosystem.</w:t>
      </w:r>
    </w:p>
    <w:tbl>
      <w:tblPr>
        <w:tblW w:w="88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1200"/>
        <w:gridCol w:w="1200"/>
        <w:gridCol w:w="1200"/>
        <w:gridCol w:w="1200"/>
        <w:gridCol w:w="1300"/>
        <w:gridCol w:w="1338"/>
      </w:tblGrid>
      <w:tr>
        <w:tblPrEx>
          <w:shd w:val="clear" w:color="auto" w:fill="156082"/>
        </w:tblPrEx>
        <w:trPr>
          <w:trHeight w:val="438" w:hRule="atLeast"/>
          <w:tblHeader/>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Role</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Search (UIL)</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Retrieve (Dataset)</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Register (UIL)</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Follow-up</w:t>
            </w:r>
          </w:p>
        </w:tc>
        <w:tc>
          <w:tcPr>
            <w:tcW w:type="dxa" w:w="1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Manage Entities</w:t>
            </w:r>
          </w:p>
        </w:tc>
        <w:tc>
          <w:tcPr>
            <w:tcW w:type="dxa" w:w="1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Config System</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Super Admin</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Competent Authority</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 xml:space="preserve"> </w:t>
            </w:r>
          </w:p>
        </w:tc>
      </w:tr>
      <w:tr>
        <w:tblPrEx>
          <w:shd w:val="clear" w:color="auto" w:fill="cad1d7"/>
        </w:tblPrEx>
        <w:trPr>
          <w:trHeight w:val="47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eFTI Platform</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w:t>
            </w:r>
          </w:p>
        </w:tc>
        <w:tc>
          <w:tcPr>
            <w:tcW w:type="dxa" w:w="1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 </w:t>
            </w:r>
          </w:p>
        </w:tc>
      </w:tr>
      <w:tr>
        <w:tblPrEx>
          <w:shd w:val="clear" w:color="auto" w:fill="cad1d7"/>
        </w:tblPrEx>
        <w:trPr>
          <w:trHeight w:val="718" w:hRule="atLeast"/>
        </w:trPr>
        <w:tc>
          <w:tcPr>
            <w:tcW w:type="dxa" w:w="14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EU Member State eFTI Gate</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X</w:t>
            </w:r>
          </w:p>
        </w:tc>
        <w:tc>
          <w:tcPr>
            <w:tcW w:type="dxa" w:w="1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 xml:space="preserve"> </w:t>
            </w:r>
          </w:p>
        </w:tc>
      </w:tr>
    </w:tbl>
    <w:p>
      <w:pPr>
        <w:pStyle w:val="Body A"/>
        <w:widowControl w:val="0"/>
        <w:spacing w:before="60" w:after="80"/>
        <w:ind w:left="108" w:hanging="108"/>
      </w:pPr>
    </w:p>
    <w:p>
      <w:pPr>
        <w:pStyle w:val="Body A"/>
        <w:widowControl w:val="0"/>
        <w:spacing w:before="60" w:after="80"/>
      </w:pPr>
    </w:p>
    <w:p>
      <w:pPr>
        <w:pStyle w:val="Body A"/>
        <w:spacing w:before="80"/>
      </w:pPr>
    </w:p>
    <w:p>
      <w:pPr>
        <w:pStyle w:val="Body A"/>
        <w:spacing w:before="60" w:after="80"/>
      </w:pPr>
      <w:r>
        <w:rPr>
          <w:rtl w:val="0"/>
          <w:lang w:val="en-US"/>
        </w:rPr>
        <w:t>*Note: Admins (CA/Platform) can only manage entities/users within their own scope.</w:t>
      </w:r>
    </w:p>
    <w:p>
      <w:pPr>
        <w:pStyle w:val="Body A"/>
        <w:spacing w:before="120"/>
      </w:pPr>
    </w:p>
    <w:p>
      <w:pPr>
        <w:pStyle w:val="Body A"/>
        <w:spacing w:before="120"/>
      </w:pPr>
    </w:p>
    <w:p>
      <w:pPr>
        <w:pStyle w:val="Body A"/>
        <w:spacing w:before="120"/>
      </w:pPr>
    </w:p>
    <w:p>
      <w:pPr>
        <w:pStyle w:val="Heading 2"/>
      </w:pPr>
      <w:r>
        <w:rPr>
          <w:rtl w:val="0"/>
          <w:lang w:val="en-US"/>
        </w:rPr>
        <w:t>6.3 Authentication and Authorization</w:t>
      </w:r>
    </w:p>
    <w:p>
      <w:pPr>
        <w:pStyle w:val="Body A"/>
        <w:spacing w:before="60" w:after="80"/>
      </w:pPr>
      <w:r>
        <w:rPr>
          <w:rtl w:val="0"/>
          <w:lang w:val="en-US"/>
        </w:rPr>
        <w:t>The eFTI Gate should implement a multi-tiered security model to ensure strict access control, data privacy, and non-repudiation across all communication channels, in accordance with Article 9 of Implementing Regulation (EU) 2024/1942.</w:t>
      </w:r>
    </w:p>
    <w:p>
      <w:pPr>
        <w:pStyle w:val="Body A"/>
        <w:spacing w:before="80"/>
      </w:pPr>
    </w:p>
    <w:p>
      <w:pPr>
        <w:pStyle w:val="Heading 3"/>
      </w:pPr>
      <w:r>
        <w:rPr>
          <w:rtl w:val="0"/>
          <w:lang w:val="en-US"/>
        </w:rPr>
        <w:t>6.3.1 Authentication Methods</w:t>
      </w:r>
    </w:p>
    <w:p>
      <w:pPr>
        <w:pStyle w:val="List Paragraph"/>
        <w:numPr>
          <w:ilvl w:val="0"/>
          <w:numId w:val="2"/>
        </w:numPr>
        <w:bidi w:val="0"/>
        <w:spacing w:before="40" w:after="40"/>
        <w:ind w:right="0"/>
        <w:jc w:val="left"/>
        <w:rPr>
          <w:rtl w:val="0"/>
          <w:lang w:val="en-US"/>
        </w:rPr>
      </w:pPr>
      <w:r>
        <w:rPr>
          <w:b w:val="1"/>
          <w:bCs w:val="1"/>
          <w:rtl w:val="0"/>
          <w:lang w:val="en-US"/>
        </w:rPr>
        <w:t>Management UI</w:t>
      </w:r>
      <w:r>
        <w:rPr>
          <w:rtl w:val="0"/>
          <w:lang w:val="en-US"/>
        </w:rPr>
        <w:t>: Email/password authentication with mandatory multi-factor authentication (MFA) for human administrators and managers. Production deployment shall enforce MFA in accordance with the security requirements of the national eFTI Gate operator.</w:t>
      </w:r>
    </w:p>
    <w:p>
      <w:pPr>
        <w:pStyle w:val="List Paragraph"/>
        <w:numPr>
          <w:ilvl w:val="0"/>
          <w:numId w:val="2"/>
        </w:numPr>
        <w:bidi w:val="0"/>
        <w:spacing w:before="40" w:after="40"/>
        <w:ind w:right="0"/>
        <w:jc w:val="left"/>
        <w:rPr>
          <w:rtl w:val="0"/>
          <w:lang w:val="en-US"/>
        </w:rPr>
      </w:pPr>
      <w:r>
        <w:rPr>
          <w:b w:val="1"/>
          <w:bCs w:val="1"/>
          <w:rtl w:val="0"/>
          <w:lang w:val="en-US"/>
        </w:rPr>
        <w:t>External API (REST)</w:t>
      </w:r>
      <w:r>
        <w:rPr>
          <w:rtl w:val="0"/>
          <w:lang w:val="en-US"/>
        </w:rPr>
        <w:t>: OAuth 2.0 client credentials flow with short-lived bearer tokens for certified eFTI platforms and competent authorities. Tokens are scoped to the requesting entity and expire after a configurable time-to-live (default: 1 hour). eFTI Platform identity is verified against the Estonian eFTI Platform registry (as defined in Implementing Regulation (EU) 2025/2243) to confirm valid certification status before token issuance.</w:t>
      </w:r>
    </w:p>
    <w:p>
      <w:pPr>
        <w:pStyle w:val="List Paragraph"/>
        <w:numPr>
          <w:ilvl w:val="0"/>
          <w:numId w:val="2"/>
        </w:numPr>
        <w:bidi w:val="0"/>
        <w:spacing w:before="40" w:after="40"/>
        <w:ind w:right="0"/>
        <w:jc w:val="left"/>
        <w:rPr>
          <w:rtl w:val="0"/>
          <w:lang w:val="en-US"/>
        </w:rPr>
      </w:pPr>
      <w:r>
        <w:rPr>
          <w:b w:val="1"/>
          <w:bCs w:val="1"/>
          <w:rtl w:val="0"/>
          <w:lang w:val="en-US"/>
        </w:rPr>
        <w:t>National Integration (X-Road)</w:t>
      </w:r>
      <w:r>
        <w:rPr>
          <w:rtl w:val="0"/>
          <w:lang w:val="en-US"/>
        </w:rPr>
        <w:t>: Mutual TLS between security servers with organisation-level identity headers. X-Road guarantees both server-level and organisation-level authentication, ensuring that the competent authority is cryptographically identified and that all exchanges are bilaterally logged for non-repudiation.</w:t>
      </w:r>
    </w:p>
    <w:p>
      <w:pPr>
        <w:pStyle w:val="List Paragraph"/>
        <w:numPr>
          <w:ilvl w:val="0"/>
          <w:numId w:val="2"/>
        </w:numPr>
        <w:bidi w:val="0"/>
        <w:spacing w:before="40" w:after="40"/>
        <w:ind w:right="0"/>
        <w:jc w:val="left"/>
        <w:rPr>
          <w:rtl w:val="0"/>
          <w:lang w:val="en-US"/>
        </w:rPr>
      </w:pPr>
      <w:r>
        <w:rPr>
          <w:b w:val="1"/>
          <w:bCs w:val="1"/>
          <w:rtl w:val="0"/>
          <w:lang w:val="en-US"/>
        </w:rPr>
        <w:t>EU Interoperability (AS4)</w:t>
      </w:r>
      <w:r>
        <w:rPr>
          <w:rtl w:val="0"/>
          <w:lang w:val="en-US"/>
        </w:rPr>
        <w:t>: WS-Security with X.509 certificates providing mutual TLS and message-level XML signing in accordance with the eDelivery AS4 profile. Each Gate-to-Gate message is signed with the sending eFTI Gate's certificate, enabling the receiving eFTI Gate to verify origin and integrity.</w:t>
      </w:r>
    </w:p>
    <w:p>
      <w:pPr>
        <w:pStyle w:val="Body A"/>
        <w:spacing w:before="80"/>
      </w:pPr>
    </w:p>
    <w:p>
      <w:pPr>
        <w:pStyle w:val="Heading 3"/>
      </w:pPr>
      <w:r>
        <w:rPr>
          <w:rtl w:val="0"/>
          <w:lang w:val="en-US"/>
        </w:rPr>
        <w:t>6.3.2 Authorization Logic</w:t>
      </w:r>
    </w:p>
    <w:p>
      <w:pPr>
        <w:pStyle w:val="List Paragraph"/>
        <w:numPr>
          <w:ilvl w:val="0"/>
          <w:numId w:val="2"/>
        </w:numPr>
        <w:bidi w:val="0"/>
        <w:spacing w:before="40" w:after="40"/>
        <w:ind w:right="0"/>
        <w:jc w:val="left"/>
        <w:rPr>
          <w:rtl w:val="0"/>
          <w:lang w:val="en-US"/>
        </w:rPr>
      </w:pPr>
      <w:r>
        <w:rPr>
          <w:b w:val="1"/>
          <w:bCs w:val="1"/>
          <w:rtl w:val="0"/>
          <w:lang w:val="en-US"/>
        </w:rPr>
        <w:t>Role-Based Access Control (RBAC)</w:t>
      </w:r>
      <w:r>
        <w:rPr>
          <w:rtl w:val="0"/>
          <w:lang w:val="en-US"/>
        </w:rPr>
        <w:t>: The system defines the following principal roles, each with scoped permissions:</w:t>
      </w:r>
    </w:p>
    <w:p>
      <w:pPr>
        <w:pStyle w:val="List Paragraph"/>
        <w:numPr>
          <w:ilvl w:val="1"/>
          <w:numId w:val="4"/>
        </w:numPr>
        <w:bidi w:val="0"/>
        <w:spacing w:before="40" w:after="40"/>
        <w:ind w:right="0"/>
        <w:jc w:val="left"/>
        <w:rPr>
          <w:rtl w:val="0"/>
          <w:lang w:val="en-US"/>
        </w:rPr>
      </w:pPr>
      <w:r>
        <w:rPr>
          <w:b w:val="1"/>
          <w:bCs w:val="1"/>
          <w:rtl w:val="0"/>
          <w:lang w:val="en-US"/>
        </w:rPr>
        <w:t>eFTI Gate Administrator</w:t>
      </w:r>
      <w:r>
        <w:rPr>
          <w:rtl w:val="0"/>
          <w:lang w:val="en-US"/>
        </w:rPr>
        <w:t>: Full system configuration, user and entity management, audit log access.</w:t>
      </w:r>
    </w:p>
    <w:p>
      <w:pPr>
        <w:pStyle w:val="List Paragraph"/>
        <w:numPr>
          <w:ilvl w:val="1"/>
          <w:numId w:val="4"/>
        </w:numPr>
        <w:bidi w:val="0"/>
        <w:spacing w:before="40" w:after="40"/>
        <w:ind w:right="0"/>
        <w:jc w:val="left"/>
        <w:rPr>
          <w:rtl w:val="0"/>
          <w:lang w:val="en-US"/>
        </w:rPr>
      </w:pPr>
      <w:r>
        <w:rPr>
          <w:b w:val="1"/>
          <w:bCs w:val="1"/>
          <w:rtl w:val="0"/>
          <w:lang w:val="en-US"/>
        </w:rPr>
        <w:t>eFTI Platform Operator</w:t>
      </w:r>
      <w:r>
        <w:rPr>
          <w:rtl w:val="0"/>
          <w:lang w:val="en-US"/>
        </w:rPr>
        <w:t>: UIL registration (FTI004), dataset update, and deactivation operations scoped to the operator's own PlatformId.</w:t>
      </w:r>
    </w:p>
    <w:p>
      <w:pPr>
        <w:pStyle w:val="List Paragraph"/>
        <w:numPr>
          <w:ilvl w:val="1"/>
          <w:numId w:val="4"/>
        </w:numPr>
        <w:bidi w:val="0"/>
        <w:spacing w:before="40" w:after="40"/>
        <w:ind w:right="0"/>
        <w:jc w:val="left"/>
        <w:rPr>
          <w:rtl w:val="0"/>
          <w:lang w:val="en-US"/>
        </w:rPr>
      </w:pPr>
      <w:r>
        <w:rPr>
          <w:b w:val="1"/>
          <w:bCs w:val="1"/>
          <w:rtl w:val="0"/>
          <w:lang w:val="en-US"/>
        </w:rPr>
        <w:t>CA Officer</w:t>
      </w:r>
      <w:r>
        <w:rPr>
          <w:rtl w:val="0"/>
          <w:lang w:val="en-US"/>
        </w:rPr>
        <w:t xml:space="preserve">: Read access to eFTI data, follow-up communication initiation, subset-based retrieval </w:t>
      </w:r>
      <w:r>
        <w:rPr>
          <w:rtl w:val="0"/>
          <w:lang w:val="en-US"/>
        </w:rPr>
        <w:t xml:space="preserve">— </w:t>
      </w:r>
      <w:r>
        <w:rPr>
          <w:rtl w:val="0"/>
          <w:lang w:val="en-US"/>
        </w:rPr>
        <w:t>scoped to the officer's AuthorityId and legal mandate.</w:t>
      </w:r>
    </w:p>
    <w:p>
      <w:pPr>
        <w:pStyle w:val="List Paragraph"/>
        <w:numPr>
          <w:ilvl w:val="1"/>
          <w:numId w:val="4"/>
        </w:numPr>
        <w:bidi w:val="0"/>
        <w:spacing w:before="40" w:after="40"/>
        <w:ind w:right="0"/>
        <w:jc w:val="left"/>
        <w:rPr>
          <w:rtl w:val="0"/>
          <w:lang w:val="en-US"/>
        </w:rPr>
      </w:pPr>
      <w:r>
        <w:rPr>
          <w:b w:val="1"/>
          <w:bCs w:val="1"/>
          <w:rtl w:val="0"/>
          <w:lang w:val="en-US"/>
        </w:rPr>
        <w:t>CA System (M2M)</w:t>
      </w:r>
      <w:r>
        <w:rPr>
          <w:rtl w:val="0"/>
          <w:lang w:val="en-US"/>
        </w:rPr>
        <w:t>: Machine-to-machine read access via X-Road or AS4, subject to the same scoping rules as CA Officer.</w:t>
      </w:r>
    </w:p>
    <w:p>
      <w:pPr>
        <w:pStyle w:val="List Paragraph"/>
        <w:numPr>
          <w:ilvl w:val="0"/>
          <w:numId w:val="2"/>
        </w:numPr>
        <w:bidi w:val="0"/>
        <w:spacing w:before="40" w:after="40"/>
        <w:ind w:right="0"/>
        <w:jc w:val="left"/>
        <w:rPr>
          <w:rtl w:val="0"/>
          <w:lang w:val="en-US"/>
        </w:rPr>
      </w:pPr>
      <w:r>
        <w:rPr>
          <w:b w:val="1"/>
          <w:bCs w:val="1"/>
          <w:rtl w:val="0"/>
          <w:lang w:val="en-US"/>
        </w:rPr>
        <w:t>Entity Scoping</w:t>
      </w:r>
      <w:r>
        <w:rPr>
          <w:rtl w:val="0"/>
          <w:lang w:val="en-US"/>
        </w:rPr>
        <w:t>: Every authenticated principal is linked to a specific GateId, PlatformId, or AuthorityId. The system enforces that a principal can only register, modify, or query data connected to their own entity.</w:t>
      </w:r>
    </w:p>
    <w:p>
      <w:pPr>
        <w:pStyle w:val="List Paragraph"/>
        <w:numPr>
          <w:ilvl w:val="0"/>
          <w:numId w:val="2"/>
        </w:numPr>
        <w:bidi w:val="0"/>
        <w:spacing w:before="40" w:after="40"/>
        <w:ind w:right="0"/>
        <w:jc w:val="left"/>
        <w:rPr>
          <w:rtl w:val="0"/>
          <w:lang w:val="en-US"/>
        </w:rPr>
      </w:pPr>
      <w:r>
        <w:rPr>
          <w:b w:val="1"/>
          <w:bCs w:val="1"/>
          <w:rtl w:val="0"/>
          <w:lang w:val="en-US"/>
        </w:rPr>
        <w:t>Access Control</w:t>
      </w:r>
      <w:r>
        <w:rPr>
          <w:rtl w:val="0"/>
          <w:lang w:val="en-US"/>
        </w:rPr>
        <w:t>: When a competent authority requests eFTI data, the eFTI Gate validates if the competent authority is registred with Estonian eFTI Gate</w:t>
      </w:r>
    </w:p>
    <w:p>
      <w:pPr>
        <w:pStyle w:val="Body A"/>
        <w:spacing w:before="80"/>
      </w:pPr>
    </w:p>
    <w:p>
      <w:pPr>
        <w:pStyle w:val="Heading 3"/>
        <w:rPr>
          <w:lang w:val="it-IT"/>
        </w:rPr>
      </w:pPr>
      <w:r>
        <w:rPr>
          <w:rtl w:val="0"/>
          <w:lang w:val="it-IT"/>
        </w:rPr>
        <w:t>6.3.3 Non-Repudiation Mechanisms</w:t>
      </w:r>
    </w:p>
    <w:p>
      <w:pPr>
        <w:pStyle w:val="Body A"/>
        <w:spacing w:before="60" w:after="80"/>
      </w:pPr>
      <w:r>
        <w:rPr>
          <w:rtl w:val="0"/>
          <w:lang w:val="en-US"/>
        </w:rPr>
        <w:t>Non-repudiation is ensured through the combination of the following technical measures, addressing the identity verification requirements identified in the eFTI XM schema review:</w:t>
      </w:r>
    </w:p>
    <w:p>
      <w:pPr>
        <w:pStyle w:val="List Paragraph"/>
        <w:numPr>
          <w:ilvl w:val="0"/>
          <w:numId w:val="2"/>
        </w:numPr>
        <w:bidi w:val="0"/>
        <w:spacing w:before="40" w:after="40"/>
        <w:ind w:right="0"/>
        <w:jc w:val="left"/>
        <w:rPr>
          <w:rtl w:val="0"/>
          <w:lang w:val="en-US"/>
        </w:rPr>
      </w:pPr>
      <w:r>
        <w:rPr>
          <w:b w:val="1"/>
          <w:bCs w:val="1"/>
          <w:rtl w:val="0"/>
          <w:lang w:val="en-US"/>
        </w:rPr>
        <w:t>Signed requests and responses</w:t>
      </w:r>
      <w:r>
        <w:rPr>
          <w:rtl w:val="0"/>
          <w:lang w:val="en-US"/>
        </w:rPr>
        <w:t>: All AS4 messages are signed at the message level using the sending party's X.509 certificate. REST API requests include the OAuth 2.0 token binding the request to the authenticated entity. X-Road messages are signed by the security server with the organisation's certificate.</w:t>
      </w:r>
    </w:p>
    <w:p>
      <w:pPr>
        <w:pStyle w:val="List Paragraph"/>
        <w:numPr>
          <w:ilvl w:val="0"/>
          <w:numId w:val="2"/>
        </w:numPr>
        <w:bidi w:val="0"/>
        <w:spacing w:before="40" w:after="40"/>
        <w:ind w:right="0"/>
        <w:jc w:val="left"/>
        <w:rPr>
          <w:rtl w:val="0"/>
          <w:lang w:val="en-US"/>
        </w:rPr>
      </w:pPr>
      <w:r>
        <w:rPr>
          <w:b w:val="1"/>
          <w:bCs w:val="1"/>
          <w:rtl w:val="0"/>
          <w:lang w:val="en-US"/>
        </w:rPr>
        <w:t>Timestamping</w:t>
      </w:r>
      <w:r>
        <w:rPr>
          <w:rtl w:val="0"/>
          <w:lang w:val="en-US"/>
        </w:rPr>
        <w:t>: All operations are timestamped with a trusted time source (UTC). For AS4 exchanges, timestamps are embedded in the ebMS3 message header. For REST and X-Road, timestamps are generated by the eFTI Gate at the point of receipt.</w:t>
      </w:r>
    </w:p>
    <w:p>
      <w:pPr>
        <w:pStyle w:val="List Paragraph"/>
        <w:numPr>
          <w:ilvl w:val="0"/>
          <w:numId w:val="2"/>
        </w:numPr>
        <w:bidi w:val="0"/>
        <w:spacing w:before="40" w:after="40"/>
        <w:ind w:right="0"/>
        <w:jc w:val="left"/>
        <w:rPr>
          <w:rtl w:val="0"/>
          <w:lang w:val="en-US"/>
        </w:rPr>
      </w:pPr>
      <w:r>
        <w:rPr>
          <w:b w:val="1"/>
          <w:bCs w:val="1"/>
          <w:rtl w:val="0"/>
          <w:lang w:val="en-US"/>
        </w:rPr>
        <w:t>Immutable audit trail</w:t>
      </w:r>
      <w:r>
        <w:rPr>
          <w:rtl w:val="0"/>
          <w:lang w:val="en-US"/>
        </w:rPr>
        <w:t>: Every authenticated operation (registration, query, follow-up, deactivation) is recorded in an append-only audit log containing: principal identity, role, entity identifier, operation type, target UIL or resource, request/response hash, and timestamp. Audit records are retained for a minimum of two years in accordance with Article 9(1)(c) of Regulation (EU) 2020/1056 and Article 6 of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Bilateral logging (X-Road)</w:t>
      </w:r>
      <w:r>
        <w:rPr>
          <w:rtl w:val="0"/>
          <w:lang w:val="en-US"/>
        </w:rPr>
        <w:t>: X-Road's built-in message log ensures that both the requesting and responding parties retain independent, tamper-evident records of every transaction, providing mutual non-repudiation without reliance on a single party's logs.</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7. Security and Certification Management</w:t>
      </w:r>
    </w:p>
    <w:p>
      <w:pPr>
        <w:pStyle w:val="Heading 2"/>
      </w:pPr>
      <w:r>
        <w:rPr>
          <w:rtl w:val="0"/>
          <w:lang w:val="en-US"/>
        </w:rPr>
        <w:t>7.1 Description of eFTI Gate Security</w:t>
      </w:r>
    </w:p>
    <w:p>
      <w:pPr>
        <w:pStyle w:val="Body A"/>
        <w:spacing w:before="60" w:after="80"/>
      </w:pPr>
      <w:r>
        <w:rPr>
          <w:rtl w:val="0"/>
          <w:lang w:val="en-US"/>
        </w:rPr>
        <w:t>The eFTI Gate implements technical and organizational measures to ensure the security, confidentiality, integrity, and availability of regulatory information exchanged within the eFTI exchange environment, in accordance with Regulation (EU) 2020/1056, Implementing Regulation (EU) 2024/1942, and Implementing Regulation (EU) 2025/2243.</w:t>
      </w:r>
    </w:p>
    <w:p>
      <w:pPr>
        <w:pStyle w:val="Body A"/>
        <w:spacing w:before="80"/>
      </w:pPr>
    </w:p>
    <w:p>
      <w:pPr>
        <w:pStyle w:val="List Paragraph"/>
        <w:numPr>
          <w:ilvl w:val="0"/>
          <w:numId w:val="2"/>
        </w:numPr>
        <w:bidi w:val="0"/>
        <w:spacing w:before="40" w:after="40"/>
        <w:ind w:right="0"/>
        <w:jc w:val="left"/>
        <w:rPr>
          <w:rtl w:val="0"/>
          <w:lang w:val="en-US"/>
        </w:rPr>
      </w:pPr>
      <w:r>
        <w:rPr>
          <w:b w:val="1"/>
          <w:bCs w:val="1"/>
          <w:rtl w:val="0"/>
          <w:lang w:val="en-US"/>
        </w:rPr>
        <w:t>Identification, Authentication, and Authorization (IAA)</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Identification and Authentication</w:t>
      </w:r>
      <w:r>
        <w:rPr>
          <w:rtl w:val="0"/>
          <w:lang w:val="en-US"/>
        </w:rPr>
        <w:t>: All access by competent authorities to the eFTI exchange environment is subject to duly identified and authenticated access. The eFTI Gate ensures the authentication of the competent authority or ensures that such authentication is performed by an Authority Access Point (AAP) or a peer eFTI Gate using appropriate electronic identification means and security keys.</w:t>
      </w:r>
    </w:p>
    <w:p>
      <w:pPr>
        <w:pStyle w:val="List Paragraph"/>
        <w:numPr>
          <w:ilvl w:val="1"/>
          <w:numId w:val="4"/>
        </w:numPr>
        <w:bidi w:val="0"/>
        <w:spacing w:before="40" w:after="40"/>
        <w:ind w:right="0"/>
        <w:jc w:val="left"/>
        <w:rPr>
          <w:rtl w:val="0"/>
          <w:lang w:val="en-US"/>
        </w:rPr>
      </w:pPr>
      <w:r>
        <w:rPr>
          <w:b w:val="1"/>
          <w:bCs w:val="1"/>
          <w:rtl w:val="0"/>
          <w:lang w:val="en-US"/>
        </w:rPr>
        <w:t>Authorization</w:t>
      </w:r>
      <w:r>
        <w:rPr>
          <w:rtl w:val="0"/>
          <w:lang w:val="en-US"/>
        </w:rPr>
        <w:t>: Access to eFTI data is allowed only following due authorization based on assigned access and processing rights. The eFTI Gate validates that each request for access to eFTI data includes references to the access and processing rights of the competent authority responsible for the request, as recorded in the authorization registry. Each competent authority is responsible to verify what users are allowed to access eFTI transport data.</w:t>
      </w:r>
    </w:p>
    <w:p>
      <w:pPr>
        <w:pStyle w:val="List Paragraph"/>
        <w:numPr>
          <w:ilvl w:val="0"/>
          <w:numId w:val="2"/>
        </w:numPr>
        <w:bidi w:val="0"/>
        <w:spacing w:before="40" w:after="40"/>
        <w:ind w:right="0"/>
        <w:jc w:val="left"/>
        <w:rPr>
          <w:rtl w:val="0"/>
          <w:lang w:val="en-US"/>
        </w:rPr>
      </w:pPr>
      <w:r>
        <w:rPr>
          <w:b w:val="1"/>
          <w:bCs w:val="1"/>
          <w:rtl w:val="0"/>
          <w:lang w:val="en-US"/>
        </w:rPr>
        <w:t>Secure Communication and Message Exchange</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Standardized Formats</w:t>
      </w:r>
      <w:r>
        <w:rPr>
          <w:rtl w:val="0"/>
          <w:lang w:val="en-US"/>
        </w:rPr>
        <w:t>: All communication between eFTI Gates and between eFTI Gates and eFTI platforms is conducted using the XML format via secure and authenticated connections.</w:t>
      </w:r>
    </w:p>
    <w:p>
      <w:pPr>
        <w:pStyle w:val="List Paragraph"/>
        <w:numPr>
          <w:ilvl w:val="1"/>
          <w:numId w:val="4"/>
        </w:numPr>
        <w:bidi w:val="0"/>
        <w:spacing w:before="40" w:after="40"/>
        <w:ind w:right="0"/>
        <w:jc w:val="left"/>
        <w:rPr>
          <w:rtl w:val="0"/>
          <w:lang w:val="en-US"/>
        </w:rPr>
      </w:pPr>
      <w:r>
        <w:rPr>
          <w:b w:val="1"/>
          <w:bCs w:val="1"/>
          <w:rtl w:val="0"/>
          <w:lang w:val="en-US"/>
        </w:rPr>
        <w:t>eDelivery AS4</w:t>
      </w:r>
      <w:r>
        <w:rPr>
          <w:rtl w:val="0"/>
          <w:lang w:val="en-US"/>
        </w:rPr>
        <w:t>: Message exchanges between eFTI Gates comply with eDelivery message exchange specifications, using eDelivery Access Points and the eDelivery AS4 profile for cross-border interoperability.</w:t>
      </w:r>
    </w:p>
    <w:p>
      <w:pPr>
        <w:pStyle w:val="List Paragraph"/>
        <w:numPr>
          <w:ilvl w:val="1"/>
          <w:numId w:val="4"/>
        </w:numPr>
        <w:bidi w:val="0"/>
        <w:spacing w:before="40" w:after="40"/>
        <w:ind w:right="0"/>
        <w:jc w:val="left"/>
        <w:rPr>
          <w:rtl w:val="0"/>
          <w:lang w:val="en-US"/>
        </w:rPr>
      </w:pPr>
      <w:r>
        <w:rPr>
          <w:b w:val="1"/>
          <w:bCs w:val="1"/>
          <w:rtl w:val="0"/>
          <w:lang w:val="en-US"/>
        </w:rPr>
        <w:t>Security Certificates</w:t>
      </w:r>
      <w:r>
        <w:rPr>
          <w:rtl w:val="0"/>
          <w:lang w:val="en-US"/>
        </w:rPr>
        <w:t>: Member States issue security certificates through a certificate authority to eDelivery Access Points. The eFTI Gate ensures that private security keys are securely stored and that digital certificates are delivered and validated through secure mechanisms to ensure the authenticity and non-repudiation of all communication.</w:t>
      </w:r>
    </w:p>
    <w:p>
      <w:pPr>
        <w:pStyle w:val="List Paragraph"/>
        <w:numPr>
          <w:ilvl w:val="0"/>
          <w:numId w:val="2"/>
        </w:numPr>
        <w:bidi w:val="0"/>
        <w:spacing w:before="40" w:after="40"/>
        <w:ind w:right="0"/>
        <w:jc w:val="left"/>
        <w:rPr>
          <w:rtl w:val="0"/>
          <w:lang w:val="en-US"/>
        </w:rPr>
      </w:pPr>
      <w:r>
        <w:rPr>
          <w:b w:val="1"/>
          <w:bCs w:val="1"/>
          <w:rtl w:val="0"/>
          <w:lang w:val="en-US"/>
        </w:rPr>
        <w:t>Data Protection and Confidentiality</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Confidential Commercial Information</w:t>
      </w:r>
      <w:r>
        <w:rPr>
          <w:rtl w:val="0"/>
          <w:lang w:val="en-US"/>
        </w:rPr>
        <w:t>: In accordance with Article 6 of Regulation (EU) 2020/1056, the eFTI Gate takes measures to ensure the confidentiality of commercial information. Access and processing of such information are allowed only when authorized and protected against corruption, theft, or unauthorized access.</w:t>
      </w:r>
    </w:p>
    <w:p>
      <w:pPr>
        <w:pStyle w:val="List Paragraph"/>
        <w:numPr>
          <w:ilvl w:val="1"/>
          <w:numId w:val="4"/>
        </w:numPr>
        <w:bidi w:val="0"/>
        <w:spacing w:before="40" w:after="40"/>
        <w:ind w:right="0"/>
        <w:jc w:val="left"/>
        <w:rPr>
          <w:rtl w:val="0"/>
          <w:lang w:val="en-US"/>
        </w:rPr>
      </w:pPr>
      <w:r>
        <w:rPr>
          <w:b w:val="1"/>
          <w:bCs w:val="1"/>
          <w:rtl w:val="0"/>
          <w:lang w:val="en-US"/>
        </w:rPr>
        <w:t>Metadata Processing</w:t>
      </w:r>
      <w:r>
        <w:rPr>
          <w:rtl w:val="0"/>
          <w:lang w:val="en-US"/>
        </w:rPr>
        <w:t>: The eFTI Gate does not store eFTI data, except for metadata connected to eFTI data processing, such as identifiers or operation logs, ensuring that freight transport payloads remain at their source on the eFTI platforms.</w:t>
      </w:r>
    </w:p>
    <w:p>
      <w:pPr>
        <w:pStyle w:val="List Paragraph"/>
        <w:numPr>
          <w:ilvl w:val="0"/>
          <w:numId w:val="2"/>
        </w:numPr>
        <w:bidi w:val="0"/>
        <w:spacing w:before="40" w:after="40"/>
        <w:ind w:right="0"/>
        <w:jc w:val="left"/>
        <w:rPr>
          <w:rtl w:val="0"/>
          <w:lang w:val="en-US"/>
        </w:rPr>
      </w:pPr>
      <w:r>
        <w:rPr>
          <w:b w:val="1"/>
          <w:bCs w:val="1"/>
          <w:rtl w:val="0"/>
          <w:lang w:val="en-US"/>
        </w:rPr>
        <w:t>Operation Logs and Audit Trails</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Mandatory Recording</w:t>
      </w:r>
      <w:r>
        <w:rPr>
          <w:rtl w:val="0"/>
          <w:lang w:val="en-US"/>
        </w:rPr>
        <w:t>: All data processing is recorded in operation logs to allow the identification of each distinct processing operation, the legal person having made the operation, and the sequencing of the operations.</w:t>
      </w:r>
    </w:p>
    <w:p>
      <w:pPr>
        <w:pStyle w:val="List Paragraph"/>
        <w:numPr>
          <w:ilvl w:val="1"/>
          <w:numId w:val="4"/>
        </w:numPr>
        <w:bidi w:val="0"/>
        <w:spacing w:before="40" w:after="40"/>
        <w:ind w:right="0"/>
        <w:jc w:val="left"/>
        <w:rPr>
          <w:rtl w:val="0"/>
          <w:lang w:val="en-US"/>
        </w:rPr>
      </w:pPr>
      <w:r>
        <w:rPr>
          <w:b w:val="1"/>
          <w:bCs w:val="1"/>
          <w:rtl w:val="0"/>
          <w:lang w:val="en-US"/>
        </w:rPr>
        <w:t>Retention</w:t>
      </w:r>
      <w:r>
        <w:rPr>
          <w:rtl w:val="0"/>
          <w:lang w:val="en-US"/>
        </w:rPr>
        <w:t>: In accordance with Article 10(1)(d) of Regulation (EU) 2020/1056 and Article 6(2)(h) of Implementing Regulation (EU) 2024/1942, audit logs are archived and remain accessible for auditing purposes for a period of at least two years as required for the purpose of ensuring compliance.</w:t>
      </w:r>
    </w:p>
    <w:p>
      <w:pPr>
        <w:pStyle w:val="Body A"/>
        <w:spacing w:before="80"/>
      </w:pPr>
    </w:p>
    <w:p>
      <w:pPr>
        <w:pStyle w:val="Heading 3"/>
      </w:pPr>
      <w:r>
        <w:rPr>
          <w:rtl w:val="0"/>
          <w:lang w:val="en-US"/>
        </w:rPr>
        <w:t>7.1.1 Audit Logs</w:t>
      </w:r>
    </w:p>
    <w:p>
      <w:pPr>
        <w:pStyle w:val="Body A"/>
        <w:spacing w:before="60" w:after="80"/>
      </w:pPr>
      <w:r>
        <w:rPr>
          <w:rtl w:val="0"/>
          <w:lang w:val="en-US"/>
        </w:rPr>
        <w:t>The eFTI Gate maintains a comprehensive and immutable audit trail for all requests, responses, and follow-up communications to ensure accountability and provide a verifiable log of all data exchange activities.</w:t>
      </w:r>
    </w:p>
    <w:tbl>
      <w:tblPr>
        <w:tblW w:w="8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4438"/>
        <w:gridCol w:w="2200"/>
      </w:tblGrid>
      <w:tr>
        <w:tblPrEx>
          <w:shd w:val="clear" w:color="auto" w:fill="156082"/>
        </w:tblPrEx>
        <w:trPr>
          <w:trHeight w:val="218" w:hRule="atLeast"/>
          <w:tblHeader/>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Event Category</w:t>
            </w:r>
          </w:p>
        </w:tc>
        <w:tc>
          <w:tcPr>
            <w:tcW w:type="dxa" w:w="4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Mandatory Log Content</w:t>
            </w:r>
          </w:p>
        </w:tc>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Legal Reference</w:t>
            </w:r>
          </w:p>
        </w:tc>
      </w:tr>
      <w:tr>
        <w:tblPrEx>
          <w:shd w:val="clear" w:color="auto" w:fill="cad1d7"/>
        </w:tblPrEx>
        <w:trPr>
          <w:trHeight w:val="167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Requests &amp; Follow-ups</w:t>
            </w:r>
          </w:p>
        </w:tc>
        <w:tc>
          <w:tcPr>
            <w:tcW w:type="dxa" w:w="4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 </w:t>
            </w:r>
            <w:r>
              <w:rPr>
                <w:shd w:val="nil" w:color="auto" w:fill="auto"/>
                <w:rtl w:val="0"/>
                <w:lang w:val="en-US"/>
              </w:rPr>
              <w:t xml:space="preserve">Unique identification number of the request or follow-up communication </w:t>
            </w:r>
            <w:r>
              <w:rPr>
                <w:shd w:val="nil" w:color="auto" w:fill="auto"/>
                <w:rtl w:val="0"/>
                <w:lang w:val="en-US"/>
              </w:rPr>
              <w:t xml:space="preserve">• </w:t>
            </w:r>
            <w:r>
              <w:rPr>
                <w:shd w:val="nil" w:color="auto" w:fill="auto"/>
                <w:rtl w:val="0"/>
                <w:lang w:val="en-US"/>
              </w:rPr>
              <w:t xml:space="preserve">Identifier of the AAP or requesting eFTI Gate from which it received the request </w:t>
            </w:r>
            <w:r>
              <w:rPr>
                <w:shd w:val="nil" w:color="auto" w:fill="auto"/>
                <w:rtl w:val="0"/>
                <w:lang w:val="en-US"/>
              </w:rPr>
              <w:t xml:space="preserve">• </w:t>
            </w:r>
            <w:r>
              <w:rPr>
                <w:shd w:val="nil" w:color="auto" w:fill="auto"/>
                <w:rtl w:val="0"/>
                <w:lang w:val="en-US"/>
              </w:rPr>
              <w:t xml:space="preserve">Searchable identifiers provided by the officer (e.g., license plate, wagon ID, AWB) </w:t>
            </w:r>
            <w:r>
              <w:rPr>
                <w:shd w:val="nil" w:color="auto" w:fill="auto"/>
                <w:rtl w:val="0"/>
                <w:lang w:val="en-US"/>
              </w:rPr>
              <w:t xml:space="preserve">• </w:t>
            </w:r>
            <w:r>
              <w:rPr>
                <w:shd w:val="nil" w:color="auto" w:fill="auto"/>
                <w:rtl w:val="0"/>
                <w:lang w:val="en-US"/>
              </w:rPr>
              <w:t>Precise date and time of receipt</w:t>
            </w:r>
          </w:p>
        </w:tc>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6(2)(c) 2024/1942</w:t>
            </w:r>
          </w:p>
        </w:tc>
      </w:tr>
      <w:tr>
        <w:tblPrEx>
          <w:shd w:val="clear" w:color="auto" w:fill="cad1d7"/>
        </w:tblPrEx>
        <w:trPr>
          <w:trHeight w:val="143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Data Responses</w:t>
            </w:r>
          </w:p>
        </w:tc>
        <w:tc>
          <w:tcPr>
            <w:tcW w:type="dxa" w:w="4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 xml:space="preserve">• </w:t>
            </w:r>
            <w:r>
              <w:rPr>
                <w:shd w:val="nil" w:color="auto" w:fill="auto"/>
                <w:rtl w:val="0"/>
                <w:lang w:val="en-US"/>
              </w:rPr>
              <w:t xml:space="preserve">UIL of the eFTI dataset received in response to the request </w:t>
            </w:r>
            <w:r>
              <w:rPr>
                <w:shd w:val="nil" w:color="auto" w:fill="auto"/>
                <w:rtl w:val="0"/>
                <w:lang w:val="en-US"/>
              </w:rPr>
              <w:t xml:space="preserve">• </w:t>
            </w:r>
            <w:r>
              <w:rPr>
                <w:shd w:val="nil" w:color="auto" w:fill="auto"/>
                <w:rtl w:val="0"/>
                <w:lang w:val="en-US"/>
              </w:rPr>
              <w:t xml:space="preserve">Unique identifier of the eFTI Platform or receiving eFTI Gate from which it received the response </w:t>
            </w:r>
            <w:r>
              <w:rPr>
                <w:shd w:val="nil" w:color="auto" w:fill="auto"/>
                <w:rtl w:val="0"/>
                <w:lang w:val="en-US"/>
              </w:rPr>
              <w:t xml:space="preserve">• </w:t>
            </w:r>
            <w:r>
              <w:rPr>
                <w:shd w:val="nil" w:color="auto" w:fill="auto"/>
                <w:rtl w:val="0"/>
                <w:lang w:val="en-US"/>
              </w:rPr>
              <w:t xml:space="preserve">Precise date and time of receipt </w:t>
            </w:r>
            <w:r>
              <w:rPr>
                <w:shd w:val="nil" w:color="auto" w:fill="auto"/>
                <w:rtl w:val="0"/>
                <w:lang w:val="en-US"/>
              </w:rPr>
              <w:t xml:space="preserve">• </w:t>
            </w:r>
            <w:r>
              <w:rPr>
                <w:shd w:val="nil" w:color="auto" w:fill="auto"/>
                <w:rtl w:val="0"/>
                <w:lang w:val="en-US"/>
              </w:rPr>
              <w:t>Indication of "No Response" in case of timeouts</w:t>
            </w:r>
          </w:p>
        </w:tc>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Art 6(2)(g) 2024/1942</w:t>
            </w:r>
          </w:p>
        </w:tc>
      </w:tr>
      <w:tr>
        <w:tblPrEx>
          <w:shd w:val="clear" w:color="auto" w:fill="cad1d7"/>
        </w:tblPrEx>
        <w:trPr>
          <w:trHeight w:val="119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Processing Events</w:t>
            </w:r>
          </w:p>
        </w:tc>
        <w:tc>
          <w:tcPr>
            <w:tcW w:type="dxa" w:w="44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 xml:space="preserve">• </w:t>
            </w:r>
            <w:r>
              <w:rPr>
                <w:shd w:val="nil" w:color="auto" w:fill="auto"/>
                <w:rtl w:val="0"/>
                <w:lang w:val="en-US"/>
              </w:rPr>
              <w:t xml:space="preserve">Identification of each distinct processing operation </w:t>
            </w:r>
            <w:r>
              <w:rPr>
                <w:shd w:val="nil" w:color="auto" w:fill="auto"/>
                <w:rtl w:val="0"/>
                <w:lang w:val="en-US"/>
              </w:rPr>
              <w:t xml:space="preserve">• </w:t>
            </w:r>
            <w:r>
              <w:rPr>
                <w:shd w:val="nil" w:color="auto" w:fill="auto"/>
                <w:rtl w:val="0"/>
                <w:lang w:val="en-US"/>
              </w:rPr>
              <w:t xml:space="preserve">The natural or legal person having made the operation </w:t>
            </w:r>
            <w:r>
              <w:rPr>
                <w:shd w:val="nil" w:color="auto" w:fill="auto"/>
                <w:rtl w:val="0"/>
                <w:lang w:val="en-US"/>
              </w:rPr>
              <w:t xml:space="preserve">• </w:t>
            </w:r>
            <w:r>
              <w:rPr>
                <w:shd w:val="nil" w:color="auto" w:fill="auto"/>
                <w:rtl w:val="0"/>
                <w:lang w:val="en-US"/>
              </w:rPr>
              <w:t>The sequencing of the operations on each individual data element</w:t>
            </w:r>
          </w:p>
        </w:tc>
        <w:tc>
          <w:tcPr>
            <w:tcW w:type="dxa" w:w="22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6(2)(h) 2024/1942</w:t>
            </w:r>
          </w:p>
        </w:tc>
      </w:tr>
    </w:tbl>
    <w:p>
      <w:pPr>
        <w:pStyle w:val="Body A"/>
        <w:widowControl w:val="0"/>
        <w:spacing w:before="60" w:after="80"/>
        <w:ind w:left="108" w:hanging="108"/>
      </w:pPr>
    </w:p>
    <w:p>
      <w:pPr>
        <w:pStyle w:val="Body A"/>
        <w:widowControl w:val="0"/>
        <w:spacing w:before="60" w:after="80"/>
      </w:pPr>
    </w:p>
    <w:p>
      <w:pPr>
        <w:pStyle w:val="Body A"/>
        <w:spacing w:before="80"/>
      </w:pPr>
    </w:p>
    <w:p>
      <w:pPr>
        <w:pStyle w:val="Body A"/>
        <w:spacing w:before="60" w:after="80"/>
      </w:pPr>
      <w:r>
        <w:rPr>
          <w:rtl w:val="0"/>
          <w:lang w:val="en-US"/>
        </w:rPr>
        <w:t>These logs should be stored using standard PostgreSQL; implementing tamper-evident mechanisms (e.g., hash chaining or WORM storage) to guarantee non-repudiation is a Production Requirement. Access to these logs is restricted to authorized administrative personnel and competent authorities during formal ex-post audits.</w:t>
      </w:r>
    </w:p>
    <w:p>
      <w:pPr>
        <w:pStyle w:val="Body A"/>
        <w:spacing w:before="120"/>
      </w:pPr>
    </w:p>
    <w:p>
      <w:pPr>
        <w:pStyle w:val="Heading 2"/>
      </w:pPr>
      <w:r>
        <w:rPr>
          <w:rtl w:val="0"/>
          <w:lang w:val="en-US"/>
        </w:rPr>
        <w:t>7.2 Description of Suggested Deployment Security</w:t>
      </w:r>
    </w:p>
    <w:p>
      <w:pPr>
        <w:pStyle w:val="Body A"/>
        <w:spacing w:before="60" w:after="80"/>
      </w:pPr>
      <w:r>
        <w:rPr>
          <w:rtl w:val="0"/>
          <w:lang w:val="en-US"/>
        </w:rPr>
        <w:t>To ensure the robustness of the eFTI infrastructure in a production environment, the following deployment security measures are recommended:</w:t>
      </w:r>
    </w:p>
    <w:p>
      <w:pPr>
        <w:pStyle w:val="Body A"/>
        <w:spacing w:before="80"/>
      </w:pPr>
    </w:p>
    <w:p>
      <w:pPr>
        <w:pStyle w:val="List Paragraph"/>
        <w:numPr>
          <w:ilvl w:val="0"/>
          <w:numId w:val="2"/>
        </w:numPr>
        <w:bidi w:val="0"/>
        <w:spacing w:before="40" w:after="40"/>
        <w:ind w:right="0"/>
        <w:jc w:val="left"/>
        <w:rPr>
          <w:rtl w:val="0"/>
          <w:lang w:val="en-US"/>
        </w:rPr>
      </w:pPr>
      <w:r>
        <w:rPr>
          <w:b w:val="1"/>
          <w:bCs w:val="1"/>
          <w:rtl w:val="0"/>
          <w:lang w:val="en-US"/>
        </w:rPr>
        <w:t>Infrastructure Orchestration</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Deployment via Kubernetes using Helm charts to manage scaling, health checks, and secure networking.</w:t>
      </w:r>
    </w:p>
    <w:p>
      <w:pPr>
        <w:pStyle w:val="List Paragraph"/>
        <w:numPr>
          <w:ilvl w:val="1"/>
          <w:numId w:val="4"/>
        </w:numPr>
        <w:bidi w:val="0"/>
        <w:spacing w:before="40" w:after="40"/>
        <w:ind w:right="0"/>
        <w:jc w:val="left"/>
        <w:rPr>
          <w:rtl w:val="0"/>
          <w:lang w:val="en-US"/>
        </w:rPr>
      </w:pPr>
      <w:r>
        <w:rPr>
          <w:rtl w:val="0"/>
          <w:lang w:val="en-US"/>
        </w:rPr>
        <w:t>Use of Ingress Controllers with automated TLS certificate management (e.g., Let's Encrypt or national PKI).</w:t>
      </w:r>
    </w:p>
    <w:p>
      <w:pPr>
        <w:pStyle w:val="List Paragraph"/>
        <w:numPr>
          <w:ilvl w:val="0"/>
          <w:numId w:val="2"/>
        </w:numPr>
        <w:bidi w:val="0"/>
        <w:spacing w:before="40" w:after="40"/>
        <w:ind w:right="0"/>
        <w:jc w:val="left"/>
        <w:rPr>
          <w:rtl w:val="0"/>
          <w:lang w:val="en-US"/>
        </w:rPr>
      </w:pPr>
      <w:r>
        <w:rPr>
          <w:b w:val="1"/>
          <w:bCs w:val="1"/>
          <w:rtl w:val="0"/>
          <w:lang w:val="en-US"/>
        </w:rPr>
        <w:t>Secure Key Management</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Hardware Security Modules (HSM) or Trusted Platform Modules (TPM) should be used for storing private keys for AS4 signing and mTLS.</w:t>
      </w:r>
    </w:p>
    <w:p>
      <w:pPr>
        <w:pStyle w:val="List Paragraph"/>
        <w:numPr>
          <w:ilvl w:val="1"/>
          <w:numId w:val="4"/>
        </w:numPr>
        <w:bidi w:val="0"/>
        <w:spacing w:before="40" w:after="40"/>
        <w:ind w:right="0"/>
        <w:jc w:val="left"/>
        <w:rPr>
          <w:rtl w:val="0"/>
          <w:lang w:val="en-US"/>
        </w:rPr>
      </w:pPr>
      <w:r>
        <w:rPr>
          <w:rtl w:val="0"/>
          <w:lang w:val="en-US"/>
        </w:rPr>
        <w:t>In cloud environments where hardware modules are unavailable, strict IAM policies must limit access to the key management service and its associated PKCS12 keystores.</w:t>
      </w:r>
    </w:p>
    <w:p>
      <w:pPr>
        <w:pStyle w:val="List Paragraph"/>
        <w:numPr>
          <w:ilvl w:val="0"/>
          <w:numId w:val="2"/>
        </w:numPr>
        <w:bidi w:val="0"/>
        <w:spacing w:before="40" w:after="40"/>
        <w:ind w:right="0"/>
        <w:jc w:val="left"/>
        <w:rPr>
          <w:rtl w:val="0"/>
          <w:lang w:val="en-US"/>
        </w:rPr>
      </w:pPr>
      <w:r>
        <w:rPr>
          <w:b w:val="1"/>
          <w:bCs w:val="1"/>
          <w:rtl w:val="0"/>
          <w:lang w:val="en-US"/>
        </w:rPr>
        <w:t>Network Isolation</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The Estonian eFTI Gate and its PostgreSQL database should reside in a private subnet, with access restricted to authorized IP ranges (e.g., X-Road Security Servers and EU Member State eFTI Gates).</w:t>
      </w:r>
    </w:p>
    <w:p>
      <w:pPr>
        <w:pStyle w:val="List Paragraph"/>
        <w:numPr>
          <w:ilvl w:val="1"/>
          <w:numId w:val="4"/>
        </w:numPr>
        <w:bidi w:val="0"/>
        <w:spacing w:before="40" w:after="40"/>
        <w:ind w:right="0"/>
        <w:jc w:val="left"/>
        <w:rPr>
          <w:rtl w:val="0"/>
          <w:lang w:val="en-US"/>
        </w:rPr>
      </w:pPr>
      <w:r>
        <w:rPr>
          <w:rtl w:val="0"/>
          <w:lang w:val="en-US"/>
        </w:rPr>
        <w:t>Regular vulnerability scanning of Docker images to identify and patch vulnerabilities in the eFTI Gate Core stack.</w:t>
      </w:r>
    </w:p>
    <w:p>
      <w:pPr>
        <w:pStyle w:val="List Paragraph"/>
        <w:numPr>
          <w:ilvl w:val="0"/>
          <w:numId w:val="2"/>
        </w:numPr>
        <w:bidi w:val="0"/>
        <w:spacing w:before="40" w:after="40"/>
        <w:ind w:right="0"/>
        <w:jc w:val="left"/>
        <w:rPr>
          <w:rtl w:val="0"/>
          <w:lang w:val="en-US"/>
        </w:rPr>
      </w:pPr>
      <w:r>
        <w:rPr>
          <w:b w:val="1"/>
          <w:bCs w:val="1"/>
          <w:rtl w:val="0"/>
          <w:lang w:val="en-US"/>
        </w:rPr>
        <w:t>High Availability (HA)</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Horizontal scaling of the eFTI Gate Core to prevent Denial of Service (DoS) through resource exhaustion.</w:t>
      </w:r>
    </w:p>
    <w:p>
      <w:pPr>
        <w:pStyle w:val="List Paragraph"/>
        <w:numPr>
          <w:ilvl w:val="1"/>
          <w:numId w:val="4"/>
        </w:numPr>
        <w:bidi w:val="0"/>
        <w:spacing w:before="40" w:after="40"/>
        <w:ind w:right="0"/>
        <w:jc w:val="left"/>
        <w:rPr>
          <w:rtl w:val="0"/>
          <w:lang w:val="en-US"/>
        </w:rPr>
      </w:pPr>
      <w:r>
        <w:rPr>
          <w:rtl w:val="0"/>
          <w:lang w:val="en-US"/>
        </w:rPr>
        <w:t>PostgreSQL replication across multiple availability zones to ensure data persistence of identifiers.</w:t>
      </w:r>
    </w:p>
    <w:p>
      <w:pPr>
        <w:pStyle w:val="Body A"/>
        <w:spacing w:before="120"/>
      </w:pPr>
    </w:p>
    <w:p>
      <w:pPr>
        <w:pStyle w:val="Heading 2"/>
      </w:pPr>
      <w:r>
        <w:rPr>
          <w:rtl w:val="0"/>
          <w:lang w:val="en-US"/>
        </w:rPr>
        <w:t>7.3 Recommendations for Secure Administration</w:t>
      </w:r>
    </w:p>
    <w:p>
      <w:pPr>
        <w:pStyle w:val="Body A"/>
        <w:spacing w:before="60" w:after="80"/>
      </w:pPr>
      <w:r>
        <w:rPr>
          <w:rtl w:val="0"/>
          <w:lang w:val="en-US"/>
        </w:rPr>
        <w:t>Secure administration is critical for maintaining the trust of the eFTI ecosystem.</w:t>
      </w:r>
    </w:p>
    <w:p>
      <w:pPr>
        <w:pStyle w:val="Body A"/>
        <w:spacing w:before="80"/>
      </w:pPr>
    </w:p>
    <w:p>
      <w:pPr>
        <w:pStyle w:val="List Paragraph"/>
        <w:numPr>
          <w:ilvl w:val="0"/>
          <w:numId w:val="2"/>
        </w:numPr>
        <w:bidi w:val="0"/>
        <w:spacing w:before="40" w:after="40"/>
        <w:ind w:right="0"/>
        <w:jc w:val="left"/>
        <w:rPr>
          <w:rtl w:val="0"/>
          <w:lang w:val="en-US"/>
        </w:rPr>
      </w:pPr>
      <w:r>
        <w:rPr>
          <w:b w:val="1"/>
          <w:bCs w:val="1"/>
          <w:rtl w:val="0"/>
          <w:lang w:val="en-US"/>
        </w:rPr>
        <w:t>Administrative RBAC</w:t>
      </w:r>
      <w:r>
        <w:rPr>
          <w:rtl w:val="0"/>
          <w:lang w:val="en-US"/>
        </w:rPr>
        <w:t xml:space="preserve">: </w:t>
      </w:r>
    </w:p>
    <w:p>
      <w:pPr>
        <w:pStyle w:val="List Paragraph"/>
        <w:numPr>
          <w:ilvl w:val="1"/>
          <w:numId w:val="4"/>
        </w:numPr>
        <w:spacing w:before="40" w:after="40"/>
        <w:rPr>
          <w:lang w:val="en-US"/>
        </w:rPr>
      </w:pPr>
      <w:r>
        <w:rPr>
          <w:b w:val="1"/>
          <w:bCs w:val="1"/>
          <w:rtl w:val="0"/>
          <w:lang w:val="en-US"/>
        </w:rPr>
        <w:t>eFTI</w:t>
      </w:r>
      <w:r>
        <w:rPr>
          <w:rtl w:val="0"/>
          <w:lang w:val="en-US"/>
        </w:rPr>
        <w:t xml:space="preserve"> </w:t>
      </w:r>
      <w:r>
        <w:rPr>
          <w:b w:val="1"/>
          <w:bCs w:val="1"/>
          <w:rtl w:val="0"/>
          <w:lang w:val="en-US"/>
        </w:rPr>
        <w:t>Gate Super Admin</w:t>
      </w:r>
      <w:r>
        <w:rPr>
          <w:rtl w:val="0"/>
          <w:lang w:val="en-US"/>
        </w:rPr>
        <w:t>: Limited to a few high-level personnel for system-wide configuration and certificate management.</w:t>
      </w:r>
    </w:p>
    <w:p>
      <w:pPr>
        <w:pStyle w:val="List Paragraph"/>
        <w:numPr>
          <w:ilvl w:val="1"/>
          <w:numId w:val="4"/>
        </w:numPr>
        <w:bidi w:val="0"/>
        <w:spacing w:before="40" w:after="40"/>
        <w:ind w:right="0"/>
        <w:jc w:val="left"/>
        <w:rPr>
          <w:rtl w:val="0"/>
          <w:lang w:val="en-US"/>
        </w:rPr>
      </w:pPr>
      <w:r>
        <w:rPr>
          <w:b w:val="1"/>
          <w:bCs w:val="1"/>
          <w:rtl w:val="0"/>
          <w:lang w:val="en-US"/>
        </w:rPr>
        <w:t>Competent Authority/eFTI Platform Admin</w:t>
      </w:r>
      <w:r>
        <w:rPr>
          <w:rtl w:val="0"/>
          <w:lang w:val="en-US"/>
        </w:rPr>
        <w:t>: Empowered to manage users only within their specific scope, reducing the blast radius of a compromised account.</w:t>
      </w:r>
    </w:p>
    <w:p>
      <w:pPr>
        <w:pStyle w:val="List Paragraph"/>
        <w:numPr>
          <w:ilvl w:val="0"/>
          <w:numId w:val="2"/>
        </w:numPr>
        <w:bidi w:val="0"/>
        <w:spacing w:before="40" w:after="40"/>
        <w:ind w:right="0"/>
        <w:jc w:val="left"/>
        <w:rPr>
          <w:rtl w:val="0"/>
          <w:lang w:val="en-US"/>
        </w:rPr>
      </w:pPr>
      <w:r>
        <w:rPr>
          <w:b w:val="1"/>
          <w:bCs w:val="1"/>
          <w:rtl w:val="0"/>
          <w:lang w:val="en-US"/>
        </w:rPr>
        <w:t>Credential Lifecycle</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Enforce the "Show Once" policy for system-generated passwords, ensuring they are only visible to the user at the moment of creation.</w:t>
      </w:r>
    </w:p>
    <w:p>
      <w:pPr>
        <w:pStyle w:val="List Paragraph"/>
        <w:numPr>
          <w:ilvl w:val="1"/>
          <w:numId w:val="4"/>
        </w:numPr>
        <w:bidi w:val="0"/>
        <w:spacing w:before="40" w:after="40"/>
        <w:ind w:right="0"/>
        <w:jc w:val="left"/>
        <w:rPr>
          <w:rtl w:val="0"/>
          <w:lang w:val="en-US"/>
        </w:rPr>
      </w:pPr>
      <w:r>
        <w:rPr>
          <w:rtl w:val="0"/>
          <w:lang w:val="en-US"/>
        </w:rPr>
        <w:t>Implement regular rotation of API Bearer tokens and administrative passwords.</w:t>
      </w:r>
    </w:p>
    <w:p>
      <w:pPr>
        <w:pStyle w:val="List Paragraph"/>
        <w:numPr>
          <w:ilvl w:val="0"/>
          <w:numId w:val="2"/>
        </w:numPr>
        <w:bidi w:val="0"/>
        <w:spacing w:before="40" w:after="40"/>
        <w:ind w:right="0"/>
        <w:jc w:val="left"/>
        <w:rPr>
          <w:rtl w:val="0"/>
          <w:lang w:val="en-US"/>
        </w:rPr>
      </w:pPr>
      <w:r>
        <w:rPr>
          <w:b w:val="1"/>
          <w:bCs w:val="1"/>
          <w:rtl w:val="0"/>
          <w:lang w:val="en-US"/>
        </w:rPr>
        <w:t>Operational Monitoring</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Real-time monitoring of the Operations Log for anomalous behavior (e.g., mass identifier registration or unusual query patterns).</w:t>
      </w:r>
    </w:p>
    <w:p>
      <w:pPr>
        <w:pStyle w:val="List Paragraph"/>
        <w:numPr>
          <w:ilvl w:val="1"/>
          <w:numId w:val="4"/>
        </w:numPr>
        <w:bidi w:val="0"/>
        <w:spacing w:before="40" w:after="40"/>
        <w:ind w:right="0"/>
        <w:jc w:val="left"/>
        <w:rPr>
          <w:rtl w:val="0"/>
          <w:lang w:val="en-US"/>
        </w:rPr>
      </w:pPr>
      <w:r>
        <w:rPr>
          <w:rtl w:val="0"/>
          <w:lang w:val="en-US"/>
        </w:rPr>
        <w:t>Integration with centralized logging and alerting systems (e.g., ELK stack or Prometheus/Grafana).</w:t>
      </w:r>
    </w:p>
    <w:p>
      <w:pPr>
        <w:pStyle w:val="List Paragraph"/>
        <w:numPr>
          <w:ilvl w:val="0"/>
          <w:numId w:val="2"/>
        </w:numPr>
        <w:bidi w:val="0"/>
        <w:spacing w:before="40" w:after="40"/>
        <w:ind w:right="0"/>
        <w:jc w:val="left"/>
        <w:rPr>
          <w:rtl w:val="0"/>
          <w:lang w:val="en-US"/>
        </w:rPr>
      </w:pPr>
      <w:r>
        <w:rPr>
          <w:b w:val="1"/>
          <w:bCs w:val="1"/>
          <w:rtl w:val="0"/>
          <w:lang w:val="en-US"/>
        </w:rPr>
        <w:t>Multi-Level Support</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Implementation of the eFTI Helpdesk Network (level 1, level 2, level 3) to handle security incidents and operational issues within the mandated common availability window (10:00 - 16:00 CET) as per Art 8(3) of Implementing Regulation (EU) 2024/1942.</w:t>
      </w:r>
    </w:p>
    <w:p>
      <w:pPr>
        <w:pStyle w:val="Body A"/>
        <w:spacing w:before="120"/>
      </w:pPr>
    </w:p>
    <w:p>
      <w:pPr>
        <w:pStyle w:val="Heading 2"/>
      </w:pPr>
      <w:r>
        <w:rPr>
          <w:rtl w:val="0"/>
          <w:lang w:val="en-US"/>
        </w:rPr>
        <w:t>7.4 Cryptography</w:t>
      </w:r>
    </w:p>
    <w:p>
      <w:pPr>
        <w:pStyle w:val="Body A"/>
        <w:spacing w:before="60" w:after="80"/>
      </w:pPr>
      <w:r>
        <w:rPr>
          <w:rtl w:val="0"/>
          <w:lang w:val="en-US"/>
        </w:rPr>
        <w:t>The eFTI Gate utilizes industry-standard cryptographic algorithms and protocols to ensure the confidentiality, integrity, and authenticity of freight transport data.</w:t>
      </w:r>
    </w:p>
    <w:p>
      <w:pPr>
        <w:pStyle w:val="Body A"/>
        <w:spacing w:before="80"/>
      </w:pPr>
    </w:p>
    <w:p>
      <w:pPr>
        <w:pStyle w:val="List Paragraph"/>
        <w:numPr>
          <w:ilvl w:val="0"/>
          <w:numId w:val="2"/>
        </w:numPr>
        <w:bidi w:val="0"/>
        <w:spacing w:before="40" w:after="40"/>
        <w:ind w:right="0"/>
        <w:jc w:val="left"/>
        <w:rPr>
          <w:rtl w:val="0"/>
          <w:lang w:val="en-US"/>
        </w:rPr>
      </w:pPr>
      <w:r>
        <w:rPr>
          <w:b w:val="1"/>
          <w:bCs w:val="1"/>
          <w:rtl w:val="0"/>
          <w:lang w:val="en-US"/>
        </w:rPr>
        <w:t>Protocol Stack</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TLS 1.2/1.3: Mandatory for all transport-level communication between nodes.</w:t>
      </w:r>
    </w:p>
    <w:p>
      <w:pPr>
        <w:pStyle w:val="List Paragraph"/>
        <w:numPr>
          <w:ilvl w:val="1"/>
          <w:numId w:val="4"/>
        </w:numPr>
        <w:bidi w:val="0"/>
        <w:spacing w:before="40" w:after="40"/>
        <w:ind w:right="0"/>
        <w:jc w:val="left"/>
        <w:rPr>
          <w:rtl w:val="0"/>
          <w:lang w:val="en-US"/>
        </w:rPr>
      </w:pPr>
      <w:r>
        <w:rPr>
          <w:rtl w:val="0"/>
          <w:lang w:val="en-US"/>
        </w:rPr>
        <w:t>AS4 (ebMS3): Used for secure asynchronous message exchange between eFTI Gates.</w:t>
      </w:r>
    </w:p>
    <w:p>
      <w:pPr>
        <w:pStyle w:val="List Paragraph"/>
        <w:numPr>
          <w:ilvl w:val="0"/>
          <w:numId w:val="2"/>
        </w:numPr>
        <w:bidi w:val="0"/>
        <w:spacing w:before="40" w:after="40"/>
        <w:ind w:right="0"/>
        <w:jc w:val="left"/>
        <w:rPr>
          <w:rtl w:val="0"/>
          <w:lang w:val="en-US"/>
        </w:rPr>
      </w:pPr>
      <w:r>
        <w:rPr>
          <w:b w:val="1"/>
          <w:bCs w:val="1"/>
          <w:rtl w:val="0"/>
          <w:lang w:val="en-US"/>
        </w:rPr>
        <w:t>Message Security</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XMLDSig (XML Digital Signatures): Used to sign AS4 message envelopes, ensuring the origin and integrity of the metadata.</w:t>
      </w:r>
    </w:p>
    <w:p>
      <w:pPr>
        <w:pStyle w:val="List Paragraph"/>
        <w:numPr>
          <w:ilvl w:val="1"/>
          <w:numId w:val="4"/>
        </w:numPr>
        <w:bidi w:val="0"/>
        <w:spacing w:before="40" w:after="40"/>
        <w:ind w:right="0"/>
        <w:jc w:val="left"/>
        <w:rPr>
          <w:rtl w:val="0"/>
          <w:lang w:val="en-US"/>
        </w:rPr>
      </w:pPr>
      <w:r>
        <w:rPr>
          <w:rtl w:val="0"/>
          <w:lang w:val="en-US"/>
        </w:rPr>
        <w:t>XML Canonicalization (C14N): Custom implementation to ensure consistent hashing of XML structures for digital signature verification.</w:t>
      </w:r>
    </w:p>
    <w:p>
      <w:pPr>
        <w:pStyle w:val="List Paragraph"/>
        <w:numPr>
          <w:ilvl w:val="0"/>
          <w:numId w:val="2"/>
        </w:numPr>
        <w:bidi w:val="0"/>
        <w:spacing w:before="40" w:after="40"/>
        <w:ind w:right="0"/>
        <w:jc w:val="left"/>
        <w:rPr>
          <w:rtl w:val="0"/>
          <w:lang w:val="en-US"/>
        </w:rPr>
      </w:pPr>
      <w:r>
        <w:rPr>
          <w:b w:val="1"/>
          <w:bCs w:val="1"/>
          <w:rtl w:val="0"/>
          <w:lang w:val="en-US"/>
        </w:rPr>
        <w:t>Algorithms</w:t>
      </w:r>
      <w:r>
        <w:rPr>
          <w:rtl w:val="0"/>
          <w:lang w:val="en-US"/>
        </w:rPr>
        <w:t xml:space="preserve">: </w:t>
      </w:r>
    </w:p>
    <w:p>
      <w:pPr>
        <w:pStyle w:val="List Paragraph"/>
        <w:numPr>
          <w:ilvl w:val="1"/>
          <w:numId w:val="4"/>
        </w:numPr>
        <w:bidi w:val="0"/>
        <w:spacing w:before="40" w:after="40"/>
        <w:ind w:right="0"/>
        <w:jc w:val="left"/>
        <w:rPr>
          <w:rtl w:val="0"/>
          <w:lang w:val="en-US"/>
        </w:rPr>
      </w:pPr>
      <w:r>
        <w:rPr>
          <w:rtl w:val="0"/>
          <w:lang w:val="en-US"/>
        </w:rPr>
        <w:t>Asymmetric: RSA (2048-bit minimum) or ECC (Elliptic Curve Cryptography) for key pairs.</w:t>
      </w:r>
    </w:p>
    <w:p>
      <w:pPr>
        <w:pStyle w:val="List Paragraph"/>
        <w:numPr>
          <w:ilvl w:val="1"/>
          <w:numId w:val="4"/>
        </w:numPr>
        <w:bidi w:val="0"/>
        <w:spacing w:before="40" w:after="40"/>
        <w:ind w:right="0"/>
        <w:jc w:val="left"/>
        <w:rPr>
          <w:rtl w:val="0"/>
          <w:lang w:val="en-US"/>
        </w:rPr>
      </w:pPr>
      <w:r>
        <w:rPr>
          <w:rtl w:val="0"/>
          <w:lang w:val="en-US"/>
        </w:rPr>
        <w:t>Hashing: SHA-256 for message digests and password hashing.</w:t>
      </w:r>
    </w:p>
    <w:p>
      <w:pPr>
        <w:pStyle w:val="List Paragraph"/>
        <w:numPr>
          <w:ilvl w:val="1"/>
          <w:numId w:val="4"/>
        </w:numPr>
        <w:bidi w:val="0"/>
        <w:spacing w:before="40" w:after="40"/>
        <w:ind w:right="0"/>
        <w:jc w:val="left"/>
        <w:rPr>
          <w:rtl w:val="0"/>
          <w:lang w:val="en-US"/>
        </w:rPr>
      </w:pPr>
      <w:r>
        <w:rPr>
          <w:rtl w:val="0"/>
          <w:lang w:val="en-US"/>
        </w:rPr>
        <w:t>Symmetric: AES-128/256 for payload encryption in AS4.</w:t>
      </w:r>
    </w:p>
    <w:p>
      <w:pPr>
        <w:pStyle w:val="Body A"/>
        <w:spacing w:before="120"/>
      </w:pPr>
    </w:p>
    <w:p>
      <w:pPr>
        <w:pStyle w:val="Heading 2"/>
      </w:pPr>
      <w:r>
        <w:rPr>
          <w:rtl w:val="0"/>
          <w:lang w:val="en-US"/>
        </w:rPr>
        <w:t>7.5 Trust Framework and Compliance Management</w:t>
      </w:r>
    </w:p>
    <w:p>
      <w:pPr>
        <w:pStyle w:val="Body A"/>
        <w:spacing w:before="60" w:after="80"/>
      </w:pPr>
      <w:r>
        <w:rPr>
          <w:rtl w:val="0"/>
          <w:lang w:val="en-US"/>
        </w:rPr>
        <w:t>The eFTI exchange environment relies on a structured trust framework to ensure the authenticity, integrity, and non-repudiation of electronic freight transport information between competent authorities, eFTI gates, and eFTI platforms.</w:t>
      </w:r>
    </w:p>
    <w:p>
      <w:pPr>
        <w:pStyle w:val="Body A"/>
        <w:spacing w:before="80"/>
      </w:pPr>
    </w:p>
    <w:p>
      <w:pPr>
        <w:pStyle w:val="Heading 3"/>
      </w:pPr>
      <w:r>
        <w:rPr>
          <w:rtl w:val="0"/>
          <w:lang w:val="en-US"/>
        </w:rPr>
        <w:t>7.5.1 Trust Entities and Certifications</w:t>
      </w:r>
    </w:p>
    <w:p>
      <w:pPr>
        <w:pStyle w:val="List Paragraph"/>
        <w:numPr>
          <w:ilvl w:val="0"/>
          <w:numId w:val="2"/>
        </w:numPr>
        <w:bidi w:val="0"/>
        <w:spacing w:before="40" w:after="40"/>
        <w:ind w:right="0"/>
        <w:jc w:val="left"/>
        <w:rPr>
          <w:rtl w:val="0"/>
          <w:lang w:val="en-US"/>
        </w:rPr>
      </w:pPr>
      <w:r>
        <w:rPr>
          <w:b w:val="1"/>
          <w:bCs w:val="1"/>
          <w:rtl w:val="0"/>
          <w:lang w:val="en-US"/>
        </w:rPr>
        <w:t>Conformity Assessment Body (CAB)</w:t>
      </w:r>
      <w:r>
        <w:rPr>
          <w:rtl w:val="0"/>
          <w:lang w:val="en-US"/>
        </w:rPr>
        <w:t>: An accredited body responsible for performing the conformity assessment of eFTI platforms and service providers to ensure they meet the requirements of the Regulation. (Ref: Article 11, Regulation (EU) 2020/1056; Regulation (EC) No 765/2008).</w:t>
      </w:r>
    </w:p>
    <w:p>
      <w:pPr>
        <w:pStyle w:val="List Paragraph"/>
        <w:numPr>
          <w:ilvl w:val="0"/>
          <w:numId w:val="2"/>
        </w:numPr>
        <w:bidi w:val="0"/>
        <w:spacing w:before="40" w:after="40"/>
        <w:ind w:right="0"/>
        <w:jc w:val="left"/>
        <w:rPr>
          <w:rtl w:val="0"/>
          <w:lang w:val="en-US"/>
        </w:rPr>
      </w:pPr>
      <w:r>
        <w:rPr>
          <w:b w:val="1"/>
          <w:bCs w:val="1"/>
          <w:rtl w:val="0"/>
          <w:lang w:val="en-US"/>
        </w:rPr>
        <w:t>Qualified Trust Service Provider (QTSP)</w:t>
      </w:r>
      <w:r>
        <w:rPr>
          <w:rtl w:val="0"/>
          <w:lang w:val="en-US"/>
        </w:rPr>
        <w:t>: An entity providing qualified trust services (such as qualified electronic signatures or seals) that meet the high security standards required for legal recognition across the EU. (Ref: Regulation (EU) 910/2014).</w:t>
      </w:r>
    </w:p>
    <w:p>
      <w:pPr>
        <w:pStyle w:val="Body A"/>
        <w:spacing w:before="80"/>
      </w:pPr>
    </w:p>
    <w:tbl>
      <w:tblPr>
        <w:tblW w:w="8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2000"/>
        <w:gridCol w:w="2300"/>
        <w:gridCol w:w="2338"/>
      </w:tblGrid>
      <w:tr>
        <w:tblPrEx>
          <w:shd w:val="clear" w:color="auto" w:fill="156082"/>
        </w:tblPrEx>
        <w:trPr>
          <w:trHeight w:val="438" w:hRule="atLeast"/>
          <w:tblHeader/>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Trust / Certification Element</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Regulatory Purpose</w:t>
            </w:r>
          </w:p>
        </w:tc>
        <w:tc>
          <w:tcPr>
            <w:tcW w:type="dxa" w:w="2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Legislative Basis</w:t>
            </w:r>
          </w:p>
        </w:tc>
        <w:tc>
          <w:tcPr>
            <w:tcW w:type="dxa" w:w="2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Governing Entity</w:t>
            </w:r>
          </w:p>
        </w:tc>
      </w:tr>
      <w:tr>
        <w:tblPrEx>
          <w:shd w:val="clear" w:color="auto" w:fill="cad1d7"/>
        </w:tblPrEx>
        <w:trPr>
          <w:trHeight w:val="71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Security Certificate (X.509)</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Authentication and secure message exchange.</w:t>
            </w:r>
          </w:p>
        </w:tc>
        <w:tc>
          <w:tcPr>
            <w:tcW w:type="dxa" w:w="2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Art 10, Reg 2024/1942</w:t>
            </w:r>
          </w:p>
        </w:tc>
        <w:tc>
          <w:tcPr>
            <w:tcW w:type="dxa" w:w="2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Trusted Certificate Authority (CA)</w:t>
            </w:r>
          </w:p>
        </w:tc>
      </w:tr>
      <w:tr>
        <w:tblPrEx>
          <w:shd w:val="clear" w:color="auto" w:fill="cad1d7"/>
        </w:tblPrEx>
        <w:trPr>
          <w:trHeight w:val="958" w:hRule="atLeast"/>
        </w:trPr>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eIDAS Certificates</w:t>
            </w:r>
          </w:p>
        </w:tc>
        <w:tc>
          <w:tcPr>
            <w:tcW w:type="dxa" w:w="20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Qualified electronic signatures and seals for datasets.</w:t>
            </w:r>
          </w:p>
        </w:tc>
        <w:tc>
          <w:tcPr>
            <w:tcW w:type="dxa" w:w="2300"/>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Reg 910/2014</w:t>
            </w:r>
          </w:p>
        </w:tc>
        <w:tc>
          <w:tcPr>
            <w:tcW w:type="dxa" w:w="233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Qualified Trust Service Provider (QTSP)</w:t>
            </w:r>
          </w:p>
        </w:tc>
      </w:tr>
    </w:tbl>
    <w:p>
      <w:pPr>
        <w:pStyle w:val="Body A"/>
        <w:widowControl w:val="0"/>
        <w:spacing w:before="80"/>
        <w:ind w:left="108" w:hanging="108"/>
      </w:pPr>
    </w:p>
    <w:p>
      <w:pPr>
        <w:pStyle w:val="Body A"/>
        <w:widowControl w:val="0"/>
        <w:spacing w:before="80"/>
      </w:pPr>
    </w:p>
    <w:p>
      <w:pPr>
        <w:pStyle w:val="Body A"/>
        <w:spacing w:before="80"/>
      </w:pPr>
    </w:p>
    <w:p>
      <w:pPr>
        <w:pStyle w:val="Heading 3"/>
      </w:pPr>
      <w:r>
        <w:rPr>
          <w:rtl w:val="0"/>
          <w:lang w:val="en-US"/>
        </w:rPr>
        <w:t>7.5.2 Update Routine and Compliance Strategy</w:t>
      </w:r>
    </w:p>
    <w:p>
      <w:pPr>
        <w:pStyle w:val="List Paragraph"/>
        <w:numPr>
          <w:ilvl w:val="0"/>
          <w:numId w:val="2"/>
        </w:numPr>
        <w:bidi w:val="0"/>
        <w:spacing w:before="40" w:after="40"/>
        <w:ind w:right="0"/>
        <w:jc w:val="left"/>
        <w:rPr>
          <w:rtl w:val="0"/>
          <w:lang w:val="en-US"/>
        </w:rPr>
      </w:pPr>
      <w:r>
        <w:rPr>
          <w:b w:val="1"/>
          <w:bCs w:val="1"/>
          <w:rtl w:val="0"/>
          <w:lang w:val="en-US"/>
        </w:rPr>
        <w:t>Certificate Management</w:t>
      </w:r>
      <w:r>
        <w:rPr>
          <w:rtl w:val="0"/>
          <w:lang w:val="en-US"/>
        </w:rPr>
        <w:t>: Security certificates must be managed and renewed to ensure continuous secure communication within the eFTI exchange environment, adhering to the technical specifications for identification and authentication. (Ref: Article 10,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Compliance with the Registry of eFTI Platforms</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Registry Synchronization</w:t>
      </w:r>
      <w:r>
        <w:rPr>
          <w:rtl w:val="0"/>
          <w:lang w:val="en-US"/>
        </w:rPr>
        <w:t>: The eFTI gate must verify that every eFTI platform it interacts with is listed as active in the registry of eFTI platforms maintained by each Member State. (Ref: Article 11, Regulation (EU) 2020/1056; Article 6, Implementing Regulation (EU) 2024/1942).</w:t>
      </w:r>
    </w:p>
    <w:p>
      <w:pPr>
        <w:pStyle w:val="List Paragraph"/>
        <w:numPr>
          <w:ilvl w:val="1"/>
          <w:numId w:val="4"/>
        </w:numPr>
        <w:bidi w:val="0"/>
        <w:spacing w:before="40" w:after="40"/>
        <w:ind w:right="0"/>
        <w:jc w:val="left"/>
        <w:rPr>
          <w:rtl w:val="0"/>
          <w:lang w:val="en-US"/>
        </w:rPr>
      </w:pPr>
      <w:r>
        <w:rPr>
          <w:b w:val="1"/>
          <w:bCs w:val="1"/>
          <w:rtl w:val="0"/>
          <w:lang w:val="en-US"/>
        </w:rPr>
        <w:t>Qualified Trust Validation</w:t>
      </w:r>
      <w:r>
        <w:rPr>
          <w:rtl w:val="0"/>
          <w:lang w:val="en-US"/>
        </w:rPr>
        <w:t>: Electronic signatures and seals provided by eFTI platforms must be validated against the European Union Trusted Lists (EUTL) to ensure the qualified status of the issuing trust service provider. (Ref: Regulation (EU) 910/2014).</w:t>
      </w:r>
    </w:p>
    <w:p>
      <w:pPr>
        <w:pStyle w:val="List Paragraph"/>
        <w:numPr>
          <w:ilvl w:val="0"/>
          <w:numId w:val="2"/>
        </w:numPr>
        <w:bidi w:val="0"/>
        <w:spacing w:before="40" w:after="40"/>
        <w:ind w:right="0"/>
        <w:jc w:val="left"/>
        <w:rPr>
          <w:rtl w:val="0"/>
          <w:lang w:val="en-US"/>
        </w:rPr>
      </w:pPr>
      <w:r>
        <w:rPr>
          <w:b w:val="1"/>
          <w:bCs w:val="1"/>
          <w:rtl w:val="0"/>
          <w:lang w:val="en-US"/>
        </w:rPr>
        <w:t>Dynamic Discovery and Interoperability</w:t>
      </w:r>
      <w:r>
        <w:rPr>
          <w:rtl w:val="0"/>
          <w:lang w:val="en-US"/>
        </w:rPr>
        <w:t>: The eFTI gate must implement dynamic discovery of peer nodes (eFTI gates and eFTI platforms) using the common technical specifications adopted for the exchange environment, ensuring that updated security metadata and endpoints are propagated automatically. (Ref: Article 9,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Revocation and Validity Checks</w:t>
      </w:r>
      <w:r>
        <w:rPr>
          <w:rtl w:val="0"/>
          <w:lang w:val="en-US"/>
        </w:rPr>
        <w:t>: The eFTI gate must perform real-time validation of the status of digital certificates (e.g., via OCSP or CRL). Information exchange must be immediately suspended if a certificate is revoked, expired, or no longer meets the required security standards. (Ref: Article 10,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Certification Maintenance</w:t>
      </w:r>
      <w:r>
        <w:rPr>
          <w:rtl w:val="0"/>
          <w:lang w:val="en-US"/>
        </w:rPr>
        <w:t>: The CAB or administrator must ensure that the eFTI platform's ability to provide regulatory information is maintained. (Ref: Article 12, Regulation (EU) 2020/1056).</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8. Non-Functional Requirements (NFR)</w:t>
      </w:r>
    </w:p>
    <w:p>
      <w:pPr>
        <w:pStyle w:val="Heading 2"/>
      </w:pPr>
      <w:r>
        <w:rPr>
          <w:rtl w:val="0"/>
          <w:lang w:val="en-US"/>
        </w:rPr>
        <w:t>8.1 Estonian Digital Government &amp; KEMIT Standards</w:t>
      </w:r>
    </w:p>
    <w:p>
      <w:pPr>
        <w:pStyle w:val="Body A"/>
        <w:spacing w:before="60" w:after="80"/>
      </w:pPr>
      <w:r>
        <w:rPr>
          <w:rtl w:val="0"/>
          <w:lang w:val="en-US"/>
        </w:rPr>
        <w:t>The eFTI Gate must comply with the overarching standards for Estonian state information systems:</w:t>
      </w:r>
    </w:p>
    <w:p>
      <w:pPr>
        <w:pStyle w:val="List Paragraph"/>
        <w:numPr>
          <w:ilvl w:val="0"/>
          <w:numId w:val="2"/>
        </w:numPr>
        <w:bidi w:val="0"/>
        <w:spacing w:before="40" w:after="40"/>
        <w:ind w:right="0"/>
        <w:jc w:val="left"/>
        <w:rPr>
          <w:rtl w:val="0"/>
          <w:lang w:val="en-US"/>
        </w:rPr>
      </w:pPr>
      <w:r>
        <w:rPr>
          <w:b w:val="1"/>
          <w:bCs w:val="1"/>
          <w:rtl w:val="0"/>
          <w:lang w:val="en-US"/>
        </w:rPr>
        <w:t>Interoperability Framework</w:t>
      </w:r>
      <w:r>
        <w:rPr>
          <w:rtl w:val="0"/>
          <w:lang w:val="en-US"/>
        </w:rPr>
        <w:t>: Full compliance with the Estonian Common Interoperability Framework (CFR) to ensure seamless data exchange between state information systems.</w:t>
      </w:r>
    </w:p>
    <w:p>
      <w:pPr>
        <w:pStyle w:val="List Paragraph"/>
        <w:numPr>
          <w:ilvl w:val="0"/>
          <w:numId w:val="2"/>
        </w:numPr>
        <w:bidi w:val="0"/>
        <w:spacing w:before="40" w:after="40"/>
        <w:ind w:right="0"/>
        <w:jc w:val="left"/>
        <w:rPr>
          <w:rtl w:val="0"/>
          <w:lang w:val="en-US"/>
        </w:rPr>
      </w:pPr>
      <w:r>
        <w:rPr>
          <w:b w:val="1"/>
          <w:bCs w:val="1"/>
          <w:rtl w:val="0"/>
          <w:lang w:val="en-US"/>
        </w:rPr>
        <w:t>Cybersecurity</w:t>
      </w:r>
      <w:r>
        <w:rPr>
          <w:rtl w:val="0"/>
          <w:lang w:val="en-US"/>
        </w:rPr>
        <w:t>: Adherence to the Estonian Cyber Security Standard (E-ITS) to ensure data integrity, confidentiality, and availability.</w:t>
      </w:r>
    </w:p>
    <w:p>
      <w:pPr>
        <w:pStyle w:val="List Paragraph"/>
        <w:numPr>
          <w:ilvl w:val="0"/>
          <w:numId w:val="2"/>
        </w:numPr>
        <w:bidi w:val="0"/>
        <w:spacing w:before="40" w:after="40"/>
        <w:ind w:right="0"/>
        <w:jc w:val="left"/>
        <w:rPr>
          <w:rtl w:val="0"/>
          <w:lang w:val="en-US"/>
        </w:rPr>
      </w:pPr>
      <w:r>
        <w:rPr>
          <w:b w:val="1"/>
          <w:bCs w:val="1"/>
          <w:rtl w:val="0"/>
          <w:lang w:val="en-US"/>
        </w:rPr>
        <w:t>KEMIT Standards</w:t>
      </w:r>
      <w:r>
        <w:rPr>
          <w:rtl w:val="0"/>
          <w:lang w:val="en-US"/>
        </w:rPr>
        <w:t>: Implementation must align with KEMIT Public Non-functional Requirements for hosting and technology lifecycle management.</w:t>
      </w:r>
    </w:p>
    <w:p>
      <w:pPr>
        <w:pStyle w:val="Body A"/>
        <w:spacing w:before="120"/>
      </w:pPr>
    </w:p>
    <w:p>
      <w:pPr>
        <w:pStyle w:val="Heading 2"/>
      </w:pPr>
      <w:r>
        <w:rPr>
          <w:rtl w:val="0"/>
          <w:lang w:val="en-US"/>
        </w:rPr>
        <w:t>8.2 eFTI Gate Specific NFRs</w:t>
      </w:r>
    </w:p>
    <w:p>
      <w:pPr>
        <w:pStyle w:val="List Paragraph"/>
        <w:numPr>
          <w:ilvl w:val="0"/>
          <w:numId w:val="2"/>
        </w:numPr>
        <w:bidi w:val="0"/>
        <w:spacing w:before="40" w:after="40"/>
        <w:ind w:right="0"/>
        <w:jc w:val="left"/>
        <w:rPr>
          <w:rtl w:val="0"/>
          <w:lang w:val="en-US"/>
        </w:rPr>
      </w:pPr>
      <w:r>
        <w:rPr>
          <w:b w:val="1"/>
          <w:bCs w:val="1"/>
          <w:rtl w:val="0"/>
          <w:lang w:val="en-US"/>
        </w:rPr>
        <w:t>High Throughput</w:t>
      </w:r>
      <w:r>
        <w:rPr>
          <w:rtl w:val="0"/>
          <w:lang w:val="en-US"/>
        </w:rPr>
        <w:t>: The system is designed to handle high load from Estonian competent authorities (EMTA, PPA, KeA, etc.). The solution must be scalable.</w:t>
      </w:r>
    </w:p>
    <w:p>
      <w:pPr>
        <w:pStyle w:val="List Paragraph"/>
        <w:numPr>
          <w:ilvl w:val="0"/>
          <w:numId w:val="2"/>
        </w:numPr>
        <w:bidi w:val="0"/>
        <w:spacing w:before="40" w:after="40"/>
        <w:ind w:right="0"/>
        <w:jc w:val="left"/>
        <w:rPr>
          <w:rtl w:val="0"/>
          <w:lang w:val="en-US"/>
        </w:rPr>
      </w:pPr>
      <w:r>
        <w:rPr>
          <w:b w:val="1"/>
          <w:bCs w:val="1"/>
          <w:rtl w:val="0"/>
          <w:lang w:val="en-US"/>
        </w:rPr>
        <w:t>Low Latency</w:t>
      </w:r>
      <w:r>
        <w:rPr>
          <w:rtl w:val="0"/>
          <w:lang w:val="en-US"/>
        </w:rPr>
        <w:t>: Lightweight stack ensures sub-second response times.</w:t>
      </w:r>
    </w:p>
    <w:p>
      <w:pPr>
        <w:pStyle w:val="List Paragraph"/>
        <w:numPr>
          <w:ilvl w:val="0"/>
          <w:numId w:val="2"/>
        </w:numPr>
        <w:bidi w:val="0"/>
        <w:spacing w:before="40" w:after="40"/>
        <w:ind w:right="0"/>
        <w:jc w:val="left"/>
        <w:rPr>
          <w:rtl w:val="0"/>
          <w:lang w:val="en-US"/>
        </w:rPr>
      </w:pPr>
      <w:r>
        <w:rPr>
          <w:b w:val="1"/>
          <w:bCs w:val="1"/>
          <w:rtl w:val="0"/>
          <w:lang w:val="en-US"/>
        </w:rPr>
        <w:t>Data Retention</w:t>
      </w:r>
      <w:r>
        <w:rPr>
          <w:rtl w:val="0"/>
          <w:lang w:val="en-US"/>
        </w:rPr>
        <w:t>: Audit trail for metadata and transaction logs for at least 2 years to meet eFTI standard requirements.</w:t>
      </w:r>
    </w:p>
    <w:p>
      <w:pPr>
        <w:pStyle w:val="List Paragraph"/>
        <w:numPr>
          <w:ilvl w:val="0"/>
          <w:numId w:val="2"/>
        </w:numPr>
        <w:bidi w:val="0"/>
        <w:spacing w:before="40" w:after="40"/>
        <w:ind w:right="0"/>
        <w:jc w:val="left"/>
        <w:rPr>
          <w:rtl w:val="0"/>
          <w:lang w:val="en-US"/>
        </w:rPr>
      </w:pPr>
      <w:r>
        <w:rPr>
          <w:b w:val="1"/>
          <w:bCs w:val="1"/>
          <w:rtl w:val="0"/>
          <w:lang w:val="en-US"/>
        </w:rPr>
        <w:t>Statelessness</w:t>
      </w:r>
      <w:r>
        <w:rPr>
          <w:rtl w:val="0"/>
          <w:lang w:val="en-US"/>
        </w:rPr>
        <w:t>: The eFTI Gate core is horizontally scalable; all session and entity state is confined to the PostgreSQL database.</w:t>
      </w:r>
    </w:p>
    <w:p>
      <w:pPr>
        <w:pStyle w:val="List Paragraph"/>
        <w:numPr>
          <w:ilvl w:val="0"/>
          <w:numId w:val="2"/>
        </w:numPr>
        <w:bidi w:val="0"/>
        <w:spacing w:before="40" w:after="40"/>
        <w:ind w:right="0"/>
        <w:jc w:val="left"/>
        <w:rPr>
          <w:rtl w:val="0"/>
          <w:lang w:val="en-US"/>
        </w:rPr>
      </w:pPr>
      <w:r>
        <w:rPr>
          <w:b w:val="1"/>
          <w:bCs w:val="1"/>
          <w:rtl w:val="0"/>
          <w:lang w:val="en-US"/>
        </w:rPr>
        <w:t>Auditability</w:t>
      </w:r>
      <w:r>
        <w:rPr>
          <w:rtl w:val="0"/>
          <w:lang w:val="en-US"/>
        </w:rPr>
        <w:t>: Comprehensive logging of all FTI message exchanges (FTI001-FTI031) as required by Article 10(1)(c) of EU Regulation 2020/1056 and Article 6(2) of Implementing Regulation (EU) 2024/1942.</w:t>
      </w:r>
    </w:p>
    <w:p>
      <w:pPr>
        <w:pStyle w:val="List Paragraph"/>
        <w:numPr>
          <w:ilvl w:val="0"/>
          <w:numId w:val="2"/>
        </w:numPr>
        <w:bidi w:val="0"/>
        <w:spacing w:before="40" w:after="40"/>
        <w:ind w:right="0"/>
        <w:jc w:val="left"/>
        <w:rPr>
          <w:rtl w:val="0"/>
          <w:lang w:val="en-US"/>
        </w:rPr>
      </w:pPr>
      <w:r>
        <w:rPr>
          <w:b w:val="1"/>
          <w:bCs w:val="1"/>
          <w:rtl w:val="0"/>
          <w:lang w:val="en-US"/>
        </w:rPr>
        <w:t>Logging &amp; Monitoring</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Operational Logs</w:t>
      </w:r>
      <w:r>
        <w:rPr>
          <w:rtl w:val="0"/>
          <w:lang w:val="en-US"/>
        </w:rPr>
        <w:t>: Real-time logging of system health, authentication events, and API usage.</w:t>
      </w:r>
    </w:p>
    <w:p>
      <w:pPr>
        <w:pStyle w:val="List Paragraph"/>
        <w:numPr>
          <w:ilvl w:val="1"/>
          <w:numId w:val="4"/>
        </w:numPr>
        <w:bidi w:val="0"/>
        <w:spacing w:before="40" w:after="40"/>
        <w:ind w:right="0"/>
        <w:jc w:val="left"/>
        <w:rPr>
          <w:rtl w:val="0"/>
          <w:lang w:val="en-US"/>
        </w:rPr>
      </w:pPr>
      <w:r>
        <w:rPr>
          <w:b w:val="1"/>
          <w:bCs w:val="1"/>
          <w:rtl w:val="0"/>
          <w:lang w:val="en-US"/>
        </w:rPr>
        <w:t>External Integration</w:t>
      </w:r>
      <w:r>
        <w:rPr>
          <w:rtl w:val="0"/>
          <w:lang w:val="en-US"/>
        </w:rPr>
        <w:t>: Support for centralized log aggregation (e.g., ELK stack) and performance monitoring (e.g., Prometheus/Grafana) to facilitate rapid incident response.</w:t>
      </w:r>
    </w:p>
    <w:p>
      <w:pPr>
        <w:pStyle w:val="List Paragraph"/>
        <w:numPr>
          <w:ilvl w:val="1"/>
          <w:numId w:val="4"/>
        </w:numPr>
        <w:bidi w:val="0"/>
        <w:spacing w:before="40" w:after="40"/>
        <w:ind w:right="0"/>
        <w:jc w:val="left"/>
        <w:rPr>
          <w:rtl w:val="0"/>
          <w:lang w:val="en-US"/>
        </w:rPr>
      </w:pPr>
      <w:r>
        <w:rPr>
          <w:b w:val="1"/>
          <w:bCs w:val="1"/>
          <w:rtl w:val="0"/>
          <w:lang w:val="en-US"/>
        </w:rPr>
        <w:t>Tamper-Evidence</w:t>
      </w:r>
      <w:r>
        <w:rPr>
          <w:rtl w:val="0"/>
          <w:lang w:val="en-US"/>
        </w:rPr>
        <w:t>: Transaction logs must be stored using mechanisms that ensure non-repudiation and integrity over the required retention period.</w:t>
      </w:r>
    </w:p>
    <w:p>
      <w:pPr>
        <w:pStyle w:val="Body A"/>
        <w:spacing w:before="120"/>
      </w:pPr>
    </w:p>
    <w:p>
      <w:pPr>
        <w:pStyle w:val="Heading 2"/>
      </w:pPr>
      <w:r>
        <w:rPr>
          <w:rtl w:val="0"/>
          <w:lang w:val="en-US"/>
        </w:rPr>
        <w:t>8.3 Server &amp; Infrastructure Requirements (SLA &amp; Capacity)</w:t>
      </w:r>
    </w:p>
    <w:p>
      <w:pPr>
        <w:pStyle w:val="List Paragraph"/>
        <w:numPr>
          <w:ilvl w:val="0"/>
          <w:numId w:val="2"/>
        </w:numPr>
        <w:bidi w:val="0"/>
        <w:spacing w:before="40" w:after="40"/>
        <w:ind w:right="0"/>
        <w:jc w:val="left"/>
        <w:rPr>
          <w:rtl w:val="0"/>
          <w:lang w:val="en-US"/>
        </w:rPr>
      </w:pPr>
      <w:r>
        <w:rPr>
          <w:b w:val="1"/>
          <w:bCs w:val="1"/>
          <w:rtl w:val="0"/>
          <w:lang w:val="en-US"/>
        </w:rPr>
        <w:t>Service Level Agreement (SLA)</w:t>
      </w:r>
      <w:r>
        <w:rPr>
          <w:rtl w:val="0"/>
          <w:lang w:val="en-US"/>
        </w:rPr>
        <w:t>: Suggested 99.9% availability during business hours (10:00 - 16:00 CET minimum) as per Art 5(3) and Art 8(3) of Implementing Regulation (EU) 2024/1942, supported by Kubernetes-based high availability.</w:t>
      </w:r>
    </w:p>
    <w:p>
      <w:pPr>
        <w:pStyle w:val="List Paragraph"/>
        <w:numPr>
          <w:ilvl w:val="0"/>
          <w:numId w:val="2"/>
        </w:numPr>
        <w:bidi w:val="0"/>
        <w:spacing w:before="40" w:after="40"/>
        <w:ind w:right="0"/>
        <w:jc w:val="left"/>
        <w:rPr>
          <w:rtl w:val="0"/>
          <w:lang w:val="en-US"/>
        </w:rPr>
      </w:pPr>
      <w:r>
        <w:rPr>
          <w:b w:val="1"/>
          <w:bCs w:val="1"/>
          <w:rtl w:val="0"/>
          <w:lang w:val="en-US"/>
        </w:rPr>
        <w:t>Processing Capacity</w:t>
      </w:r>
      <w:r>
        <w:rPr>
          <w:rtl w:val="0"/>
          <w:lang w:val="en-US"/>
        </w:rPr>
        <w:t>: Capability to process 100+ requests per second (RPS) per instance without performance degradation.</w:t>
      </w:r>
    </w:p>
    <w:p>
      <w:pPr>
        <w:pStyle w:val="List Paragraph"/>
        <w:numPr>
          <w:ilvl w:val="0"/>
          <w:numId w:val="2"/>
        </w:numPr>
        <w:bidi w:val="0"/>
        <w:spacing w:before="40" w:after="40"/>
        <w:ind w:right="0"/>
        <w:jc w:val="left"/>
        <w:rPr>
          <w:rtl w:val="0"/>
          <w:lang w:val="en-US"/>
        </w:rPr>
      </w:pPr>
      <w:r>
        <w:rPr>
          <w:b w:val="1"/>
          <w:bCs w:val="1"/>
          <w:rtl w:val="0"/>
          <w:lang w:val="en-US"/>
        </w:rPr>
        <w:t>Software Stack</w:t>
      </w:r>
      <w:r>
        <w:rPr>
          <w:rtl w:val="0"/>
          <w:lang w:val="en-US"/>
        </w:rPr>
        <w:t>: Kotlin on JVM (running in Docker), PostgreSQL for persistence, and Caddy/Nginx for reverse proxying.</w:t>
      </w:r>
    </w:p>
    <w:p>
      <w:pPr>
        <w:pStyle w:val="List Paragraph"/>
        <w:numPr>
          <w:ilvl w:val="0"/>
          <w:numId w:val="2"/>
        </w:numPr>
        <w:bidi w:val="0"/>
        <w:spacing w:before="40" w:after="40"/>
        <w:ind w:right="0"/>
        <w:jc w:val="left"/>
        <w:rPr>
          <w:rtl w:val="0"/>
          <w:lang w:val="en-US"/>
        </w:rPr>
      </w:pPr>
      <w:r>
        <w:rPr>
          <w:b w:val="1"/>
          <w:bCs w:val="1"/>
          <w:rtl w:val="0"/>
          <w:lang w:val="en-US"/>
        </w:rPr>
        <w:t>Scaling</w:t>
      </w:r>
      <w:r>
        <w:rPr>
          <w:rtl w:val="0"/>
          <w:lang w:val="en-US"/>
        </w:rPr>
        <w:t>: Native support for Horizontal Pod Autoscaling (HPA) based on CPU/Memory usage.</w:t>
      </w:r>
    </w:p>
    <w:p>
      <w:pPr>
        <w:pStyle w:val="Body A"/>
        <w:spacing w:before="120"/>
      </w:pPr>
    </w:p>
    <w:p>
      <w:pPr>
        <w:pStyle w:val="Heading 2"/>
      </w:pPr>
      <w:r>
        <w:rPr>
          <w:rtl w:val="0"/>
          <w:lang w:val="en-US"/>
        </w:rPr>
        <w:t>8.4 Disaster Recovery</w:t>
      </w:r>
    </w:p>
    <w:p>
      <w:pPr>
        <w:pStyle w:val="Body A"/>
        <w:spacing w:before="60" w:after="80"/>
      </w:pPr>
      <w:r>
        <w:rPr>
          <w:rtl w:val="0"/>
          <w:lang w:val="en-US"/>
        </w:rPr>
        <w:t>The eFTI Gate should implement disaster recovery measures to ensure continuity of service and data integrity in the event of infrastructure failure, data corruption, or other disruptive incidents.</w:t>
      </w:r>
    </w:p>
    <w:p>
      <w:pPr>
        <w:pStyle w:val="List Paragraph"/>
        <w:numPr>
          <w:ilvl w:val="0"/>
          <w:numId w:val="2"/>
        </w:numPr>
        <w:bidi w:val="0"/>
        <w:spacing w:before="40" w:after="40"/>
        <w:ind w:right="0"/>
        <w:jc w:val="left"/>
        <w:rPr>
          <w:rtl w:val="0"/>
          <w:lang w:val="en-US"/>
        </w:rPr>
      </w:pPr>
      <w:r>
        <w:rPr>
          <w:b w:val="1"/>
          <w:bCs w:val="1"/>
          <w:rtl w:val="0"/>
          <w:lang w:val="en-US"/>
        </w:rPr>
        <w:t>Recovery Time Objective (RTO)</w:t>
      </w:r>
      <w:r>
        <w:rPr>
          <w:rtl w:val="0"/>
          <w:lang w:val="en-US"/>
        </w:rPr>
        <w:t>: Target recovery time is 4 hours for critical components (search mechanism, RoI, AS4 endpoint) and 8 hours for non-critical components (Management UI, reporting). These targets apply during business hours; outside business hours, the emergency on-call service initiates recovery procedures with best-effort response time.</w:t>
      </w:r>
    </w:p>
    <w:p>
      <w:pPr>
        <w:pStyle w:val="List Paragraph"/>
        <w:numPr>
          <w:ilvl w:val="0"/>
          <w:numId w:val="2"/>
        </w:numPr>
        <w:bidi w:val="0"/>
        <w:spacing w:before="40" w:after="40"/>
        <w:ind w:right="0"/>
        <w:jc w:val="left"/>
        <w:rPr>
          <w:rtl w:val="0"/>
          <w:lang w:val="en-US"/>
        </w:rPr>
      </w:pPr>
      <w:r>
        <w:rPr>
          <w:b w:val="1"/>
          <w:bCs w:val="1"/>
          <w:rtl w:val="0"/>
          <w:lang w:val="en-US"/>
        </w:rPr>
        <w:t>Recovery Point Objective (RPO)</w:t>
      </w:r>
      <w:r>
        <w:rPr>
          <w:rtl w:val="0"/>
          <w:lang w:val="en-US"/>
        </w:rPr>
        <w:t>: Maximum acceptable data loss is 1 hour for the Registry of Identifiers and operation logs. This is achieved through continuous PostgreSQL Write-Ahead Log (WAL) streaming to a standby replica or backup storage.</w:t>
      </w:r>
    </w:p>
    <w:p>
      <w:pPr>
        <w:pStyle w:val="List Paragraph"/>
        <w:numPr>
          <w:ilvl w:val="0"/>
          <w:numId w:val="2"/>
        </w:numPr>
        <w:bidi w:val="0"/>
        <w:spacing w:before="40" w:after="40"/>
        <w:ind w:right="0"/>
        <w:jc w:val="left"/>
        <w:rPr>
          <w:rtl w:val="0"/>
          <w:lang w:val="en-US"/>
        </w:rPr>
      </w:pPr>
      <w:r>
        <w:rPr>
          <w:b w:val="1"/>
          <w:bCs w:val="1"/>
          <w:rtl w:val="0"/>
          <w:lang w:val="en-US"/>
        </w:rPr>
        <w:t>Failover Strategy</w:t>
      </w:r>
      <w:r>
        <w:rPr>
          <w:rtl w:val="0"/>
          <w:lang w:val="en-US"/>
        </w:rPr>
        <w:t>: In a Kubernetes-based deployment, pod-level failures are handled automatically through liveness probes and restart policies. For node-level or cluster-level failures, traffic is redirected to a standby instance or secondary cluster. Cross-border AS4 communication is designed to tolerate temporary unavailability through message queuing and retry mechanisms at the sending eFTI Gate.</w:t>
      </w:r>
    </w:p>
    <w:p>
      <w:pPr>
        <w:pStyle w:val="List Paragraph"/>
        <w:numPr>
          <w:ilvl w:val="0"/>
          <w:numId w:val="2"/>
        </w:numPr>
        <w:bidi w:val="0"/>
        <w:spacing w:before="40" w:after="40"/>
        <w:ind w:right="0"/>
        <w:jc w:val="left"/>
        <w:rPr>
          <w:rtl w:val="0"/>
          <w:lang w:val="en-US"/>
        </w:rPr>
      </w:pPr>
      <w:r>
        <w:rPr>
          <w:b w:val="1"/>
          <w:bCs w:val="1"/>
          <w:rtl w:val="0"/>
          <w:lang w:val="en-US"/>
        </w:rPr>
        <w:t>Recovery Testing</w:t>
      </w:r>
      <w:r>
        <w:rPr>
          <w:rtl w:val="0"/>
          <w:lang w:val="en-US"/>
        </w:rPr>
        <w:t>: Disaster recovery procedures are tested at least annually through simulated failure scenarios. Test results are documented and reviewed as part of the operational audit trail.</w:t>
      </w:r>
    </w:p>
    <w:p>
      <w:pPr>
        <w:pStyle w:val="Body A"/>
        <w:spacing w:before="120"/>
      </w:pPr>
    </w:p>
    <w:p>
      <w:pPr>
        <w:pStyle w:val="Heading 2"/>
      </w:pPr>
      <w:r>
        <w:rPr>
          <w:rtl w:val="0"/>
          <w:lang w:val="en-US"/>
        </w:rPr>
        <w:t>8.5 Backup Policy</w:t>
      </w:r>
    </w:p>
    <w:p>
      <w:pPr>
        <w:pStyle w:val="Body A"/>
        <w:spacing w:before="60" w:after="80"/>
      </w:pPr>
      <w:r>
        <w:rPr>
          <w:rtl w:val="0"/>
          <w:lang w:val="en-US"/>
        </w:rPr>
        <w:t>The eFTI Gate should maintain a structured backup regime for all persisted data, ensuring recoverability and compliance with regulatory retention requirements.</w:t>
      </w:r>
    </w:p>
    <w:p>
      <w:pPr>
        <w:pStyle w:val="List Paragraph"/>
        <w:numPr>
          <w:ilvl w:val="0"/>
          <w:numId w:val="2"/>
        </w:numPr>
        <w:bidi w:val="0"/>
        <w:spacing w:before="40" w:after="40"/>
        <w:ind w:right="0"/>
        <w:jc w:val="left"/>
        <w:rPr>
          <w:rtl w:val="0"/>
          <w:lang w:val="en-US"/>
        </w:rPr>
      </w:pPr>
      <w:r>
        <w:rPr>
          <w:b w:val="1"/>
          <w:bCs w:val="1"/>
          <w:rtl w:val="0"/>
          <w:lang w:val="en-US"/>
        </w:rPr>
        <w:t>Scope</w:t>
      </w:r>
      <w:r>
        <w:rPr>
          <w:rtl w:val="0"/>
          <w:lang w:val="en-US"/>
        </w:rPr>
        <w:t>: Backups cover the PostgreSQL database (Registry of Identifiers, authorization configuration, operation logs), application configuration, and security certificates/keys.</w:t>
      </w:r>
    </w:p>
    <w:p>
      <w:pPr>
        <w:pStyle w:val="List Paragraph"/>
        <w:numPr>
          <w:ilvl w:val="0"/>
          <w:numId w:val="2"/>
        </w:numPr>
        <w:bidi w:val="0"/>
        <w:spacing w:before="40" w:after="40"/>
        <w:ind w:right="0"/>
        <w:jc w:val="left"/>
        <w:rPr>
          <w:rtl w:val="0"/>
          <w:lang w:val="en-US"/>
        </w:rPr>
      </w:pPr>
      <w:r>
        <w:rPr>
          <w:b w:val="1"/>
          <w:bCs w:val="1"/>
          <w:rtl w:val="0"/>
          <w:lang w:val="en-US"/>
        </w:rPr>
        <w:t>Frequency</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Continuous</w:t>
      </w:r>
      <w:r>
        <w:rPr>
          <w:rtl w:val="0"/>
          <w:lang w:val="en-US"/>
        </w:rPr>
        <w:t>: WAL streaming for point-in-time recovery capability.</w:t>
      </w:r>
    </w:p>
    <w:p>
      <w:pPr>
        <w:pStyle w:val="List Paragraph"/>
        <w:numPr>
          <w:ilvl w:val="1"/>
          <w:numId w:val="4"/>
        </w:numPr>
        <w:bidi w:val="0"/>
        <w:spacing w:before="40" w:after="40"/>
        <w:ind w:right="0"/>
        <w:jc w:val="left"/>
        <w:rPr>
          <w:rtl w:val="0"/>
          <w:lang w:val="en-US"/>
        </w:rPr>
      </w:pPr>
      <w:r>
        <w:rPr>
          <w:b w:val="1"/>
          <w:bCs w:val="1"/>
          <w:rtl w:val="0"/>
          <w:lang w:val="en-US"/>
        </w:rPr>
        <w:t>Daily</w:t>
      </w:r>
      <w:r>
        <w:rPr>
          <w:rtl w:val="0"/>
          <w:lang w:val="en-US"/>
        </w:rPr>
        <w:t>: Full automated database backup, scheduled during low-traffic periods.</w:t>
      </w:r>
    </w:p>
    <w:p>
      <w:pPr>
        <w:pStyle w:val="List Paragraph"/>
        <w:numPr>
          <w:ilvl w:val="1"/>
          <w:numId w:val="4"/>
        </w:numPr>
        <w:bidi w:val="0"/>
        <w:spacing w:before="40" w:after="40"/>
        <w:ind w:right="0"/>
        <w:jc w:val="left"/>
        <w:rPr>
          <w:rtl w:val="0"/>
          <w:lang w:val="en-US"/>
        </w:rPr>
      </w:pPr>
      <w:r>
        <w:rPr>
          <w:b w:val="1"/>
          <w:bCs w:val="1"/>
          <w:rtl w:val="0"/>
          <w:lang w:val="en-US"/>
        </w:rPr>
        <w:t>Weekly</w:t>
      </w:r>
      <w:r>
        <w:rPr>
          <w:rtl w:val="0"/>
          <w:lang w:val="en-US"/>
        </w:rPr>
        <w:t>: Full system-level snapshot including application configuration and certificate stores.</w:t>
      </w:r>
    </w:p>
    <w:p>
      <w:pPr>
        <w:pStyle w:val="List Paragraph"/>
        <w:numPr>
          <w:ilvl w:val="0"/>
          <w:numId w:val="2"/>
        </w:numPr>
        <w:bidi w:val="0"/>
        <w:spacing w:before="40" w:after="40"/>
        <w:ind w:right="0"/>
        <w:jc w:val="left"/>
        <w:rPr>
          <w:rtl w:val="0"/>
          <w:lang w:val="en-US"/>
        </w:rPr>
      </w:pPr>
      <w:r>
        <w:rPr>
          <w:b w:val="1"/>
          <w:bCs w:val="1"/>
          <w:rtl w:val="0"/>
          <w:lang w:val="en-US"/>
        </w:rPr>
        <w:t>Storage</w:t>
      </w:r>
      <w:r>
        <w:rPr>
          <w:rtl w:val="0"/>
          <w:lang w:val="en-US"/>
        </w:rPr>
        <w:t>: Backups are encrypted at rest (AES-256) and stored in a geographically separate location from the primary deployment. Backup storage access is restricted to eFTI Gate Administrator role only.</w:t>
      </w:r>
    </w:p>
    <w:p>
      <w:pPr>
        <w:pStyle w:val="List Paragraph"/>
        <w:numPr>
          <w:ilvl w:val="0"/>
          <w:numId w:val="2"/>
        </w:numPr>
        <w:bidi w:val="0"/>
        <w:spacing w:before="40" w:after="40"/>
        <w:ind w:right="0"/>
        <w:jc w:val="left"/>
        <w:rPr>
          <w:rtl w:val="0"/>
          <w:lang w:val="en-US"/>
        </w:rPr>
      </w:pPr>
      <w:r>
        <w:rPr>
          <w:b w:val="1"/>
          <w:bCs w:val="1"/>
          <w:rtl w:val="0"/>
          <w:lang w:val="en-US"/>
        </w:rPr>
        <w:t>Retention</w:t>
      </w:r>
      <w:r>
        <w:rPr>
          <w:rtl w:val="0"/>
          <w:lang w:val="en-US"/>
        </w:rPr>
        <w:t>: Daily backups are retained for 30 days. Weekly snapshots are retained for 12 months. Operation log backups are retained for at least two years.</w:t>
      </w:r>
    </w:p>
    <w:p>
      <w:pPr>
        <w:pStyle w:val="List Paragraph"/>
        <w:numPr>
          <w:ilvl w:val="0"/>
          <w:numId w:val="2"/>
        </w:numPr>
        <w:bidi w:val="0"/>
        <w:spacing w:before="40" w:after="40"/>
        <w:ind w:right="0"/>
        <w:jc w:val="left"/>
        <w:rPr>
          <w:rtl w:val="0"/>
          <w:lang w:val="en-US"/>
        </w:rPr>
      </w:pPr>
      <w:r>
        <w:rPr>
          <w:b w:val="1"/>
          <w:bCs w:val="1"/>
          <w:rtl w:val="0"/>
          <w:lang w:val="en-US"/>
        </w:rPr>
        <w:t>Restoration Testing</w:t>
      </w:r>
      <w:r>
        <w:rPr>
          <w:rtl w:val="0"/>
          <w:lang w:val="en-US"/>
        </w:rPr>
        <w:t>: Backup restoration is tested quarterly to verify data integrity and recovery procedures. Restoration test results are documented in the operations log.</w:t>
      </w:r>
    </w:p>
    <w:p>
      <w:pPr>
        <w:pStyle w:val="Body A"/>
        <w:spacing w:before="120"/>
      </w:pPr>
    </w:p>
    <w:p>
      <w:pPr>
        <w:pStyle w:val="Heading 2"/>
      </w:pPr>
      <w:r>
        <w:rPr>
          <w:rtl w:val="0"/>
          <w:lang w:val="en-US"/>
        </w:rPr>
        <w:t>8.6 Monitoring and Observability</w:t>
      </w:r>
    </w:p>
    <w:p>
      <w:pPr>
        <w:pStyle w:val="Body A"/>
        <w:spacing w:before="60" w:after="80"/>
      </w:pPr>
      <w:r>
        <w:rPr>
          <w:rtl w:val="0"/>
          <w:lang w:val="en-US"/>
        </w:rPr>
        <w:t>The eFTI Gate should implement comprehensive monitoring and observability to support operational awareness, performance management. This section complements the design principles defined in Section 3.1.6 (Observability &amp; Audit Compliance).</w:t>
      </w:r>
    </w:p>
    <w:p>
      <w:pPr>
        <w:pStyle w:val="List Paragraph"/>
        <w:numPr>
          <w:ilvl w:val="0"/>
          <w:numId w:val="2"/>
        </w:numPr>
        <w:bidi w:val="0"/>
        <w:spacing w:before="40" w:after="40"/>
        <w:ind w:right="0"/>
        <w:jc w:val="left"/>
        <w:rPr>
          <w:rtl w:val="0"/>
          <w:lang w:val="en-US"/>
        </w:rPr>
      </w:pPr>
      <w:r>
        <w:rPr>
          <w:b w:val="1"/>
          <w:bCs w:val="1"/>
          <w:rtl w:val="0"/>
          <w:lang w:val="en-US"/>
        </w:rPr>
        <w:t>Health Monitoring</w:t>
      </w:r>
      <w:r>
        <w:rPr>
          <w:rtl w:val="0"/>
          <w:lang w:val="en-US"/>
        </w:rPr>
        <w:t xml:space="preserve">: </w:t>
      </w:r>
    </w:p>
    <w:p>
      <w:pPr>
        <w:pStyle w:val="List Paragraph"/>
        <w:numPr>
          <w:ilvl w:val="1"/>
          <w:numId w:val="4"/>
        </w:numPr>
        <w:bidi w:val="0"/>
        <w:spacing w:before="40" w:after="40"/>
        <w:ind w:right="0"/>
        <w:jc w:val="left"/>
        <w:rPr>
          <w:rtl w:val="0"/>
          <w:lang w:val="en-US"/>
        </w:rPr>
      </w:pPr>
      <w:r>
        <w:rPr>
          <w:b w:val="1"/>
          <w:bCs w:val="1"/>
          <w:rtl w:val="0"/>
          <w:lang w:val="en-US"/>
        </w:rPr>
        <w:t>Liveness probes</w:t>
      </w:r>
      <w:r>
        <w:rPr>
          <w:rtl w:val="0"/>
          <w:lang w:val="en-US"/>
        </w:rPr>
        <w:t>: Verify that the eFTI Gate process is running and responsive. Failed probes trigger automatic pod restart.</w:t>
      </w:r>
    </w:p>
    <w:p>
      <w:pPr>
        <w:pStyle w:val="List Paragraph"/>
        <w:numPr>
          <w:ilvl w:val="1"/>
          <w:numId w:val="4"/>
        </w:numPr>
        <w:bidi w:val="0"/>
        <w:spacing w:before="40" w:after="40"/>
        <w:ind w:right="0"/>
        <w:jc w:val="left"/>
        <w:rPr>
          <w:rtl w:val="0"/>
          <w:lang w:val="en-US"/>
        </w:rPr>
      </w:pPr>
      <w:r>
        <w:rPr>
          <w:b w:val="1"/>
          <w:bCs w:val="1"/>
          <w:rtl w:val="0"/>
          <w:lang w:val="en-US"/>
        </w:rPr>
        <w:t>Readiness probes</w:t>
      </w:r>
      <w:r>
        <w:rPr>
          <w:rtl w:val="0"/>
          <w:lang w:val="en-US"/>
        </w:rPr>
        <w:t>: Verify that the eFTI Gate is ready to accept traffic (database connection active, certificate store loaded, X-Road connection available). Failed probes remove the instance from the load balancer.</w:t>
      </w:r>
    </w:p>
    <w:p>
      <w:pPr>
        <w:pStyle w:val="List Paragraph"/>
        <w:numPr>
          <w:ilvl w:val="1"/>
          <w:numId w:val="4"/>
        </w:numPr>
        <w:bidi w:val="0"/>
        <w:spacing w:before="40" w:after="40"/>
        <w:ind w:right="0"/>
        <w:jc w:val="left"/>
        <w:rPr>
          <w:rtl w:val="0"/>
          <w:lang w:val="en-US"/>
        </w:rPr>
      </w:pPr>
      <w:r>
        <w:rPr>
          <w:b w:val="1"/>
          <w:bCs w:val="1"/>
          <w:rtl w:val="0"/>
          <w:lang w:val="en-US"/>
        </w:rPr>
        <w:t>Startup probes</w:t>
      </w:r>
      <w:r>
        <w:rPr>
          <w:rtl w:val="0"/>
          <w:lang w:val="en-US"/>
        </w:rPr>
        <w:t>: Allow sufficient time for initial certificate loading and registry synchronization before health checks begin.</w:t>
      </w:r>
    </w:p>
    <w:p>
      <w:pPr>
        <w:pStyle w:val="List Paragraph"/>
        <w:numPr>
          <w:ilvl w:val="0"/>
          <w:numId w:val="2"/>
        </w:numPr>
        <w:bidi w:val="0"/>
        <w:spacing w:before="40" w:after="40"/>
        <w:ind w:right="0"/>
        <w:jc w:val="left"/>
        <w:rPr>
          <w:rtl w:val="0"/>
          <w:lang w:val="en-US"/>
        </w:rPr>
      </w:pPr>
      <w:r>
        <w:rPr>
          <w:b w:val="1"/>
          <w:bCs w:val="1"/>
          <w:rtl w:val="0"/>
          <w:lang w:val="en-US"/>
        </w:rPr>
        <w:t>Performance Metrics</w:t>
      </w:r>
      <w:r>
        <w:rPr>
          <w:rtl w:val="0"/>
          <w:lang w:val="en-US"/>
        </w:rPr>
        <w:t>: OpenTelemetry-based instrumentation captures request-level metrics across all protocol boundaries (AS4, REST, X-Road), including: request rate (RPS), response latency (p50, p95, p99), error rate by endpoint and protocol, active connection count, database connection pool utilization, and message queue depth for AS4 exchanges.</w:t>
      </w:r>
    </w:p>
    <w:p>
      <w:pPr>
        <w:pStyle w:val="List Paragraph"/>
        <w:numPr>
          <w:ilvl w:val="0"/>
          <w:numId w:val="2"/>
        </w:numPr>
        <w:bidi w:val="0"/>
        <w:spacing w:before="40" w:after="40"/>
        <w:ind w:right="0"/>
        <w:jc w:val="left"/>
        <w:rPr>
          <w:rtl w:val="0"/>
          <w:lang w:val="en-US"/>
        </w:rPr>
      </w:pPr>
      <w:r>
        <w:rPr>
          <w:b w:val="1"/>
          <w:bCs w:val="1"/>
          <w:rtl w:val="0"/>
          <w:lang w:val="en-US"/>
        </w:rPr>
        <w:t>Alerting</w:t>
      </w:r>
      <w:r>
        <w:rPr>
          <w:rtl w:val="0"/>
          <w:lang w:val="en-US"/>
        </w:rPr>
        <w:t>: Threshold-based alerts are configured for critical conditions: sustained error rate above 5%, response latency exceeding defined thresholds, database connection pool exhaustion, certificate expiration within 30 days, disk usage above 80%, and failed health probes. Alerts are routed to the eFTI Gate operations team through the designated notification channel.</w:t>
      </w:r>
    </w:p>
    <w:p>
      <w:pPr>
        <w:pStyle w:val="List Paragraph"/>
        <w:numPr>
          <w:ilvl w:val="0"/>
          <w:numId w:val="2"/>
        </w:numPr>
        <w:bidi w:val="0"/>
        <w:spacing w:before="40" w:after="40"/>
        <w:ind w:right="0"/>
        <w:jc w:val="left"/>
        <w:rPr>
          <w:rtl w:val="0"/>
          <w:lang w:val="en-US"/>
        </w:rPr>
      </w:pPr>
      <w:r>
        <w:rPr>
          <w:b w:val="1"/>
          <w:bCs w:val="1"/>
          <w:rtl w:val="0"/>
          <w:lang w:val="en-US"/>
        </w:rPr>
        <w:t>Distributed Tracing</w:t>
      </w:r>
      <w:r>
        <w:rPr>
          <w:rtl w:val="0"/>
          <w:lang w:val="en-US"/>
        </w:rPr>
        <w:t xml:space="preserve">: Each request receives a unique trace identifier that propagates across protocol boundaries, enabling end-to-end latency analysis for cross-border scenarios (e.g., CA query </w:t>
      </w:r>
      <w:r>
        <w:rPr>
          <w:rtl w:val="0"/>
          <w:lang w:val="en-US"/>
        </w:rPr>
        <w:t xml:space="preserve">→ </w:t>
      </w:r>
      <w:r>
        <w:rPr>
          <w:rtl w:val="0"/>
          <w:lang w:val="en-US"/>
        </w:rPr>
        <w:t xml:space="preserve">Estonian eFTI Gate </w:t>
      </w:r>
      <w:r>
        <w:rPr>
          <w:rtl w:val="0"/>
          <w:lang w:val="en-US"/>
        </w:rPr>
        <w:t xml:space="preserve">→ </w:t>
      </w:r>
      <w:r>
        <w:rPr>
          <w:rtl w:val="0"/>
          <w:lang w:val="en-US"/>
        </w:rPr>
        <w:t xml:space="preserve">AS4 </w:t>
      </w:r>
      <w:r>
        <w:rPr>
          <w:rtl w:val="0"/>
          <w:lang w:val="en-US"/>
        </w:rPr>
        <w:t xml:space="preserve">→ </w:t>
      </w:r>
      <w:r>
        <w:rPr>
          <w:rtl w:val="0"/>
          <w:lang w:val="en-US"/>
        </w:rPr>
        <w:t xml:space="preserve">remote eFTI Gate </w:t>
      </w:r>
      <w:r>
        <w:rPr>
          <w:rtl w:val="0"/>
          <w:lang w:val="en-US"/>
        </w:rPr>
        <w:t xml:space="preserve">→ </w:t>
      </w:r>
      <w:r>
        <w:rPr>
          <w:rtl w:val="0"/>
          <w:lang w:val="en-US"/>
        </w:rPr>
        <w:t xml:space="preserve">remote eFTI platform </w:t>
      </w:r>
      <w:r>
        <w:rPr>
          <w:rtl w:val="0"/>
          <w:lang w:val="en-US"/>
        </w:rPr>
        <w:t xml:space="preserve">→ </w:t>
      </w:r>
      <w:r>
        <w:rPr>
          <w:rtl w:val="0"/>
          <w:lang w:val="en-US"/>
        </w:rPr>
        <w:t>response). Trace data is retained for 30 days for operational analysis.</w:t>
      </w:r>
    </w:p>
    <w:p>
      <w:pPr>
        <w:pStyle w:val="List Paragraph"/>
        <w:numPr>
          <w:ilvl w:val="0"/>
          <w:numId w:val="2"/>
        </w:numPr>
        <w:bidi w:val="0"/>
        <w:spacing w:before="40" w:after="40"/>
        <w:ind w:right="0"/>
        <w:jc w:val="left"/>
        <w:rPr>
          <w:rtl w:val="0"/>
          <w:lang w:val="en-US"/>
        </w:rPr>
      </w:pPr>
      <w:r>
        <w:rPr>
          <w:b w:val="1"/>
          <w:bCs w:val="1"/>
          <w:rtl w:val="0"/>
          <w:lang w:val="en-US"/>
        </w:rPr>
        <w:t>Dashboard</w:t>
      </w:r>
      <w:r>
        <w:rPr>
          <w:rtl w:val="0"/>
          <w:lang w:val="en-US"/>
        </w:rPr>
        <w:t>: A centralized operational dashboard provides real-time visibility into eFTI Gate status, traffic patterns, error rates, and resource utilization. The dashboard is accessible to eFTI Gate Administrators as defined in Section 6.3.2.</w:t>
      </w:r>
    </w:p>
    <w:p>
      <w:pPr>
        <w:pStyle w:val="List Paragraph"/>
        <w:numPr>
          <w:ilvl w:val="0"/>
          <w:numId w:val="2"/>
        </w:numPr>
        <w:bidi w:val="0"/>
        <w:spacing w:before="40" w:after="40"/>
        <w:ind w:right="0"/>
        <w:jc w:val="left"/>
        <w:rPr>
          <w:rtl w:val="0"/>
          <w:lang w:val="en-US"/>
        </w:rPr>
      </w:pPr>
      <w:r>
        <w:rPr>
          <w:b w:val="1"/>
          <w:bCs w:val="1"/>
          <w:rtl w:val="0"/>
          <w:lang w:val="en-US"/>
        </w:rPr>
        <w:t>Integration with National Infrastructure</w:t>
      </w:r>
      <w:r>
        <w:rPr>
          <w:rtl w:val="0"/>
          <w:lang w:val="en-US"/>
        </w:rPr>
        <w:t>: For X-Road-based communication, monitoring data is supplemented by the X-Road operational monitoring provided by RIA, enabling correlation of eFTI Gate-side metrics with national infrastructure health.</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9. Logical and Physical Architecture</w:t>
      </w:r>
    </w:p>
    <w:p>
      <w:pPr>
        <w:pStyle w:val="Heading 2"/>
      </w:pPr>
      <w:r>
        <w:rPr>
          <w:rtl w:val="0"/>
          <w:lang w:val="en-US"/>
        </w:rPr>
        <w:t>9.1 Logical Architecture</w:t>
      </w:r>
    </w:p>
    <w:p>
      <w:pPr>
        <w:pStyle w:val="Body A"/>
        <w:spacing w:before="60" w:after="80"/>
      </w:pPr>
      <w:r>
        <w:rPr>
          <w:rtl w:val="0"/>
          <w:lang w:val="en-US"/>
        </w:rPr>
        <w:t>The logical architecture of the Estonian eFTI Gate is designed for modularity and high performance, separating concerns between the interface, business logic, and data persistence layers. The eFTI Gate Core acts as the central orchestrator, managing authentication through the Access Checker, metadata via the Registry Services, and data transformation through the Subsetter Engine. The custom eDelivery Module provides a high-performance implementation of the AS4 protocol, enabling seamless cross-border communication with other EU Member State FTI Gates and eFTI platforms.</w:t>
      </w:r>
    </w:p>
    <w:p>
      <w:pPr>
        <w:pStyle w:val="Body A"/>
        <w:spacing w:before="160" w:after="80"/>
        <w:jc w:val="center"/>
      </w:pPr>
      <w:r>
        <w:drawing xmlns:a="http://schemas.openxmlformats.org/drawingml/2006/main">
          <wp:inline distT="0" distB="0" distL="0" distR="0">
            <wp:extent cx="5727573" cy="3599700"/>
            <wp:effectExtent l="0" t="0" r="0" b="0"/>
            <wp:docPr id="1073741831" name="officeArt object" descr="Figure 7: Logical Architecture&#10;&#10;Figure 7: Logical Architecture"/>
            <wp:cNvGraphicFramePr/>
            <a:graphic xmlns:a="http://schemas.openxmlformats.org/drawingml/2006/main">
              <a:graphicData uri="http://schemas.openxmlformats.org/drawingml/2006/picture">
                <pic:pic xmlns:pic="http://schemas.openxmlformats.org/drawingml/2006/picture">
                  <pic:nvPicPr>
                    <pic:cNvPr id="1073741831" name="Figure 7: Logical ArchitectureFigure 7: Logical Architecture" descr="Figure 7: Logical ArchitectureFigure 7: Logical Architecture"/>
                    <pic:cNvPicPr>
                      <a:picLocks noChangeAspect="1"/>
                    </pic:cNvPicPr>
                  </pic:nvPicPr>
                  <pic:blipFill>
                    <a:blip r:embed="rId10">
                      <a:extLst/>
                    </a:blip>
                    <a:stretch>
                      <a:fillRect/>
                    </a:stretch>
                  </pic:blipFill>
                  <pic:spPr>
                    <a:xfrm>
                      <a:off x="0" y="0"/>
                      <a:ext cx="5727573" cy="3599700"/>
                    </a:xfrm>
                    <a:prstGeom prst="rect">
                      <a:avLst/>
                    </a:prstGeom>
                    <a:ln w="12700" cap="flat">
                      <a:noFill/>
                      <a:miter lim="400000"/>
                    </a:ln>
                    <a:effectLst/>
                  </pic:spPr>
                </pic:pic>
              </a:graphicData>
            </a:graphic>
          </wp:inline>
        </w:drawing>
      </w:r>
    </w:p>
    <w:p>
      <w:pPr>
        <w:pStyle w:val="caption"/>
      </w:pPr>
      <w:r>
        <w:rPr>
          <w:rtl w:val="0"/>
          <w:lang w:val="en-US"/>
        </w:rPr>
        <w:t>Figure 7: Logical Architecture of Estonian eFTI Gate</w:t>
      </w:r>
    </w:p>
    <w:p>
      <w:pPr>
        <w:pStyle w:val="Body A"/>
        <w:spacing w:before="120"/>
      </w:pPr>
    </w:p>
    <w:p>
      <w:pPr>
        <w:pStyle w:val="Heading 2"/>
      </w:pPr>
      <w:r>
        <w:rPr>
          <w:rtl w:val="0"/>
          <w:lang w:val="en-US"/>
        </w:rPr>
        <w:t>9.2 Physical Architecture</w:t>
      </w:r>
    </w:p>
    <w:p>
      <w:pPr>
        <w:pStyle w:val="Body A"/>
        <w:spacing w:before="60" w:after="80"/>
      </w:pPr>
      <w:r>
        <w:rPr>
          <w:rtl w:val="0"/>
          <w:lang w:val="en-US"/>
        </w:rPr>
        <w:t>The physical deployment of the eFTI Gate leverages containerization and orchestration to ensure scalability, high availability, and secure communication. The system is deployed within a Kubernetes cluster, where the eFTI Gate Core is horizontally scalable to handle high volumes of concurrent requests. An Ingress Controller manages incoming traffic, providing SSL termination and routing. Sensitive cryptographic keys for eDelivery and mTLS are managed by a dedicated certificate storage, while the PostgreSQL database ensures persistent storage of identifiers and metadata with high availability through replication and persistent volume claims.</w:t>
      </w:r>
    </w:p>
    <w:p>
      <w:pPr>
        <w:pStyle w:val="Body A"/>
      </w:pPr>
      <w:r>
        <w:drawing xmlns:a="http://schemas.openxmlformats.org/drawingml/2006/main">
          <wp:inline distT="0" distB="0" distL="0" distR="0">
            <wp:extent cx="5727573" cy="4797699"/>
            <wp:effectExtent l="0" t="0" r="0" b="0"/>
            <wp:docPr id="1073741832" name="officeArt object" descr="Figure 8: Physical Architecture&#10;&#10;Figure 8: Physical Architecture"/>
            <wp:cNvGraphicFramePr/>
            <a:graphic xmlns:a="http://schemas.openxmlformats.org/drawingml/2006/main">
              <a:graphicData uri="http://schemas.openxmlformats.org/drawingml/2006/picture">
                <pic:pic xmlns:pic="http://schemas.openxmlformats.org/drawingml/2006/picture">
                  <pic:nvPicPr>
                    <pic:cNvPr id="1073741832" name="Figure 8: Physical ArchitectureFigure 8: Physical Architecture" descr="Figure 8: Physical ArchitectureFigure 8: Physical Architecture"/>
                    <pic:cNvPicPr>
                      <a:picLocks noChangeAspect="1"/>
                    </pic:cNvPicPr>
                  </pic:nvPicPr>
                  <pic:blipFill>
                    <a:blip r:embed="rId11">
                      <a:extLst/>
                    </a:blip>
                    <a:stretch>
                      <a:fillRect/>
                    </a:stretch>
                  </pic:blipFill>
                  <pic:spPr>
                    <a:xfrm>
                      <a:off x="0" y="0"/>
                      <a:ext cx="5727573" cy="4797699"/>
                    </a:xfrm>
                    <a:prstGeom prst="rect">
                      <a:avLst/>
                    </a:prstGeom>
                    <a:ln w="12700" cap="flat">
                      <a:noFill/>
                      <a:miter lim="400000"/>
                    </a:ln>
                    <a:effectLst/>
                  </pic:spPr>
                </pic:pic>
              </a:graphicData>
            </a:graphic>
          </wp:inline>
        </w:drawing>
      </w:r>
    </w:p>
    <w:p>
      <w:pPr>
        <w:pStyle w:val="Caption.0"/>
        <w:suppressAutoHyphens w:val="0"/>
        <w:bidi w:val="0"/>
        <w:spacing w:before="40" w:after="120"/>
        <w:ind w:left="0" w:right="0" w:firstLine="0"/>
        <w:jc w:val="center"/>
        <w:outlineLvl w:val="9"/>
        <w:rPr>
          <w:rtl w:val="0"/>
        </w:rPr>
      </w:pPr>
      <w:r>
        <w:rPr>
          <w:rFonts w:ascii="Arial" w:hAnsi="Arial"/>
          <w:i w:val="1"/>
          <w:iCs w:val="1"/>
          <w:outline w:val="0"/>
          <w:color w:val="595959"/>
          <w:sz w:val="18"/>
          <w:szCs w:val="18"/>
          <w:u w:color="595959"/>
          <w:rtl w:val="0"/>
          <w:lang w:val="en-US"/>
          <w14:textFill>
            <w14:solidFill>
              <w14:srgbClr w14:val="595959"/>
            </w14:solidFill>
          </w14:textFill>
        </w:rPr>
        <w:t>Figure 8: Physical Architecture</w:t>
      </w:r>
      <w:r>
        <w:rPr>
          <w:rFonts w:ascii="Arial Unicode MS" w:cs="Arial Unicode MS" w:hAnsi="Arial Unicode MS" w:eastAsia="Arial Unicode MS"/>
          <w:b w:val="0"/>
          <w:bCs w:val="0"/>
          <w:i w:val="0"/>
          <w:iCs w:val="0"/>
          <w:outline w:val="0"/>
          <w:color w:val="595959"/>
          <w:sz w:val="18"/>
          <w:szCs w:val="18"/>
          <w:u w:color="595959"/>
          <w:rtl w:val="0"/>
          <w14:textFill>
            <w14:solidFill>
              <w14:srgbClr w14:val="595959"/>
            </w14:solidFill>
          </w14:textFill>
        </w:rPr>
        <w:br w:type="page"/>
      </w:r>
    </w:p>
    <w:p>
      <w:pPr>
        <w:pStyle w:val="Heading"/>
        <w:rPr>
          <w:lang w:val="en-US"/>
        </w:rPr>
      </w:pPr>
      <w:r>
        <w:rPr>
          <w:rtl w:val="0"/>
          <w:lang w:val="en-US"/>
        </w:rPr>
        <w:t>10. Compliance with eFTI Regulation</w:t>
      </w:r>
    </w:p>
    <w:p>
      <w:pPr>
        <w:pStyle w:val="Body A"/>
        <w:spacing w:before="60" w:after="80"/>
      </w:pPr>
      <w:r>
        <w:rPr>
          <w:rtl w:val="0"/>
          <w:lang w:val="en-US"/>
        </w:rPr>
        <w:t>The Estonian eFTI Gate is designed and operated in full compliance with the European regulatory framework for electronic freight transport information. This section summarises the applicable legislation, standards, and compliance obligations.</w:t>
      </w:r>
    </w:p>
    <w:p>
      <w:pPr>
        <w:pStyle w:val="Body A"/>
        <w:spacing w:before="80"/>
      </w:pPr>
    </w:p>
    <w:p>
      <w:pPr>
        <w:pStyle w:val="Heading 2"/>
      </w:pPr>
      <w:r>
        <w:rPr>
          <w:rtl w:val="0"/>
          <w:lang w:val="en-US"/>
        </w:rPr>
        <w:t>10.1 Applicable EU Legislation</w:t>
      </w:r>
    </w:p>
    <w:p>
      <w:pPr>
        <w:pStyle w:val="List Paragraph"/>
        <w:numPr>
          <w:ilvl w:val="0"/>
          <w:numId w:val="2"/>
        </w:numPr>
        <w:bidi w:val="0"/>
        <w:spacing w:before="40" w:after="40"/>
        <w:ind w:right="0"/>
        <w:jc w:val="left"/>
        <w:rPr>
          <w:rtl w:val="0"/>
          <w:lang w:val="en-US"/>
        </w:rPr>
      </w:pPr>
      <w:r>
        <w:rPr>
          <w:b w:val="1"/>
          <w:bCs w:val="1"/>
          <w:rtl w:val="0"/>
          <w:lang w:val="en-US"/>
        </w:rPr>
        <w:t>Regulation (EU) 2020/1056 (eFTI Regulation)</w:t>
      </w:r>
      <w:r>
        <w:rPr>
          <w:rtl w:val="0"/>
          <w:lang w:val="en-US"/>
        </w:rPr>
        <w:t>: The base regulation establishing the legal framework for electronic freight transport information across all transport modes excluding Maritime. The eFTI Gate implements the requirements for Member State ICT systems as defined in Articles 8</w:t>
      </w:r>
      <w:r>
        <w:rPr>
          <w:rtl w:val="0"/>
          <w:lang w:val="en-US"/>
        </w:rPr>
        <w:t>–</w:t>
      </w:r>
      <w:r>
        <w:rPr>
          <w:rtl w:val="0"/>
          <w:lang w:val="en-US"/>
        </w:rPr>
        <w:t>12.</w:t>
      </w:r>
    </w:p>
    <w:p>
      <w:pPr>
        <w:pStyle w:val="List Paragraph"/>
        <w:numPr>
          <w:ilvl w:val="0"/>
          <w:numId w:val="2"/>
        </w:numPr>
        <w:bidi w:val="0"/>
        <w:spacing w:before="40" w:after="40"/>
        <w:ind w:right="0"/>
        <w:jc w:val="left"/>
        <w:rPr>
          <w:rtl w:val="0"/>
          <w:lang w:val="en-US"/>
        </w:rPr>
      </w:pPr>
      <w:r>
        <w:rPr>
          <w:b w:val="1"/>
          <w:bCs w:val="1"/>
          <w:rtl w:val="0"/>
          <w:lang w:val="en-US"/>
        </w:rPr>
        <w:t>Implementing Regulation (EU) 2024/1942</w:t>
      </w:r>
      <w:r>
        <w:rPr>
          <w:rtl w:val="0"/>
          <w:lang w:val="en-US"/>
        </w:rPr>
        <w:t>: Common procedures and detailed rules for accessing and processing eFTI data by competent authorities, including functional and technical requirements for eFTI Gates, the Registry of Identifiers, search mechanisms, and follow-up communications.</w:t>
      </w:r>
    </w:p>
    <w:p>
      <w:pPr>
        <w:pStyle w:val="List Paragraph"/>
        <w:numPr>
          <w:ilvl w:val="0"/>
          <w:numId w:val="2"/>
        </w:numPr>
        <w:bidi w:val="0"/>
        <w:spacing w:before="40" w:after="40"/>
        <w:ind w:right="0"/>
        <w:jc w:val="left"/>
        <w:rPr>
          <w:rtl w:val="0"/>
          <w:lang w:val="en-US"/>
        </w:rPr>
      </w:pPr>
      <w:r>
        <w:rPr>
          <w:b w:val="1"/>
          <w:bCs w:val="1"/>
          <w:rtl w:val="0"/>
          <w:lang w:val="en-US"/>
        </w:rPr>
        <w:t>Delegated Regulation (EU) 2024/2024</w:t>
      </w:r>
      <w:r>
        <w:rPr>
          <w:rtl w:val="0"/>
          <w:lang w:val="en-US"/>
        </w:rPr>
        <w:t>: Establishes the eFTI common data set and eFTI data subsets (EU01</w:t>
      </w:r>
      <w:r>
        <w:rPr>
          <w:rtl w:val="0"/>
          <w:lang w:val="en-US"/>
        </w:rPr>
        <w:t>–</w:t>
      </w:r>
      <w:r>
        <w:rPr>
          <w:rtl w:val="0"/>
          <w:lang w:val="en-US"/>
        </w:rPr>
        <w:t>EU06). The eFTI Gate validates and processes data exclusively in accordance with the structure, code lists, and business rules defined in this regulation.</w:t>
      </w:r>
    </w:p>
    <w:p>
      <w:pPr>
        <w:pStyle w:val="List Paragraph"/>
        <w:numPr>
          <w:ilvl w:val="0"/>
          <w:numId w:val="2"/>
        </w:numPr>
        <w:bidi w:val="0"/>
        <w:spacing w:before="40" w:after="40"/>
        <w:ind w:right="0"/>
        <w:jc w:val="left"/>
        <w:rPr>
          <w:rtl w:val="0"/>
          <w:lang w:val="en-US"/>
        </w:rPr>
      </w:pPr>
      <w:r>
        <w:rPr>
          <w:b w:val="1"/>
          <w:bCs w:val="1"/>
          <w:rtl w:val="0"/>
          <w:lang w:val="en-US"/>
        </w:rPr>
        <w:t>Delegated Regulation (EU) 2024/2025</w:t>
      </w:r>
      <w:r>
        <w:rPr>
          <w:rtl w:val="0"/>
          <w:lang w:val="en-US"/>
        </w:rPr>
        <w:t>: Amends Part B of Annex I to Regulation (EU) 2020/1056, incorporating references to national regulatory information requirements notified by Member States.</w:t>
      </w:r>
    </w:p>
    <w:p>
      <w:pPr>
        <w:pStyle w:val="List Paragraph"/>
        <w:numPr>
          <w:ilvl w:val="0"/>
          <w:numId w:val="2"/>
        </w:numPr>
        <w:bidi w:val="0"/>
        <w:spacing w:before="40" w:after="40"/>
        <w:ind w:right="0"/>
        <w:jc w:val="left"/>
        <w:rPr>
          <w:rtl w:val="0"/>
          <w:lang w:val="en-US"/>
        </w:rPr>
      </w:pPr>
      <w:r>
        <w:rPr>
          <w:b w:val="1"/>
          <w:bCs w:val="1"/>
          <w:rtl w:val="0"/>
          <w:lang w:val="en-US"/>
        </w:rPr>
        <w:t>Implementing Regulation (EU) 2025/2243</w:t>
      </w:r>
      <w:r>
        <w:rPr>
          <w:rtl w:val="0"/>
          <w:lang w:val="en-US"/>
        </w:rPr>
        <w:t>: Detailed specifications regarding the functional requirements for eFTI platforms, including platform-to-Gate communication, DIWASS integration, and certification requirements. The eFTI Gate implements the corresponding interface specifications to ensure interoperability with certified eFTI platforms.</w:t>
      </w:r>
    </w:p>
    <w:p>
      <w:pPr>
        <w:pStyle w:val="List Paragraph"/>
        <w:numPr>
          <w:ilvl w:val="0"/>
          <w:numId w:val="2"/>
        </w:numPr>
        <w:bidi w:val="0"/>
        <w:spacing w:before="40" w:after="40"/>
        <w:ind w:right="0"/>
        <w:jc w:val="left"/>
        <w:rPr>
          <w:rtl w:val="0"/>
          <w:lang w:val="en-US"/>
        </w:rPr>
      </w:pPr>
      <w:r>
        <w:rPr>
          <w:b w:val="1"/>
          <w:bCs w:val="1"/>
          <w:rtl w:val="0"/>
          <w:lang w:val="en-US"/>
        </w:rPr>
        <w:t>Regulation (EU) No 910/2014 (eIDAS)</w:t>
      </w:r>
      <w:r>
        <w:rPr>
          <w:rtl w:val="0"/>
          <w:lang w:val="en-US"/>
        </w:rPr>
        <w:t>: Electronic identification, authentication, and trust services. The eFTI Gate relies on eIDAS-compliant advanced electronic signatures and qualified electronic seals for non-repudiation, and on electronic identification means for competent authority officer authentication.</w:t>
      </w:r>
    </w:p>
    <w:p>
      <w:pPr>
        <w:pStyle w:val="Body A"/>
        <w:spacing w:before="120"/>
      </w:pPr>
    </w:p>
    <w:p>
      <w:pPr>
        <w:pStyle w:val="Heading 2"/>
      </w:pPr>
      <w:r>
        <w:rPr>
          <w:rtl w:val="0"/>
          <w:lang w:val="en-US"/>
        </w:rPr>
        <w:t>10.2 Technical Standards and Specifications</w:t>
      </w:r>
    </w:p>
    <w:p>
      <w:pPr>
        <w:pStyle w:val="List Paragraph"/>
        <w:numPr>
          <w:ilvl w:val="0"/>
          <w:numId w:val="2"/>
        </w:numPr>
        <w:bidi w:val="0"/>
        <w:spacing w:before="40" w:after="40"/>
        <w:ind w:right="0"/>
        <w:jc w:val="left"/>
        <w:rPr>
          <w:rtl w:val="0"/>
          <w:lang w:val="en-US"/>
        </w:rPr>
      </w:pPr>
      <w:r>
        <w:rPr>
          <w:b w:val="1"/>
          <w:bCs w:val="1"/>
          <w:rtl w:val="0"/>
          <w:lang w:val="en-US"/>
        </w:rPr>
        <w:t>eFTI Data Model</w:t>
      </w:r>
      <w:r>
        <w:rPr>
          <w:rtl w:val="0"/>
          <w:lang w:val="en-US"/>
        </w:rPr>
        <w:t>: Strict adherence to the eFTI XML Schema Definitions (XSDs), including consignment-common.xsd, consignment-identifier.xsd, and associated subset schemas. Schema validation is performed at ingestion for all incoming datasets.</w:t>
      </w:r>
    </w:p>
    <w:p>
      <w:pPr>
        <w:pStyle w:val="List Paragraph"/>
        <w:numPr>
          <w:ilvl w:val="0"/>
          <w:numId w:val="2"/>
        </w:numPr>
        <w:bidi w:val="0"/>
        <w:spacing w:before="40" w:after="40"/>
        <w:ind w:right="0"/>
        <w:jc w:val="left"/>
        <w:rPr>
          <w:rtl w:val="0"/>
          <w:lang w:val="en-US"/>
        </w:rPr>
      </w:pPr>
      <w:r>
        <w:rPr>
          <w:b w:val="1"/>
          <w:bCs w:val="1"/>
          <w:rtl w:val="0"/>
          <w:lang w:val="en-US"/>
        </w:rPr>
        <w:t>Technical Guidance Document (TGD) Annex 1</w:t>
      </w:r>
      <w:r>
        <w:rPr>
          <w:rtl w:val="0"/>
          <w:lang w:val="en-US"/>
        </w:rPr>
        <w:t>: The eFTI Gate implements the operational and technical specifications defined in the TGD Document.</w:t>
      </w:r>
    </w:p>
    <w:p>
      <w:pPr>
        <w:pStyle w:val="List Paragraph"/>
        <w:numPr>
          <w:ilvl w:val="0"/>
          <w:numId w:val="2"/>
        </w:numPr>
        <w:bidi w:val="0"/>
        <w:spacing w:before="40" w:after="40"/>
        <w:ind w:right="0"/>
        <w:jc w:val="left"/>
        <w:rPr>
          <w:rtl w:val="0"/>
          <w:lang w:val="en-US"/>
        </w:rPr>
      </w:pPr>
      <w:r>
        <w:rPr>
          <w:b w:val="1"/>
          <w:bCs w:val="1"/>
          <w:rtl w:val="0"/>
          <w:lang w:val="en-US"/>
        </w:rPr>
        <w:t>eDelivery AS4</w:t>
      </w:r>
      <w:r>
        <w:rPr>
          <w:rtl w:val="0"/>
          <w:lang w:val="en-US"/>
        </w:rPr>
        <w:t>: Cross-border Gate-to-Gate communication follows the eDelivery AS4 with static discovery, ensuring standardised message exchange across all EU Member States.</w:t>
      </w:r>
    </w:p>
    <w:p>
      <w:pPr>
        <w:pStyle w:val="List Paragraph"/>
        <w:numPr>
          <w:ilvl w:val="0"/>
          <w:numId w:val="2"/>
        </w:numPr>
        <w:bidi w:val="0"/>
        <w:spacing w:before="40" w:after="40"/>
        <w:ind w:right="0"/>
        <w:jc w:val="left"/>
        <w:rPr>
          <w:rtl w:val="0"/>
          <w:lang w:val="en-US"/>
        </w:rPr>
      </w:pPr>
      <w:r>
        <w:rPr>
          <w:b w:val="1"/>
          <w:bCs w:val="1"/>
          <w:rtl w:val="0"/>
          <w:lang w:val="en-US"/>
        </w:rPr>
        <w:t>X-Road</w:t>
      </w:r>
      <w:r>
        <w:rPr>
          <w:rtl w:val="0"/>
          <w:lang w:val="en-US"/>
        </w:rPr>
        <w:t>: National integration follows the X-Road protocol specifications as maintained by RIA, ensuring compliance with Estonia's national interoperability framework.</w:t>
      </w:r>
    </w:p>
    <w:p>
      <w:pPr>
        <w:pStyle w:val="Body A"/>
        <w:spacing w:before="120"/>
      </w:pPr>
    </w:p>
    <w:p>
      <w:pPr>
        <w:pStyle w:val="Heading 2"/>
      </w:pPr>
      <w:r>
        <w:rPr>
          <w:rtl w:val="0"/>
          <w:lang w:val="en-US"/>
        </w:rPr>
        <w:t>10.3 Compliance Assurance</w:t>
      </w:r>
    </w:p>
    <w:p>
      <w:pPr>
        <w:pStyle w:val="List Paragraph"/>
        <w:numPr>
          <w:ilvl w:val="0"/>
          <w:numId w:val="2"/>
        </w:numPr>
        <w:bidi w:val="0"/>
        <w:spacing w:before="40" w:after="40"/>
        <w:ind w:right="0"/>
        <w:jc w:val="left"/>
        <w:rPr>
          <w:rtl w:val="0"/>
          <w:lang w:val="en-US"/>
        </w:rPr>
      </w:pPr>
      <w:r>
        <w:rPr>
          <w:b w:val="1"/>
          <w:bCs w:val="1"/>
          <w:rtl w:val="0"/>
          <w:lang w:val="en-US"/>
        </w:rPr>
        <w:t>Schema validation</w:t>
      </w:r>
      <w:r>
        <w:rPr>
          <w:rtl w:val="0"/>
          <w:lang w:val="en-US"/>
        </w:rPr>
        <w:t>: All incoming eFTI data is validated against the official XSD schemas before processing. Non-conformant datasets are rejected with a structured error response.</w:t>
      </w:r>
    </w:p>
    <w:p>
      <w:pPr>
        <w:pStyle w:val="List Paragraph"/>
        <w:numPr>
          <w:ilvl w:val="0"/>
          <w:numId w:val="2"/>
        </w:numPr>
        <w:bidi w:val="0"/>
        <w:spacing w:before="40" w:after="40"/>
        <w:ind w:right="0"/>
        <w:jc w:val="left"/>
        <w:rPr>
          <w:rtl w:val="0"/>
          <w:lang w:val="en-US"/>
        </w:rPr>
      </w:pPr>
      <w:r>
        <w:rPr>
          <w:b w:val="1"/>
          <w:bCs w:val="1"/>
          <w:rtl w:val="0"/>
          <w:lang w:val="en-US"/>
        </w:rPr>
        <w:t>eFTI Platform certification verification</w:t>
      </w:r>
      <w:r>
        <w:rPr>
          <w:rtl w:val="0"/>
          <w:lang w:val="en-US"/>
        </w:rPr>
        <w:t>: The eFTI Gate verifies the certification status of connecting eFTI platforms against the Estonian eFTI Platforms registry before accepting UIL registrations or responding to data requests (ref. Section 6.3.1).</w:t>
      </w:r>
    </w:p>
    <w:p>
      <w:pPr>
        <w:pStyle w:val="List Paragraph"/>
        <w:numPr>
          <w:ilvl w:val="0"/>
          <w:numId w:val="2"/>
        </w:numPr>
        <w:bidi w:val="0"/>
        <w:spacing w:before="40" w:after="40"/>
        <w:ind w:right="0"/>
        <w:jc w:val="left"/>
        <w:rPr>
          <w:rtl w:val="0"/>
          <w:lang w:val="en-US"/>
        </w:rPr>
      </w:pPr>
      <w:r>
        <w:rPr>
          <w:b w:val="1"/>
          <w:bCs w:val="1"/>
          <w:rtl w:val="0"/>
          <w:lang w:val="en-US"/>
        </w:rPr>
        <w:t>Audit trail</w:t>
      </w:r>
      <w:r>
        <w:rPr>
          <w:rtl w:val="0"/>
          <w:lang w:val="en-US"/>
        </w:rPr>
        <w:t>: A complete, immutable audit trail of all operations supports regulatory compliance verification and supervisory inspections (ref. Section 7.1.1 Audit Logs).</w:t>
      </w:r>
    </w:p>
    <w:p>
      <w:pPr>
        <w:pStyle w:val="List Paragraph"/>
        <w:numPr>
          <w:ilvl w:val="0"/>
          <w:numId w:val="2"/>
        </w:numPr>
        <w:bidi w:val="0"/>
        <w:spacing w:before="40" w:after="40"/>
        <w:ind w:right="0"/>
        <w:jc w:val="left"/>
        <w:rPr>
          <w:rtl w:val="0"/>
          <w:lang w:val="en-US"/>
        </w:rPr>
      </w:pPr>
      <w:r>
        <w:rPr>
          <w:b w:val="1"/>
          <w:bCs w:val="1"/>
          <w:rtl w:val="0"/>
          <w:lang w:val="en-US"/>
        </w:rPr>
        <w:t>Periodic review</w:t>
      </w:r>
      <w:r>
        <w:rPr>
          <w:rtl w:val="0"/>
          <w:lang w:val="en-US"/>
        </w:rPr>
        <w:t>: Regulatory compliance is reviewed upon adoption of new implementing or delegated acts, TGD updates, or changes to national legislation.</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11. Integrated Systems Overview</w:t>
      </w:r>
    </w:p>
    <w:p>
      <w:pPr>
        <w:pStyle w:val="Body A"/>
        <w:spacing w:before="60" w:after="80"/>
      </w:pPr>
      <w:r>
        <w:rPr>
          <w:rtl w:val="0"/>
          <w:lang w:val="en-US"/>
        </w:rPr>
        <w:t>The following table summarizes the key internal and external systems that must be integrated with the Estonian eFTI Gate to ensure full operational capacity and regulatory compliance.</w:t>
      </w:r>
    </w:p>
    <w:tbl>
      <w:tblPr>
        <w:tblW w:w="9383"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3"/>
        <w:gridCol w:w="1262"/>
        <w:gridCol w:w="1473"/>
        <w:gridCol w:w="2623"/>
        <w:gridCol w:w="2622"/>
      </w:tblGrid>
      <w:tr>
        <w:tblPrEx>
          <w:shd w:val="clear" w:color="auto" w:fill="156082"/>
        </w:tblPrEx>
        <w:trPr>
          <w:trHeight w:val="878" w:hRule="atLeast"/>
          <w:tblHeader/>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System Name</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Responsible Organization</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Integration Method</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 / Purpose</w:t>
            </w:r>
          </w:p>
        </w:tc>
      </w:tr>
      <w:tr>
        <w:tblPrEx>
          <w:shd w:val="clear" w:color="auto" w:fill="cad1d7"/>
        </w:tblPrEx>
        <w:trPr>
          <w:trHeight w:val="1198" w:hRule="atLeast"/>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X-Road (X-Tee)</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RIA (State Information System Authority)</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REST / SOAP</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National backbone for secure, authenticated data exchange between Estonian government agencies.</w:t>
            </w:r>
          </w:p>
        </w:tc>
      </w:tr>
      <w:tr>
        <w:tblPrEx>
          <w:shd w:val="clear" w:color="auto" w:fill="cad1d7"/>
        </w:tblPrEx>
        <w:trPr>
          <w:trHeight w:val="1198" w:hRule="atLeast"/>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eDelivery (AS4)</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EU Commission / Member States</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AS4 / ebMS3</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Secure cross-border infrastructure for connecting eFTI Gates and remote eFTI platforms.</w:t>
            </w:r>
          </w:p>
        </w:tc>
      </w:tr>
      <w:tr>
        <w:tblPrEx>
          <w:shd w:val="clear" w:color="auto" w:fill="cad1d7"/>
        </w:tblPrEx>
        <w:trPr>
          <w:trHeight w:val="2158" w:hRule="atLeast"/>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EMTA eFTI Integration Layer</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EMTA</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REST API (via X-Road)</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Centralized intergation layer for EMTA-specific eFTI data use cases. Consolidates queries for key systems (ANTS, SADHES, EMCS, TOTS2) and supports long-term compliance and audit requirements.</w:t>
            </w:r>
          </w:p>
        </w:tc>
      </w:tr>
      <w:tr>
        <w:tblPrEx>
          <w:shd w:val="clear" w:color="auto" w:fill="cad1d7"/>
        </w:tblPrEx>
        <w:trPr>
          <w:trHeight w:val="958" w:hRule="atLeast"/>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Apollo</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EMTA / PPA / KeA</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REST API (via X-Road)</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Mobile/field application for officers to perform real-time roadside checks and searches.</w:t>
            </w:r>
          </w:p>
        </w:tc>
      </w:tr>
      <w:tr>
        <w:tblPrEx>
          <w:shd w:val="clear" w:color="auto" w:fill="cad1d7"/>
        </w:tblPrEx>
        <w:trPr>
          <w:trHeight w:val="958" w:hRule="atLeast"/>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LOIS2</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TRAM</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REST API (via X-Road)</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Aviation information system for controlling eFTI platforms and flight-based queries.</w:t>
            </w:r>
          </w:p>
        </w:tc>
      </w:tr>
      <w:tr>
        <w:tblPrEx>
          <w:shd w:val="clear" w:color="auto" w:fill="cad1d7"/>
        </w:tblPrEx>
        <w:trPr>
          <w:trHeight w:val="958" w:hRule="atLeast"/>
        </w:trPr>
        <w:tc>
          <w:tcPr>
            <w:tcW w:type="dxa" w:w="140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eFTI Platforms</w:t>
            </w:r>
          </w:p>
        </w:tc>
        <w:tc>
          <w:tcPr>
            <w:tcW w:type="dxa" w:w="126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Commercial</w:t>
            </w:r>
          </w:p>
        </w:tc>
        <w:tc>
          <w:tcPr>
            <w:tcW w:type="dxa" w:w="147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Synchronous REST</w:t>
            </w:r>
          </w:p>
        </w:tc>
        <w:tc>
          <w:tcPr>
            <w:tcW w:type="dxa" w:w="262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tc>
        <w:tc>
          <w:tcPr>
            <w:tcW w:type="dxa" w:w="262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Certified ICT systems providing regulatory freight transport data to the eFTI Gate.</w:t>
            </w:r>
          </w:p>
        </w:tc>
      </w:tr>
    </w:tbl>
    <w:p>
      <w:pPr>
        <w:pStyle w:val="Body A"/>
        <w:widowControl w:val="0"/>
        <w:spacing w:before="60" w:after="80"/>
        <w:ind w:left="108" w:hanging="108"/>
      </w:pPr>
    </w:p>
    <w:p>
      <w:pPr>
        <w:pStyle w:val="Body A"/>
        <w:widowControl w:val="0"/>
        <w:spacing w:before="60" w:after="80"/>
      </w:pP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12. Suggested Waste Management Integration (Annex 1)</w:t>
      </w:r>
    </w:p>
    <w:p>
      <w:pPr>
        <w:pStyle w:val="Body A"/>
        <w:spacing w:before="60" w:after="80"/>
      </w:pPr>
      <w:r>
        <w:rPr>
          <w:b w:val="1"/>
          <w:bCs w:val="1"/>
          <w:rtl w:val="0"/>
          <w:lang w:val="de-DE"/>
        </w:rPr>
        <w:t>Note:</w:t>
      </w:r>
      <w:r>
        <w:rPr>
          <w:rtl w:val="0"/>
          <w:lang w:val="en-US"/>
        </w:rPr>
        <w:t xml:space="preserve"> This suggested integration and technical implementation is not currently agreed with involved parties and is subject to additional analysis.</w:t>
      </w:r>
    </w:p>
    <w:p>
      <w:pPr>
        <w:pStyle w:val="Body A"/>
        <w:spacing w:before="60" w:after="80"/>
      </w:pPr>
      <w:r>
        <w:rPr>
          <w:b w:val="1"/>
          <w:bCs w:val="1"/>
          <w:rtl w:val="0"/>
          <w:lang w:val="de-DE"/>
        </w:rPr>
        <w:t>Note:</w:t>
      </w:r>
      <w:r>
        <w:rPr>
          <w:rtl w:val="0"/>
          <w:lang w:val="en-US"/>
        </w:rPr>
        <w:t xml:space="preserve"> Waste transport needs permits, this paragraph does not include information about permits and eFTI gate analysis does not change how these permits are handled</w:t>
      </w:r>
    </w:p>
    <w:p>
      <w:pPr>
        <w:pStyle w:val="Body A"/>
        <w:spacing w:before="80"/>
      </w:pPr>
    </w:p>
    <w:p>
      <w:pPr>
        <w:pStyle w:val="Heading 2"/>
      </w:pPr>
      <w:r>
        <w:rPr>
          <w:rtl w:val="0"/>
          <w:lang w:val="fr-FR"/>
        </w:rPr>
        <w:t>12.1 Solution Description</w:t>
      </w:r>
    </w:p>
    <w:p>
      <w:pPr>
        <w:pStyle w:val="Body A"/>
        <w:spacing w:before="60" w:after="80"/>
      </w:pPr>
      <w:r>
        <w:rPr>
          <w:rtl w:val="0"/>
          <w:lang w:val="en-US"/>
        </w:rPr>
        <w:t>The proposed integration creates a unified digital environment for waste transport by utilizing Estonia's national systems</w:t>
      </w:r>
      <w:r>
        <w:rPr>
          <w:rtl w:val="0"/>
          <w:lang w:val="en-US"/>
        </w:rPr>
        <w:t>—</w:t>
      </w:r>
      <w:r>
        <w:rPr>
          <w:rtl w:val="0"/>
          <w:lang w:val="en-US"/>
        </w:rPr>
        <w:t>Kotkas (international waste) and Pistrik (local waste). This allows economic operators to manage both environmental manifests and freight transport data within a single workflow, reducing manual data entry and improving compliance.</w:t>
      </w:r>
    </w:p>
    <w:p>
      <w:pPr>
        <w:pStyle w:val="Body A"/>
        <w:spacing w:before="80"/>
      </w:pPr>
    </w:p>
    <w:p>
      <w:pPr>
        <w:pStyle w:val="Body A"/>
        <w:spacing w:before="60" w:after="80"/>
      </w:pPr>
      <w:r>
        <w:rPr>
          <w:rtl w:val="0"/>
          <w:lang w:val="en-US"/>
        </w:rPr>
        <w:t>The solution consists of 4 possible workflows for both local and international waste transportation:</w:t>
      </w:r>
    </w:p>
    <w:p>
      <w:pPr>
        <w:pStyle w:val="List Paragraph"/>
        <w:numPr>
          <w:ilvl w:val="0"/>
          <w:numId w:val="2"/>
        </w:numPr>
        <w:bidi w:val="0"/>
        <w:spacing w:before="40" w:after="40"/>
        <w:ind w:right="0"/>
        <w:jc w:val="left"/>
        <w:rPr>
          <w:rtl w:val="0"/>
          <w:lang w:val="en-US"/>
        </w:rPr>
      </w:pPr>
      <w:r>
        <w:rPr>
          <w:b w:val="1"/>
          <w:bCs w:val="1"/>
          <w:rtl w:val="0"/>
          <w:lang w:val="en-US"/>
        </w:rPr>
        <w:t>Workflow 1.</w:t>
      </w:r>
      <w:r>
        <w:rPr>
          <w:rtl w:val="0"/>
          <w:lang w:val="en-US"/>
        </w:rPr>
        <w:t xml:space="preserve"> Economic Operator uses only Pistrik system to manage domestic waste transport. In this case Pistrik functions similarly to a eFTI platform.</w:t>
      </w:r>
    </w:p>
    <w:p>
      <w:pPr>
        <w:pStyle w:val="List Paragraph"/>
        <w:numPr>
          <w:ilvl w:val="0"/>
          <w:numId w:val="2"/>
        </w:numPr>
        <w:bidi w:val="0"/>
        <w:spacing w:before="40" w:after="40"/>
        <w:ind w:right="0"/>
        <w:jc w:val="left"/>
        <w:rPr>
          <w:rtl w:val="0"/>
          <w:lang w:val="en-US"/>
        </w:rPr>
      </w:pPr>
      <w:r>
        <w:rPr>
          <w:b w:val="1"/>
          <w:bCs w:val="1"/>
          <w:rtl w:val="0"/>
          <w:lang w:val="en-US"/>
        </w:rPr>
        <w:t>Workflow 2.</w:t>
      </w:r>
      <w:r>
        <w:rPr>
          <w:rtl w:val="0"/>
          <w:lang w:val="en-US"/>
        </w:rPr>
        <w:t xml:space="preserve"> Economic operator uses eFTI platform to manage domestic waste transport. eFTI Platform is integrated with Pistrik and environmental manifests are created from eFTI platform.</w:t>
      </w:r>
    </w:p>
    <w:p>
      <w:pPr>
        <w:pStyle w:val="List Paragraph"/>
        <w:numPr>
          <w:ilvl w:val="0"/>
          <w:numId w:val="2"/>
        </w:numPr>
        <w:bidi w:val="0"/>
        <w:spacing w:before="40" w:after="40"/>
        <w:ind w:right="0"/>
        <w:jc w:val="left"/>
        <w:rPr>
          <w:rtl w:val="0"/>
          <w:lang w:val="en-US"/>
        </w:rPr>
      </w:pPr>
      <w:r>
        <w:rPr>
          <w:b w:val="1"/>
          <w:bCs w:val="1"/>
          <w:rtl w:val="0"/>
          <w:lang w:val="en-US"/>
        </w:rPr>
        <w:t>Workflow 3.</w:t>
      </w:r>
      <w:r>
        <w:rPr>
          <w:rtl w:val="0"/>
          <w:lang w:val="en-US"/>
        </w:rPr>
        <w:t xml:space="preserve"> Economic operator does double data entry in case of international waste transport. All environmental documents are created in system Kotkas and all eFTI transport documents are created in an eFTI platform. Both document creation needs manual work</w:t>
      </w:r>
    </w:p>
    <w:p>
      <w:pPr>
        <w:pStyle w:val="List Paragraph"/>
        <w:numPr>
          <w:ilvl w:val="0"/>
          <w:numId w:val="2"/>
        </w:numPr>
        <w:bidi w:val="0"/>
        <w:spacing w:before="40" w:after="40"/>
        <w:ind w:right="0"/>
        <w:jc w:val="left"/>
        <w:rPr>
          <w:rtl w:val="0"/>
          <w:lang w:val="en-US"/>
        </w:rPr>
      </w:pPr>
      <w:r>
        <w:rPr>
          <w:b w:val="1"/>
          <w:bCs w:val="1"/>
          <w:rtl w:val="0"/>
          <w:lang w:val="en-US"/>
        </w:rPr>
        <w:t>Workflow 4.</w:t>
      </w:r>
      <w:r>
        <w:rPr>
          <w:rtl w:val="0"/>
          <w:lang w:val="en-US"/>
        </w:rPr>
        <w:t xml:space="preserve"> Economic operator uses eFTI platform to manage international waste transport. eFTI Platform is integrated with Kotkas and environmental manifests are created from eFTI platform. Freight transport documents are also created in eFTI platform according eFTI requirements.</w:t>
      </w:r>
    </w:p>
    <w:p>
      <w:pPr>
        <w:pStyle w:val="Body A"/>
        <w:spacing w:before="120"/>
      </w:pPr>
    </w:p>
    <w:p>
      <w:pPr>
        <w:pStyle w:val="Heading 2"/>
      </w:pPr>
      <w:r>
        <w:rPr>
          <w:rtl w:val="0"/>
          <w:lang w:val="en-US"/>
        </w:rPr>
        <w:t>12.2 Architecture</w:t>
      </w:r>
    </w:p>
    <w:p>
      <w:pPr>
        <w:pStyle w:val="Body A"/>
        <w:rPr>
          <w:i w:val="1"/>
          <w:iCs w:val="1"/>
        </w:rPr>
      </w:pPr>
    </w:p>
    <w:p>
      <w:pPr>
        <w:pStyle w:val="Body A"/>
      </w:pPr>
      <w:r>
        <w:drawing xmlns:a="http://schemas.openxmlformats.org/drawingml/2006/main">
          <wp:inline distT="0" distB="0" distL="0" distR="0">
            <wp:extent cx="5727575" cy="1078200"/>
            <wp:effectExtent l="0" t="0" r="0" b="0"/>
            <wp:docPr id="1073741833" name="officeArt object" descr="Figure 6: Follow-up Communications&#10;&#10;Figure 6: Follow-up Communications"/>
            <wp:cNvGraphicFramePr/>
            <a:graphic xmlns:a="http://schemas.openxmlformats.org/drawingml/2006/main">
              <a:graphicData uri="http://schemas.openxmlformats.org/drawingml/2006/picture">
                <pic:pic xmlns:pic="http://schemas.openxmlformats.org/drawingml/2006/picture">
                  <pic:nvPicPr>
                    <pic:cNvPr id="1073741833" name="Figure 6: Follow-up CommunicationsFigure 6: Follow-up Communications" descr="Figure 6: Follow-up CommunicationsFigure 6: Follow-up Communications"/>
                    <pic:cNvPicPr>
                      <a:picLocks noChangeAspect="1"/>
                    </pic:cNvPicPr>
                  </pic:nvPicPr>
                  <pic:blipFill>
                    <a:blip r:embed="rId12">
                      <a:extLst/>
                    </a:blip>
                    <a:stretch>
                      <a:fillRect/>
                    </a:stretch>
                  </pic:blipFill>
                  <pic:spPr>
                    <a:xfrm>
                      <a:off x="0" y="0"/>
                      <a:ext cx="5727575" cy="1078200"/>
                    </a:xfrm>
                    <a:prstGeom prst="rect">
                      <a:avLst/>
                    </a:prstGeom>
                    <a:ln w="12700" cap="flat">
                      <a:noFill/>
                      <a:miter lim="400000"/>
                    </a:ln>
                    <a:effectLst/>
                  </pic:spPr>
                </pic:pic>
              </a:graphicData>
            </a:graphic>
          </wp:inline>
        </w:drawing>
      </w:r>
    </w:p>
    <w:p>
      <w:pPr>
        <w:pStyle w:val="Caption.0"/>
        <w:suppressAutoHyphens w:val="0"/>
        <w:bidi w:val="0"/>
        <w:spacing w:before="40" w:after="120"/>
        <w:ind w:left="0" w:right="0" w:firstLine="0"/>
        <w:jc w:val="center"/>
        <w:outlineLvl w:val="9"/>
        <w:rPr>
          <w:rFonts w:ascii="Arial" w:cs="Arial" w:hAnsi="Arial" w:eastAsia="Arial"/>
          <w:i w:val="1"/>
          <w:iCs w:val="1"/>
          <w:outline w:val="0"/>
          <w:color w:val="595959"/>
          <w:sz w:val="18"/>
          <w:szCs w:val="18"/>
          <w:u w:color="595959"/>
          <w:rtl w:val="0"/>
          <w14:textFill>
            <w14:solidFill>
              <w14:srgbClr w14:val="595959"/>
            </w14:solidFill>
          </w14:textFill>
        </w:rPr>
      </w:pPr>
      <w:r>
        <w:rPr>
          <w:rFonts w:ascii="Arial" w:hAnsi="Arial"/>
          <w:i w:val="1"/>
          <w:iCs w:val="1"/>
          <w:outline w:val="0"/>
          <w:color w:val="595959"/>
          <w:sz w:val="18"/>
          <w:szCs w:val="18"/>
          <w:u w:color="595959"/>
          <w:rtl w:val="0"/>
          <w:lang w:val="en-US"/>
          <w14:textFill>
            <w14:solidFill>
              <w14:srgbClr w14:val="595959"/>
            </w14:solidFill>
          </w14:textFill>
        </w:rPr>
        <w:t>Figure 9: Waste Management Architecture</w:t>
      </w:r>
    </w:p>
    <w:p>
      <w:pPr>
        <w:pStyle w:val="Body A"/>
        <w:spacing w:before="60" w:after="80"/>
      </w:pPr>
      <w:r>
        <w:rPr>
          <w:rtl w:val="0"/>
          <w:lang w:val="nl-NL"/>
        </w:rPr>
        <w:t>Legend:</w:t>
      </w:r>
    </w:p>
    <w:p>
      <w:pPr>
        <w:pStyle w:val="List Paragraph"/>
        <w:numPr>
          <w:ilvl w:val="0"/>
          <w:numId w:val="2"/>
        </w:numPr>
        <w:bidi w:val="0"/>
        <w:spacing w:before="40" w:after="40"/>
        <w:ind w:right="0"/>
        <w:jc w:val="left"/>
        <w:rPr>
          <w:rtl w:val="0"/>
          <w:lang w:val="en-US"/>
        </w:rPr>
      </w:pPr>
      <w:r>
        <w:rPr>
          <w:rtl w:val="0"/>
          <w:lang w:val="en-US"/>
        </w:rPr>
        <w:t>Orange line - Estonian domestic Waste transport</w:t>
      </w:r>
    </w:p>
    <w:p>
      <w:pPr>
        <w:pStyle w:val="List Paragraph"/>
        <w:numPr>
          <w:ilvl w:val="0"/>
          <w:numId w:val="2"/>
        </w:numPr>
        <w:bidi w:val="0"/>
        <w:spacing w:before="40" w:after="40"/>
        <w:ind w:right="0"/>
        <w:jc w:val="left"/>
        <w:rPr>
          <w:rtl w:val="0"/>
          <w:lang w:val="en-US"/>
        </w:rPr>
      </w:pPr>
      <w:r>
        <w:rPr>
          <w:rtl w:val="0"/>
          <w:lang w:val="en-US"/>
        </w:rPr>
        <w:t>Green line - International waste transport</w:t>
      </w:r>
    </w:p>
    <w:p>
      <w:pPr>
        <w:pStyle w:val="Body A"/>
        <w:spacing w:before="120"/>
      </w:pPr>
    </w:p>
    <w:p>
      <w:pPr>
        <w:pStyle w:val="Heading 2"/>
      </w:pPr>
      <w:r>
        <w:rPr>
          <w:rtl w:val="0"/>
          <w:lang w:val="en-US"/>
        </w:rPr>
        <w:t>12.3 Use Cases</w:t>
      </w:r>
    </w:p>
    <w:p>
      <w:pPr>
        <w:pStyle w:val="Body A"/>
        <w:spacing w:before="60" w:after="80"/>
      </w:pPr>
      <w:r>
        <w:rPr>
          <w:rtl w:val="0"/>
          <w:lang w:val="en-US"/>
        </w:rPr>
        <w:t>The system supports the following integrated use cases for waste transport management, combining eFTI Gate queries with environmental manifest tracking:</w:t>
      </w:r>
    </w:p>
    <w:p>
      <w:pPr>
        <w:pStyle w:val="Body A"/>
      </w:pPr>
      <w:r>
        <w:rPr>
          <w:rFonts w:ascii="Arial Unicode MS" w:cs="Arial Unicode MS" w:hAnsi="Arial Unicode MS" w:eastAsia="Arial Unicode MS"/>
          <w:b w:val="0"/>
          <w:bCs w:val="0"/>
          <w:i w:val="0"/>
          <w:iCs w:val="0"/>
        </w:rPr>
        <w:br w:type="page"/>
      </w:r>
    </w:p>
    <w:p>
      <w:pPr>
        <w:pStyle w:val="Heading"/>
        <w:rPr>
          <w:lang w:val="en-US"/>
        </w:rPr>
      </w:pPr>
      <w:r>
        <w:rPr>
          <w:rtl w:val="0"/>
          <w:lang w:val="en-US"/>
        </w:rPr>
        <w:t>13. Suggested EMTA Integration (Annex 2)</w:t>
      </w:r>
    </w:p>
    <w:p>
      <w:pPr>
        <w:pStyle w:val="Body A"/>
        <w:spacing w:before="60" w:after="80"/>
      </w:pPr>
      <w:r>
        <w:rPr>
          <w:b w:val="1"/>
          <w:bCs w:val="1"/>
          <w:rtl w:val="0"/>
          <w:lang w:val="de-DE"/>
        </w:rPr>
        <w:t>Note:</w:t>
      </w:r>
      <w:r>
        <w:rPr>
          <w:rtl w:val="0"/>
          <w:lang w:val="en-US"/>
        </w:rPr>
        <w:t xml:space="preserve"> This suggested integration and technical implementation is not currently agreed with the EMTA and is subject to further analysis and additional agreements between KEMIT and the eFTI Gate development team.</w:t>
      </w:r>
    </w:p>
    <w:p>
      <w:pPr>
        <w:pStyle w:val="Body A"/>
        <w:spacing w:before="80"/>
      </w:pPr>
    </w:p>
    <w:p>
      <w:pPr>
        <w:pStyle w:val="Heading 2"/>
      </w:pPr>
      <w:r>
        <w:rPr>
          <w:rtl w:val="0"/>
          <w:lang w:val="fr-FR"/>
        </w:rPr>
        <w:t>13.1 Solution Description</w:t>
      </w:r>
    </w:p>
    <w:p>
      <w:pPr>
        <w:pStyle w:val="Body A"/>
        <w:spacing w:before="60" w:after="80"/>
      </w:pPr>
      <w:r>
        <w:rPr>
          <w:rtl w:val="0"/>
          <w:lang w:val="en-US"/>
        </w:rPr>
        <w:t xml:space="preserve">Suggestion of this analysis is for EMTA to build a new centralized </w:t>
      </w:r>
      <w:r>
        <w:rPr>
          <w:rtl w:val="0"/>
        </w:rPr>
        <w:t xml:space="preserve">EMTA </w:t>
      </w:r>
      <w:r>
        <w:rPr>
          <w:rtl w:val="0"/>
          <w:lang w:val="en-US"/>
        </w:rPr>
        <w:t xml:space="preserve">eFTI integration layer for EMTA-specific freight transport data use cases. Alternative for </w:t>
      </w:r>
      <w:r>
        <w:rPr>
          <w:rtl w:val="0"/>
          <w:lang w:val="pt-PT"/>
        </w:rPr>
        <w:t xml:space="preserve">EMTA eFTI </w:t>
      </w:r>
      <w:r>
        <w:rPr>
          <w:rtl w:val="0"/>
          <w:lang w:val="en-US"/>
        </w:rPr>
        <w:t>integration layer would be to use one of the existing systems like TOTS2 to perform integration functions. Final agreement has to be made with EMTA. By consolidating queries, the EMTA can leverage a unified internal interface to access eFTI data across key systems. This will avoid delays in eFTI gate development project and be more cost effective. Latter comes from development needs inside EMTA infrastructure only</w:t>
      </w:r>
    </w:p>
    <w:p>
      <w:pPr>
        <w:pStyle w:val="Body A"/>
        <w:spacing w:before="80"/>
      </w:pPr>
    </w:p>
    <w:p>
      <w:pPr>
        <w:pStyle w:val="Body A"/>
        <w:spacing w:before="60" w:after="80"/>
      </w:pPr>
      <w:r>
        <w:rPr>
          <w:rtl w:val="0"/>
          <w:lang w:val="en-US"/>
        </w:rPr>
        <w:t>This architectural approach ensures that the Estonian eFTI Gate only needs to interface with EMTA eFTI integration layer (or single chosen system) for these specific EMTA workflows, simplifying identity management and supporting high-volume processing. In later phases eFTI gate does not need to deal with different system integration for additional EMTA functionality that requires freight transport information.</w:t>
      </w:r>
    </w:p>
    <w:p>
      <w:pPr>
        <w:pStyle w:val="Body A"/>
        <w:spacing w:before="80"/>
      </w:pPr>
    </w:p>
    <w:p>
      <w:pPr>
        <w:pStyle w:val="Body A"/>
        <w:spacing w:before="60" w:after="80"/>
      </w:pPr>
      <w:r>
        <w:rPr>
          <w:rtl w:val="0"/>
          <w:lang w:val="en-US"/>
        </w:rPr>
        <w:t>The solution addresses specific EMTA requirements, such as the need for 7-year data retention for customs audits, by bridging the gap between the eFTI Gate's CMDS handling and EMTA's long-term compliance needs. EMTA will have to review on additional data saving needs to have the capability of long term document retention.</w:t>
      </w:r>
    </w:p>
    <w:p>
      <w:pPr>
        <w:pStyle w:val="Body A"/>
        <w:spacing w:before="80"/>
      </w:pPr>
    </w:p>
    <w:p>
      <w:pPr>
        <w:pStyle w:val="Body A"/>
        <w:spacing w:before="60" w:after="80"/>
      </w:pPr>
      <w:r>
        <w:rPr>
          <w:rtl w:val="0"/>
          <w:lang w:val="en-US"/>
        </w:rPr>
        <w:t>In the ANTS use case, the system assists officials by providing vehicle identification, but the actual eFTI data query is initiated by the EMTA official. ANTS will be officially ready for further analysis and development during 2027</w:t>
      </w:r>
    </w:p>
    <w:p>
      <w:pPr>
        <w:pStyle w:val="Body A"/>
        <w:spacing w:before="120"/>
      </w:pPr>
    </w:p>
    <w:p>
      <w:pPr>
        <w:pStyle w:val="Heading 2"/>
      </w:pPr>
      <w:r>
        <w:rPr>
          <w:rtl w:val="0"/>
          <w:lang w:val="en-US"/>
        </w:rPr>
        <w:t>13.2 Visual representation</w:t>
      </w:r>
    </w:p>
    <w:p>
      <w:pPr>
        <w:pStyle w:val="Body A"/>
        <w:spacing w:before="80"/>
      </w:pPr>
    </w:p>
    <w:p>
      <w:pPr>
        <w:pStyle w:val="Body A"/>
        <w:spacing w:before="60" w:after="80"/>
      </w:pPr>
      <w:r>
        <w:rPr>
          <w:i w:val="1"/>
          <w:iCs w:val="1"/>
          <w:rtl w:val="0"/>
          <w:lang w:val="en-US"/>
        </w:rPr>
        <w:t>Note: Architecture is a subject to further analysis</w:t>
      </w:r>
    </w:p>
    <w:p>
      <w:pPr>
        <w:pStyle w:val="Body A"/>
        <w:spacing w:before="80"/>
      </w:pPr>
    </w:p>
    <w:p>
      <w:pPr>
        <w:pStyle w:val="Body A"/>
      </w:pPr>
      <w:r>
        <w:drawing xmlns:a="http://schemas.openxmlformats.org/drawingml/2006/main">
          <wp:inline distT="0" distB="0" distL="0" distR="0">
            <wp:extent cx="5727575" cy="1660084"/>
            <wp:effectExtent l="0" t="0" r="0" b="0"/>
            <wp:docPr id="1073741834" name="officeArt object" descr="Figure 7: Logical Architecture of Estonian eFTI Gate&#10;&#10;Figure 7: Logical Architecture of Estonian eFTI Gate"/>
            <wp:cNvGraphicFramePr/>
            <a:graphic xmlns:a="http://schemas.openxmlformats.org/drawingml/2006/main">
              <a:graphicData uri="http://schemas.openxmlformats.org/drawingml/2006/picture">
                <pic:pic xmlns:pic="http://schemas.openxmlformats.org/drawingml/2006/picture">
                  <pic:nvPicPr>
                    <pic:cNvPr id="1073741834" name="Figure 7: Logical Architecture of Estonian eFTI GateFigure 7: Logical Architecture of Estonian eFTI Gate" descr="Figure 7: Logical Architecture of Estonian eFTI GateFigure 7: Logical Architecture of Estonian eFTI Gate"/>
                    <pic:cNvPicPr>
                      <a:picLocks noChangeAspect="1"/>
                    </pic:cNvPicPr>
                  </pic:nvPicPr>
                  <pic:blipFill>
                    <a:blip r:embed="rId13">
                      <a:extLst/>
                    </a:blip>
                    <a:stretch>
                      <a:fillRect/>
                    </a:stretch>
                  </pic:blipFill>
                  <pic:spPr>
                    <a:xfrm>
                      <a:off x="0" y="0"/>
                      <a:ext cx="5727575" cy="1660084"/>
                    </a:xfrm>
                    <a:prstGeom prst="rect">
                      <a:avLst/>
                    </a:prstGeom>
                    <a:ln w="12700" cap="flat">
                      <a:noFill/>
                      <a:miter lim="400000"/>
                    </a:ln>
                    <a:effectLst/>
                  </pic:spPr>
                </pic:pic>
              </a:graphicData>
            </a:graphic>
          </wp:inline>
        </w:drawing>
      </w:r>
    </w:p>
    <w:p>
      <w:pPr>
        <w:pStyle w:val="Caption.0"/>
        <w:suppressAutoHyphens w:val="0"/>
        <w:bidi w:val="0"/>
        <w:spacing w:before="40" w:after="120"/>
        <w:ind w:left="0" w:right="0" w:firstLine="0"/>
        <w:jc w:val="center"/>
        <w:outlineLvl w:val="9"/>
        <w:rPr>
          <w:rFonts w:ascii="Arial" w:cs="Arial" w:hAnsi="Arial" w:eastAsia="Arial"/>
          <w:i w:val="1"/>
          <w:iCs w:val="1"/>
          <w:outline w:val="0"/>
          <w:color w:val="595959"/>
          <w:sz w:val="18"/>
          <w:szCs w:val="18"/>
          <w:u w:color="595959"/>
          <w:rtl w:val="0"/>
          <w14:textFill>
            <w14:solidFill>
              <w14:srgbClr w14:val="595959"/>
            </w14:solidFill>
          </w14:textFill>
        </w:rPr>
      </w:pPr>
      <w:r>
        <w:rPr>
          <w:rFonts w:ascii="Arial" w:hAnsi="Arial"/>
          <w:i w:val="1"/>
          <w:iCs w:val="1"/>
          <w:outline w:val="0"/>
          <w:color w:val="595959"/>
          <w:sz w:val="18"/>
          <w:szCs w:val="18"/>
          <w:u w:color="595959"/>
          <w:rtl w:val="0"/>
          <w:lang w:val="en-US"/>
          <w14:textFill>
            <w14:solidFill>
              <w14:srgbClr w14:val="595959"/>
            </w14:solidFill>
          </w14:textFill>
        </w:rPr>
        <w:t>Figure 10: MTA Integration Architecture</w:t>
      </w:r>
    </w:p>
    <w:p>
      <w:pPr>
        <w:pStyle w:val="Caption.0"/>
        <w:suppressAutoHyphens w:val="0"/>
        <w:bidi w:val="0"/>
        <w:spacing w:before="40" w:after="120"/>
        <w:ind w:left="0" w:right="0" w:firstLine="0"/>
        <w:jc w:val="center"/>
        <w:outlineLvl w:val="9"/>
        <w:rPr>
          <w:rFonts w:ascii="Arial" w:cs="Arial" w:hAnsi="Arial" w:eastAsia="Arial"/>
          <w:i w:val="1"/>
          <w:iCs w:val="1"/>
          <w:outline w:val="0"/>
          <w:color w:val="595959"/>
          <w:sz w:val="18"/>
          <w:szCs w:val="18"/>
          <w:u w:color="595959"/>
          <w:rtl w:val="0"/>
          <w14:textFill>
            <w14:solidFill>
              <w14:srgbClr w14:val="595959"/>
            </w14:solidFill>
          </w14:textFill>
        </w:rPr>
      </w:pPr>
    </w:p>
    <w:p>
      <w:pPr>
        <w:pStyle w:val="Caption.0"/>
        <w:suppressAutoHyphens w:val="0"/>
        <w:bidi w:val="0"/>
        <w:spacing w:before="40" w:after="120"/>
        <w:ind w:left="0" w:right="0" w:firstLine="0"/>
        <w:jc w:val="center"/>
        <w:outlineLvl w:val="9"/>
        <w:rPr>
          <w:rFonts w:ascii="Arial" w:cs="Arial" w:hAnsi="Arial" w:eastAsia="Arial"/>
          <w:i w:val="1"/>
          <w:iCs w:val="1"/>
          <w:outline w:val="0"/>
          <w:color w:val="595959"/>
          <w:sz w:val="18"/>
          <w:szCs w:val="18"/>
          <w:u w:color="595959"/>
          <w:rtl w:val="0"/>
          <w14:textFill>
            <w14:solidFill>
              <w14:srgbClr w14:val="595959"/>
            </w14:solidFill>
          </w14:textFill>
        </w:rPr>
      </w:pPr>
    </w:p>
    <w:p>
      <w:pPr>
        <w:pStyle w:val="Heading 2"/>
      </w:pPr>
      <w:r>
        <w:rPr>
          <w:rtl w:val="0"/>
          <w:lang w:val="en-US"/>
        </w:rPr>
        <w:t>13.3 Possible core Use Cases</w:t>
      </w:r>
    </w:p>
    <w:p>
      <w:pPr>
        <w:pStyle w:val="Body A"/>
        <w:spacing w:before="80"/>
      </w:pPr>
    </w:p>
    <w:p>
      <w:pPr>
        <w:pStyle w:val="Body A"/>
        <w:spacing w:before="60" w:after="80"/>
      </w:pPr>
      <w:r>
        <w:rPr>
          <w:i w:val="1"/>
          <w:iCs w:val="1"/>
          <w:rtl w:val="0"/>
          <w:lang w:val="en-US"/>
        </w:rPr>
        <w:t xml:space="preserve">Note: Use cases and examples and need to be further identified and </w:t>
      </w:r>
      <w:r>
        <w:rPr>
          <w:i w:val="1"/>
          <w:iCs w:val="1"/>
          <w:rtl w:val="0"/>
        </w:rPr>
        <w:t>analyzed</w:t>
      </w:r>
    </w:p>
    <w:p>
      <w:pPr>
        <w:pStyle w:val="Body A"/>
        <w:spacing w:before="80"/>
      </w:pPr>
    </w:p>
    <w:tbl>
      <w:tblPr>
        <w:tblW w:w="963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8"/>
        <w:gridCol w:w="1383"/>
        <w:gridCol w:w="1975"/>
        <w:gridCol w:w="4292"/>
      </w:tblGrid>
      <w:tr>
        <w:tblPrEx>
          <w:shd w:val="clear" w:color="auto" w:fill="156082"/>
        </w:tblPrEx>
        <w:trPr>
          <w:trHeight w:val="438" w:hRule="atLeast"/>
          <w:tblHeader/>
        </w:trPr>
        <w:tc>
          <w:tcPr>
            <w:tcW w:type="dxa" w:w="198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Use Case</w:t>
            </w:r>
          </w:p>
        </w:tc>
        <w:tc>
          <w:tcPr>
            <w:tcW w:type="dxa" w:w="138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Primary Actor</w:t>
            </w:r>
          </w:p>
        </w:tc>
        <w:tc>
          <w:tcPr>
            <w:tcW w:type="dxa" w:w="1975"/>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Context / Trigger</w:t>
            </w:r>
          </w:p>
        </w:tc>
        <w:tc>
          <w:tcPr>
            <w:tcW w:type="dxa" w:w="429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2e75b6"/>
            <w:tcMar>
              <w:top w:type="dxa" w:w="80"/>
              <w:left w:type="dxa" w:w="80"/>
              <w:bottom w:type="dxa" w:w="80"/>
              <w:right w:type="dxa" w:w="80"/>
            </w:tcMar>
            <w:vAlign w:val="top"/>
          </w:tcPr>
          <w:p>
            <w:pPr>
              <w:pStyle w:val="Body A"/>
            </w:pPr>
            <w:r>
              <w:rPr>
                <w:b w:val="1"/>
                <w:bCs w:val="1"/>
                <w:outline w:val="0"/>
                <w:color w:val="ffffff"/>
                <w:sz w:val="20"/>
                <w:szCs w:val="20"/>
                <w:u w:color="ffffff"/>
                <w:shd w:val="nil" w:color="auto" w:fill="auto"/>
                <w:rtl w:val="0"/>
                <w:lang w:val="en-US"/>
                <w14:textFill>
                  <w14:solidFill>
                    <w14:srgbClr w14:val="FFFFFF"/>
                  </w14:solidFill>
                </w14:textFill>
              </w:rPr>
              <w:t>Description</w:t>
            </w:r>
          </w:p>
        </w:tc>
      </w:tr>
      <w:tr>
        <w:tblPrEx>
          <w:shd w:val="clear" w:color="auto" w:fill="cad1d7"/>
        </w:tblPrEx>
        <w:trPr>
          <w:trHeight w:val="1678" w:hRule="atLeast"/>
        </w:trPr>
        <w:tc>
          <w:tcPr>
            <w:tcW w:type="dxa" w:w="198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1. Assisted Border/Road Check (ANTS)</w:t>
            </w:r>
          </w:p>
        </w:tc>
        <w:tc>
          <w:tcPr>
            <w:tcW w:type="dxa" w:w="138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EMTA (Officer)</w:t>
            </w:r>
          </w:p>
        </w:tc>
        <w:tc>
          <w:tcPr>
            <w:tcW w:type="dxa" w:w="1975"/>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 vehicle passes an ANTS camera at a border crossing or highway.</w:t>
            </w:r>
          </w:p>
        </w:tc>
        <w:tc>
          <w:tcPr>
            <w:tcW w:type="dxa" w:w="429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ANTS system captures the license plate, and based on this detection, an EMTA official initiates a real-time query via EMTA eFTI Intergation Layer / Single system to verify the existence and content of the eFTI CMDS from the Estonian eFTI Gate.</w:t>
            </w:r>
          </w:p>
        </w:tc>
      </w:tr>
      <w:tr>
        <w:tblPrEx>
          <w:shd w:val="clear" w:color="auto" w:fill="cad1d7"/>
        </w:tblPrEx>
        <w:trPr>
          <w:trHeight w:val="1678" w:hRule="atLeast"/>
        </w:trPr>
        <w:tc>
          <w:tcPr>
            <w:tcW w:type="dxa" w:w="198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2. Excise Movement Verification (SADHES/EMCS)</w:t>
            </w:r>
          </w:p>
        </w:tc>
        <w:tc>
          <w:tcPr>
            <w:tcW w:type="dxa" w:w="138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EO</w:t>
            </w:r>
          </w:p>
        </w:tc>
        <w:tc>
          <w:tcPr>
            <w:tcW w:type="dxa" w:w="1975"/>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 user is filing or auditing excise documents in SADHES or EMCS.</w:t>
            </w:r>
          </w:p>
        </w:tc>
        <w:tc>
          <w:tcPr>
            <w:tcW w:type="dxa" w:w="429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EMTA eFTI Intergation Layer / Single system provides the underlying transport documentation (CMR/Waybill) to support excise declarations, ensuring that the physical movement of goods matches the registered transport data. Documents can only be provided via EO request</w:t>
            </w:r>
          </w:p>
        </w:tc>
      </w:tr>
      <w:tr>
        <w:tblPrEx>
          <w:shd w:val="clear" w:color="auto" w:fill="cad1d7"/>
        </w:tblPrEx>
        <w:trPr>
          <w:trHeight w:val="1678" w:hRule="atLeast"/>
        </w:trPr>
        <w:tc>
          <w:tcPr>
            <w:tcW w:type="dxa" w:w="198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3. Retrospective Customs Audit</w:t>
            </w:r>
          </w:p>
        </w:tc>
        <w:tc>
          <w:tcPr>
            <w:tcW w:type="dxa" w:w="138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EMTA (Auditor)</w:t>
            </w:r>
          </w:p>
        </w:tc>
        <w:tc>
          <w:tcPr>
            <w:tcW w:type="dxa" w:w="1975"/>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An auditor reviews a past import/export declaration (up to 7 years old).</w:t>
            </w:r>
          </w:p>
        </w:tc>
        <w:tc>
          <w:tcPr>
            <w:tcW w:type="dxa" w:w="429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ffffff"/>
            <w:tcMar>
              <w:top w:type="dxa" w:w="80"/>
              <w:left w:type="dxa" w:w="80"/>
              <w:bottom w:type="dxa" w:w="80"/>
              <w:right w:type="dxa" w:w="80"/>
            </w:tcMar>
            <w:vAlign w:val="top"/>
          </w:tcPr>
          <w:p>
            <w:pPr>
              <w:pStyle w:val="Body A"/>
            </w:pPr>
            <w:r>
              <w:rPr>
                <w:shd w:val="nil" w:color="auto" w:fill="auto"/>
                <w:rtl w:val="0"/>
                <w:lang w:val="en-US"/>
              </w:rPr>
              <w:t>The auditor uses EMTA eFTI Intergation Layer / Single system to retrieve historical eFTI data associated with customs declarations. EMTA eFTI Integration Layer facilitates access to relevant eFTI platform data or archived metadata for the required 7-year audit period.</w:t>
            </w:r>
          </w:p>
        </w:tc>
      </w:tr>
      <w:tr>
        <w:tblPrEx>
          <w:shd w:val="clear" w:color="auto" w:fill="cad1d7"/>
        </w:tblPrEx>
        <w:trPr>
          <w:trHeight w:val="1678" w:hRule="atLeast"/>
        </w:trPr>
        <w:tc>
          <w:tcPr>
            <w:tcW w:type="dxa" w:w="1988"/>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4. Third-Country Transport Control</w:t>
            </w:r>
          </w:p>
        </w:tc>
        <w:tc>
          <w:tcPr>
            <w:tcW w:type="dxa" w:w="1383"/>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EMTA (Officer)</w:t>
            </w:r>
          </w:p>
        </w:tc>
        <w:tc>
          <w:tcPr>
            <w:tcW w:type="dxa" w:w="1975"/>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A truck from a non-EU country enters or operates within Estonia.</w:t>
            </w:r>
          </w:p>
        </w:tc>
        <w:tc>
          <w:tcPr>
            <w:tcW w:type="dxa" w:w="4292"/>
            <w:tcBorders>
              <w:top w:val="single" w:color="bfbfbf" w:sz="1" w:space="0" w:shadow="0" w:frame="0"/>
              <w:left w:val="single" w:color="bfbfbf" w:sz="1" w:space="0" w:shadow="0" w:frame="0"/>
              <w:bottom w:val="single" w:color="bfbfbf" w:sz="1" w:space="0" w:shadow="0" w:frame="0"/>
              <w:right w:val="single" w:color="bfbfbf" w:sz="1" w:space="0" w:shadow="0" w:frame="0"/>
            </w:tcBorders>
            <w:shd w:val="clear" w:color="auto" w:fill="ebf3fa"/>
            <w:tcMar>
              <w:top w:type="dxa" w:w="80"/>
              <w:left w:type="dxa" w:w="80"/>
              <w:bottom w:type="dxa" w:w="80"/>
              <w:right w:type="dxa" w:w="80"/>
            </w:tcMar>
            <w:vAlign w:val="top"/>
          </w:tcPr>
          <w:p>
            <w:pPr>
              <w:pStyle w:val="Body A"/>
            </w:pPr>
            <w:r>
              <w:rPr>
                <w:shd w:val="nil" w:color="auto" w:fill="auto"/>
                <w:rtl w:val="0"/>
                <w:lang w:val="en-US"/>
              </w:rPr>
              <w:t>EMTA uses NES and EMTA eFTI Integration layer / Single system as a gateway to verify transport documentation for third-country vehicles, ensuring compliance with national and international carriage regulations through the standardized eFTI interface.</w:t>
            </w:r>
          </w:p>
        </w:tc>
      </w:tr>
    </w:tbl>
    <w:p>
      <w:pPr>
        <w:pStyle w:val="Body A"/>
        <w:widowControl w:val="0"/>
        <w:spacing w:before="80"/>
        <w:ind w:left="108" w:hanging="108"/>
      </w:pPr>
      <w:r/>
    </w:p>
    <w:sectPr>
      <w:headerReference w:type="default" r:id="rId14"/>
      <w:footerReference w:type="default" r:id="rId1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90" w:hanging="33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pBdr>
        <w:top w:val="nil"/>
        <w:left w:val="nil"/>
        <w:bottom w:val="single" w:color="2e75b6" w:sz="8" w:space="0" w:shadow="0" w:frame="0"/>
        <w:right w:val="nil"/>
      </w:pBdr>
      <w:shd w:val="clear" w:color="auto" w:fill="auto"/>
      <w:suppressAutoHyphens w:val="0"/>
      <w:bidi w:val="0"/>
      <w:spacing w:before="360" w:after="12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497d"/>
      <w:spacing w:val="0"/>
      <w:kern w:val="0"/>
      <w:position w:val="0"/>
      <w:sz w:val="28"/>
      <w:szCs w:val="28"/>
      <w:u w:val="none" w:color="1f497d"/>
      <w:shd w:val="nil" w:color="auto" w:fill="auto"/>
      <w:vertAlign w:val="baseline"/>
      <w14:textOutline w14:w="12700" w14:cap="flat">
        <w14:noFill/>
        <w14:miter w14:lim="400000"/>
      </w14:textOutline>
      <w14:textFill>
        <w14:solidFill>
          <w14:srgbClr w14:val="1F497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0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2e75b6"/>
      <w:spacing w:val="0"/>
      <w:kern w:val="0"/>
      <w:position w:val="0"/>
      <w:sz w:val="24"/>
      <w:szCs w:val="24"/>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paragraph" w:styleId="heading 4">
    <w:name w:val="heading 4"/>
    <w:next w:val="heading 4"/>
    <w:pPr>
      <w:keepNext w:val="0"/>
      <w:keepLines w:val="0"/>
      <w:pageBreakBefore w:val="0"/>
      <w:widowControl w:val="1"/>
      <w:shd w:val="clear" w:color="auto" w:fill="auto"/>
      <w:suppressAutoHyphens w:val="0"/>
      <w:bidi w:val="0"/>
      <w:spacing w:before="160" w:after="60" w:line="240" w:lineRule="auto"/>
      <w:ind w:left="0" w:right="0" w:firstLine="0"/>
      <w:jc w:val="left"/>
      <w:outlineLvl w:val="2"/>
    </w:pPr>
    <w:rPr>
      <w:rFonts w:ascii="Arial" w:cs="Arial Unicode MS" w:hAnsi="Arial" w:eastAsia="Arial Unicode MS"/>
      <w:b w:val="1"/>
      <w:bCs w:val="1"/>
      <w:i w:val="1"/>
      <w:iCs w:val="1"/>
      <w:caps w:val="0"/>
      <w:smallCaps w:val="0"/>
      <w:strike w:val="0"/>
      <w:dstrike w:val="0"/>
      <w:outline w:val="0"/>
      <w:color w:val="4472c4"/>
      <w:spacing w:val="0"/>
      <w:kern w:val="0"/>
      <w:position w:val="0"/>
      <w:sz w:val="22"/>
      <w:szCs w:val="22"/>
      <w:u w:val="none" w:color="4472c4"/>
      <w:shd w:val="nil" w:color="auto" w:fill="auto"/>
      <w:vertAlign w:val="baseline"/>
      <w:lang w:val="en-US"/>
      <w14:textFill>
        <w14:solidFill>
          <w14:srgbClr w14:val="4472C4"/>
        </w14:solidFill>
      </w14:textFill>
    </w:rPr>
  </w:style>
  <w:style w:type="paragraph" w:styleId="caption">
    <w:name w:val="caption"/>
    <w:next w:val="caption"/>
    <w:pPr>
      <w:keepNext w:val="0"/>
      <w:keepLines w:val="0"/>
      <w:pageBreakBefore w:val="0"/>
      <w:widowControl w:val="1"/>
      <w:shd w:val="clear" w:color="auto" w:fill="auto"/>
      <w:suppressAutoHyphens w:val="0"/>
      <w:bidi w:val="0"/>
      <w:spacing w:before="40" w:after="120" w:line="240" w:lineRule="auto"/>
      <w:ind w:left="0" w:right="0" w:firstLine="0"/>
      <w:jc w:val="center"/>
      <w:outlineLvl w:val="9"/>
    </w:pPr>
    <w:rPr>
      <w:rFonts w:ascii="Arial" w:cs="Arial Unicode MS" w:hAnsi="Arial" w:eastAsia="Arial Unicode MS"/>
      <w:b w:val="0"/>
      <w:bCs w:val="0"/>
      <w:i w:val="1"/>
      <w:iCs w:val="1"/>
      <w:caps w:val="0"/>
      <w:smallCaps w:val="0"/>
      <w:strike w:val="0"/>
      <w:dstrike w:val="0"/>
      <w:outline w:val="0"/>
      <w:color w:val="595959"/>
      <w:spacing w:val="0"/>
      <w:kern w:val="0"/>
      <w:position w:val="0"/>
      <w:sz w:val="18"/>
      <w:szCs w:val="18"/>
      <w:u w:val="none" w:color="595959"/>
      <w:shd w:val="nil" w:color="auto" w:fill="auto"/>
      <w:vertAlign w:val="baseline"/>
      <w:lang w:val="en-US"/>
      <w14:textOutline w14:w="12700" w14:cap="flat">
        <w14:noFill/>
        <w14:miter w14:lim="400000"/>
      </w14:textOutline>
      <w14:textFill>
        <w14:solidFill>
          <w14:srgbClr w14:val="595959"/>
        </w14:solidFill>
      </w14:textFill>
    </w:rPr>
  </w:style>
  <w:style w:type="paragraph" w:styleId="Caption.0">
    <w:name w:val="Caption"/>
    <w:next w:val="Caption.0"/>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