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C1026" w14:textId="77777777" w:rsidR="00442E3A" w:rsidRPr="00254353" w:rsidRDefault="00442E3A" w:rsidP="00254353">
      <w:pPr>
        <w:spacing w:after="240"/>
        <w:jc w:val="center"/>
        <w:rPr>
          <w:b/>
        </w:rPr>
      </w:pPr>
      <w:r w:rsidRPr="00254353">
        <w:rPr>
          <w:b/>
        </w:rPr>
        <w:t>MANAGEMENT RIGHTS LETTER</w:t>
      </w:r>
    </w:p>
    <w:p w14:paraId="044475B9" w14:textId="77777777" w:rsidR="00442E3A" w:rsidRPr="00254353" w:rsidRDefault="00442E3A" w:rsidP="00254353">
      <w:pPr>
        <w:spacing w:after="240"/>
        <w:jc w:val="both"/>
        <w:rPr>
          <w:b/>
          <w:i/>
        </w:rPr>
      </w:pPr>
      <w:r w:rsidRPr="00254353">
        <w:rPr>
          <w:b/>
          <w:i/>
        </w:rPr>
        <w:t>Preliminary Notes</w:t>
      </w:r>
    </w:p>
    <w:p w14:paraId="5164EDAF" w14:textId="77777777" w:rsidR="00442E3A" w:rsidRDefault="00442E3A" w:rsidP="00254353">
      <w:pPr>
        <w:spacing w:after="240"/>
        <w:jc w:val="both"/>
        <w:rPr>
          <w:i/>
        </w:rPr>
      </w:pPr>
      <w:r>
        <w:rPr>
          <w:i/>
        </w:rPr>
        <w:t>The assets of a pension plan subject to the Employee Retirement Security Act of 1974 (</w:t>
      </w:r>
      <w:r w:rsidR="009926F7">
        <w:rPr>
          <w:i/>
        </w:rPr>
        <w:t>“</w:t>
      </w:r>
      <w:r w:rsidRPr="00B81DE6">
        <w:rPr>
          <w:i/>
        </w:rPr>
        <w:t>ERISA</w:t>
      </w:r>
      <w:r w:rsidR="009926F7">
        <w:rPr>
          <w:i/>
        </w:rPr>
        <w:t>”</w:t>
      </w:r>
      <w:r>
        <w:rPr>
          <w:i/>
        </w:rPr>
        <w:t xml:space="preserve">) must be held in trust.  Moreover, the persons responsible for managing those assets have significant fiduciary duties under ERISA and cannot engage in certain transactions prohibited by ERISA.  If a pension plan covered by ERISA (an </w:t>
      </w:r>
      <w:r w:rsidR="009926F7">
        <w:rPr>
          <w:i/>
        </w:rPr>
        <w:t>“</w:t>
      </w:r>
      <w:r w:rsidRPr="00B81DE6">
        <w:rPr>
          <w:i/>
        </w:rPr>
        <w:t>ERISA Plan</w:t>
      </w:r>
      <w:r w:rsidR="009926F7">
        <w:rPr>
          <w:i/>
        </w:rPr>
        <w:t>”</w:t>
      </w:r>
      <w:r>
        <w:rPr>
          <w:i/>
        </w:rPr>
        <w:t>) invests in a venture fund, then all of the fund</w:t>
      </w:r>
      <w:r w:rsidR="009926F7">
        <w:rPr>
          <w:i/>
        </w:rPr>
        <w:t>’</w:t>
      </w:r>
      <w:r>
        <w:rPr>
          <w:i/>
        </w:rPr>
        <w:t>s assets - such as its investments in portfolio companies - are treated as assets of the ERISA Plan, absent an exemption.  As a result, the trust requirement applies, the managing partner of the fund is treated as an ERISA fiduciary, and the fund must comply with the rules regarding prohibited transactions.</w:t>
      </w:r>
    </w:p>
    <w:p w14:paraId="27FF243F" w14:textId="77777777" w:rsidR="00442E3A" w:rsidRDefault="00442E3A" w:rsidP="00254353">
      <w:pPr>
        <w:spacing w:after="240"/>
        <w:jc w:val="both"/>
        <w:rPr>
          <w:i/>
        </w:rPr>
      </w:pPr>
      <w:r>
        <w:rPr>
          <w:i/>
        </w:rPr>
        <w:t xml:space="preserve">The U.S. Department of Labor, which is charged with administering ERISA, has issued regulations that contain certain exemptions from the plan assets rules.  Under one (1) exemption, a venture fund is not deemed to hold ERISA plan assets if it qualifies as a venture capital operating company (a </w:t>
      </w:r>
      <w:r w:rsidR="009926F7">
        <w:rPr>
          <w:i/>
        </w:rPr>
        <w:t>“</w:t>
      </w:r>
      <w:r w:rsidRPr="00B81DE6">
        <w:rPr>
          <w:i/>
        </w:rPr>
        <w:t>VCOC</w:t>
      </w:r>
      <w:r w:rsidR="009926F7">
        <w:rPr>
          <w:i/>
        </w:rPr>
        <w:t>”</w:t>
      </w:r>
      <w:r>
        <w:rPr>
          <w:i/>
        </w:rPr>
        <w:t xml:space="preserve">).  To qualify as a VCOC, the fund must have at least fifty percent (50%) of its assets invested in venture capital investments.  An investment in a portfolio company qualifies as a </w:t>
      </w:r>
      <w:r w:rsidR="009926F7">
        <w:rPr>
          <w:i/>
        </w:rPr>
        <w:t>“</w:t>
      </w:r>
      <w:r>
        <w:rPr>
          <w:i/>
        </w:rPr>
        <w:t>venture capital investment</w:t>
      </w:r>
      <w:r w:rsidR="009926F7">
        <w:rPr>
          <w:i/>
        </w:rPr>
        <w:t>”</w:t>
      </w:r>
      <w:r>
        <w:rPr>
          <w:i/>
        </w:rPr>
        <w:t xml:space="preserve"> if the fund obtains certain management rights with respect to the portfolio company.  </w:t>
      </w:r>
      <w:r w:rsidR="009926F7">
        <w:rPr>
          <w:i/>
        </w:rPr>
        <w:t>“</w:t>
      </w:r>
      <w:r>
        <w:rPr>
          <w:i/>
        </w:rPr>
        <w:t>Management rights,</w:t>
      </w:r>
      <w:r w:rsidR="009926F7">
        <w:rPr>
          <w:i/>
        </w:rPr>
        <w:t>”</w:t>
      </w:r>
      <w:r>
        <w:rPr>
          <w:i/>
        </w:rPr>
        <w:t xml:space="preserve"> in turn, are defined as contractual rights running directly from the portfolio company to the fund that give the fund the right to participate substantially in, or substantially influence the conduct of, the management of the portfolio company.  In addition to obtaining management rights, the fund is also required to actually exercise its management rights with respect to one (1) or more of its portfolio companies every year.</w:t>
      </w:r>
    </w:p>
    <w:p w14:paraId="021E5E48" w14:textId="77777777" w:rsidR="00442E3A" w:rsidRDefault="00442E3A" w:rsidP="00254353">
      <w:pPr>
        <w:spacing w:after="240"/>
        <w:jc w:val="both"/>
        <w:rPr>
          <w:i/>
          <w:sz w:val="20"/>
        </w:rPr>
      </w:pPr>
      <w:r>
        <w:rPr>
          <w:i/>
        </w:rPr>
        <w:t>In order to build a case for an exemption from the ERISA Plan asset rules, a venture fund will generally ask each of its portfolio companies to sign a management rights letter in connection with the fund</w:t>
      </w:r>
      <w:r w:rsidR="009926F7">
        <w:rPr>
          <w:i/>
        </w:rPr>
        <w:t>’</w:t>
      </w:r>
      <w:r>
        <w:rPr>
          <w:i/>
        </w:rPr>
        <w:t>s initial investment.  An example of such a letter follows.</w:t>
      </w:r>
    </w:p>
    <w:p w14:paraId="62139804" w14:textId="77777777" w:rsidR="00442E3A" w:rsidRDefault="00442E3A" w:rsidP="00254353"/>
    <w:p w14:paraId="24BBC393" w14:textId="77777777" w:rsidR="00442E3A" w:rsidRDefault="00442E3A" w:rsidP="00254353">
      <w:pPr>
        <w:pStyle w:val="BodyText"/>
        <w:sectPr w:rsidR="00442E3A" w:rsidSect="009926F7">
          <w:footerReference w:type="default" r:id="rId7"/>
          <w:headerReference w:type="first" r:id="rId8"/>
          <w:footerReference w:type="first" r:id="rId9"/>
          <w:pgSz w:w="12240" w:h="15840" w:code="1"/>
          <w:pgMar w:top="1440" w:right="1440" w:bottom="1440" w:left="1440" w:header="720" w:footer="720" w:gutter="0"/>
          <w:pgNumType w:fmt="lowerRoman" w:start="1"/>
          <w:cols w:space="720"/>
          <w:titlePg/>
          <w:docGrid w:linePitch="326"/>
        </w:sectPr>
      </w:pPr>
    </w:p>
    <w:p w14:paraId="524A9B05" w14:textId="77777777" w:rsidR="00442E3A" w:rsidRDefault="00442E3A" w:rsidP="00254353">
      <w:pPr>
        <w:pStyle w:val="Title"/>
      </w:pPr>
      <w:r>
        <w:lastRenderedPageBreak/>
        <w:t xml:space="preserve">[PORTFOLIO </w:t>
      </w:r>
      <w:r w:rsidRPr="00254353">
        <w:t>COMPANY</w:t>
      </w:r>
      <w:r>
        <w:t xml:space="preserve"> LETTERHEAD]</w:t>
      </w:r>
    </w:p>
    <w:p w14:paraId="1329E6A3" w14:textId="77777777" w:rsidR="00442E3A" w:rsidRDefault="00442E3A" w:rsidP="00254353">
      <w:pPr>
        <w:spacing w:after="240"/>
      </w:pPr>
      <w:r>
        <w:t>[______], 20[__]</w:t>
      </w:r>
    </w:p>
    <w:p w14:paraId="4981AA32" w14:textId="77777777" w:rsidR="00442E3A" w:rsidRDefault="00442E3A" w:rsidP="00254353">
      <w:r>
        <w:t>[Investor Name]</w:t>
      </w:r>
    </w:p>
    <w:p w14:paraId="0E6B15BC" w14:textId="77777777" w:rsidR="00442E3A" w:rsidRDefault="00442E3A" w:rsidP="00254353">
      <w:r>
        <w:t>[Street Address]</w:t>
      </w:r>
    </w:p>
    <w:p w14:paraId="3D2D9168" w14:textId="77777777" w:rsidR="00442E3A" w:rsidRDefault="00442E3A" w:rsidP="00254353">
      <w:pPr>
        <w:spacing w:after="240"/>
      </w:pPr>
      <w:r>
        <w:t>[City], [State] [Zip]</w:t>
      </w:r>
    </w:p>
    <w:p w14:paraId="183020E5" w14:textId="77777777" w:rsidR="00442E3A" w:rsidRDefault="00442E3A" w:rsidP="00254353">
      <w:pPr>
        <w:spacing w:after="240"/>
        <w:jc w:val="both"/>
      </w:pPr>
      <w:r>
        <w:tab/>
        <w:t>Re:</w:t>
      </w:r>
      <w:r>
        <w:tab/>
      </w:r>
      <w:r w:rsidRPr="004C29A3">
        <w:rPr>
          <w:b/>
          <w:bCs/>
        </w:rPr>
        <w:t>Management Rights</w:t>
      </w:r>
    </w:p>
    <w:p w14:paraId="096AAA11" w14:textId="77777777" w:rsidR="00442E3A" w:rsidRDefault="00442E3A" w:rsidP="00254353">
      <w:pPr>
        <w:spacing w:after="240"/>
        <w:jc w:val="both"/>
      </w:pPr>
      <w:r>
        <w:t>Ladies and Gentlemen:</w:t>
      </w:r>
    </w:p>
    <w:p w14:paraId="5C0AFC7B" w14:textId="77777777" w:rsidR="00442E3A" w:rsidRDefault="00442E3A" w:rsidP="00254353">
      <w:pPr>
        <w:pStyle w:val="BodyText"/>
      </w:pPr>
      <w:r>
        <w:t>This letter will confirm our agreement that pursuant to and effective as of your purchase of</w:t>
      </w:r>
      <w:r>
        <w:rPr>
          <w:bCs/>
        </w:rPr>
        <w:t xml:space="preserve"> [________] </w:t>
      </w:r>
      <w:r>
        <w:t xml:space="preserve">shares of Series </w:t>
      </w:r>
      <w:r>
        <w:rPr>
          <w:bCs/>
        </w:rPr>
        <w:t>[_]</w:t>
      </w:r>
      <w:r>
        <w:t xml:space="preserve"> Preferred Stock of </w:t>
      </w:r>
      <w:r>
        <w:rPr>
          <w:bCs/>
        </w:rPr>
        <w:t>[_____________________]</w:t>
      </w:r>
      <w:r>
        <w:t xml:space="preserve"> (the </w:t>
      </w:r>
      <w:r w:rsidR="009926F7">
        <w:t>“</w:t>
      </w:r>
      <w:r>
        <w:rPr>
          <w:b/>
          <w:bCs/>
        </w:rPr>
        <w:t>Company</w:t>
      </w:r>
      <w:r w:rsidR="009926F7">
        <w:t>”</w:t>
      </w:r>
      <w:r>
        <w:t xml:space="preserve">), </w:t>
      </w:r>
      <w:r>
        <w:rPr>
          <w:bCs/>
        </w:rPr>
        <w:t xml:space="preserve"> [</w:t>
      </w:r>
      <w:r>
        <w:rPr>
          <w:bCs/>
          <w:i/>
          <w:iCs/>
        </w:rPr>
        <w:t>Investor Name</w:t>
      </w:r>
      <w:r>
        <w:rPr>
          <w:bCs/>
        </w:rPr>
        <w:t>]</w:t>
      </w:r>
      <w:r>
        <w:t xml:space="preserve"> (the </w:t>
      </w:r>
      <w:r w:rsidR="009926F7">
        <w:t>“</w:t>
      </w:r>
      <w:r>
        <w:rPr>
          <w:b/>
          <w:bCs/>
        </w:rPr>
        <w:t>Investor</w:t>
      </w:r>
      <w:r w:rsidR="009926F7">
        <w:t>”</w:t>
      </w:r>
      <w:r>
        <w:t>) shall be entitled to the following contractual management rights, in addition to any rights to non-public financial information, inspection rights, and other rights specifically provided to all investors in the current financing:</w:t>
      </w:r>
    </w:p>
    <w:p w14:paraId="2C84DE44" w14:textId="77777777" w:rsidR="00442E3A" w:rsidRDefault="00442E3A" w:rsidP="006A0483">
      <w:pPr>
        <w:pStyle w:val="Heading1"/>
      </w:pPr>
      <w:r>
        <w:t>[If Investor is not represented on Company</w:t>
      </w:r>
      <w:r w:rsidR="009926F7">
        <w:t>’</w:t>
      </w:r>
      <w:r>
        <w:t>s Board of Directors, Investor shall be entitled to consult with and advise management of the Company on significant business issues, including management</w:t>
      </w:r>
      <w:r w:rsidR="009926F7">
        <w:t>’</w:t>
      </w:r>
      <w:r>
        <w:t>s proposed annual operating plans, and management will meet with Investor regularly during each year at the Company</w:t>
      </w:r>
      <w:r w:rsidR="009926F7">
        <w:t>’</w:t>
      </w:r>
      <w:r>
        <w:t>s facilities at mutually agreeable times for such consultation and advice and to review progress in achieving said plans.]</w:t>
      </w:r>
      <w:r>
        <w:rPr>
          <w:rStyle w:val="FootnoteReference"/>
        </w:rPr>
        <w:footnoteReference w:id="1"/>
      </w:r>
    </w:p>
    <w:p w14:paraId="004F998B" w14:textId="77777777" w:rsidR="00442E3A" w:rsidRDefault="00442E3A" w:rsidP="006A0483">
      <w:pPr>
        <w:pStyle w:val="Heading1"/>
      </w:pPr>
      <w:r>
        <w:t>[Investor may examine the books and records of the Company and inspect its facilities and may request information at reasonable times and intervals concerning the general status of the Company</w:t>
      </w:r>
      <w:r w:rsidR="009926F7">
        <w:t>’</w:t>
      </w:r>
      <w:r>
        <w:t xml:space="preserve">s financial condition and operations, </w:t>
      </w:r>
      <w:r w:rsidRPr="00891AB7">
        <w:rPr>
          <w:u w:val="single"/>
        </w:rPr>
        <w:t>provided</w:t>
      </w:r>
      <w:r>
        <w:t xml:space="preserve"> that access to highly confidential proprietary information and facilities need not be provided.]</w:t>
      </w:r>
      <w:r>
        <w:rPr>
          <w:rStyle w:val="FootnoteReference"/>
        </w:rPr>
        <w:footnoteReference w:id="2"/>
      </w:r>
    </w:p>
    <w:p w14:paraId="08C21DE0" w14:textId="77777777" w:rsidR="00442E3A" w:rsidRDefault="00442E3A" w:rsidP="006A0483">
      <w:pPr>
        <w:pStyle w:val="Heading1"/>
      </w:pPr>
      <w:r>
        <w:t>[If Investor is not represented on the Company</w:t>
      </w:r>
      <w:r w:rsidR="009926F7">
        <w:t>’</w:t>
      </w:r>
      <w:r>
        <w:t xml:space="preserve">s Board of Directors, the Company shall, concurrently with delivery to the Board of Directors, give a representative of Investor copies of all notices, minutes, consents and other material that the Company provides to its directors, except that the representative may be excluded from access to any material or meeting or portion </w:t>
      </w:r>
      <w:r>
        <w:lastRenderedPageBreak/>
        <w:t>thereof if the Board of Directors determines in good faith, upon advice of counsel, that such exclusion is reasonably necessary to preserve the attorney-client privilege, to protect highly confidential proprietary information, or for other similar reasons.  Upon reasonable notice and at a scheduled meeting of the Board or such other time, if any, as the Board may determine in its sole discretion, such representative may address the Board with respect to Investor</w:t>
      </w:r>
      <w:r w:rsidR="009926F7">
        <w:t>’</w:t>
      </w:r>
      <w:r>
        <w:t>s concerns regarding significant business issues facing the Company.]</w:t>
      </w:r>
      <w:r>
        <w:rPr>
          <w:rStyle w:val="FootnoteReference"/>
        </w:rPr>
        <w:footnoteReference w:id="3"/>
      </w:r>
    </w:p>
    <w:p w14:paraId="1A00CC95" w14:textId="77777777" w:rsidR="00442E3A" w:rsidRDefault="00442E3A" w:rsidP="006A0483">
      <w:pPr>
        <w:pStyle w:val="Heading1"/>
      </w:pPr>
      <w:r>
        <w:t>[</w:t>
      </w:r>
      <w:r w:rsidRPr="00444AF8">
        <w:t>Notwithstanding anything to the contrary</w:t>
      </w:r>
      <w:r>
        <w:t xml:space="preserve"> in this letter agreement</w:t>
      </w:r>
      <w:r w:rsidRPr="00444AF8">
        <w:t xml:space="preserve">, </w:t>
      </w:r>
      <w:r>
        <w:t>solely by reason of becoming party to this letter agreement, Investor</w:t>
      </w:r>
      <w:r w:rsidRPr="00444AF8">
        <w:t xml:space="preserve"> will not obtain with respect to the Company, and the Company will not provide to </w:t>
      </w:r>
      <w:r>
        <w:t>Investor</w:t>
      </w:r>
      <w:r w:rsidRPr="00444AF8">
        <w:t>, any of the following rights, as defined in Section 721 of the Defense Production Act, as amended, including its implementing regulations:</w:t>
      </w:r>
      <w:r>
        <w:t xml:space="preserve"> </w:t>
      </w:r>
      <w:r w:rsidRPr="00444AF8">
        <w:t xml:space="preserve">(a) </w:t>
      </w:r>
      <w:r w:rsidR="009926F7">
        <w:t>“</w:t>
      </w:r>
      <w:r w:rsidRPr="00444AF8">
        <w:t>control</w:t>
      </w:r>
      <w:r w:rsidR="009926F7">
        <w:t>”</w:t>
      </w:r>
      <w:r w:rsidRPr="00444AF8">
        <w:t xml:space="preserve"> of the Company, including the power to determine, direct or decide any important matters </w:t>
      </w:r>
      <w:r>
        <w:t>affecting</w:t>
      </w:r>
      <w:r w:rsidRPr="00444AF8">
        <w:t xml:space="preserve"> the Company; (b) membership or observer rights on the Board of Directors </w:t>
      </w:r>
      <w:r>
        <w:t xml:space="preserve">or equivalent body </w:t>
      </w:r>
      <w:r w:rsidRPr="00444AF8">
        <w:t>of the Company</w:t>
      </w:r>
      <w:r>
        <w:t>,</w:t>
      </w:r>
      <w:r w:rsidRPr="00444AF8">
        <w:t xml:space="preserve"> or the right to nominate an individual to a position on the Board of Directors </w:t>
      </w:r>
      <w:r>
        <w:t xml:space="preserve">or equivalent body </w:t>
      </w:r>
      <w:r w:rsidRPr="00444AF8">
        <w:t xml:space="preserve">of the Company; (c) access to any </w:t>
      </w:r>
      <w:r w:rsidR="009926F7">
        <w:t>“</w:t>
      </w:r>
      <w:r w:rsidRPr="00444AF8">
        <w:t>material nonpublic technical information</w:t>
      </w:r>
      <w:r w:rsidR="009926F7">
        <w:t>”</w:t>
      </w:r>
      <w:r w:rsidRPr="00444AF8">
        <w:t xml:space="preserve"> in the possession of the Company </w:t>
      </w:r>
      <w:r>
        <w:t>[(</w:t>
      </w:r>
      <w:r w:rsidRPr="00891AB7">
        <w:rPr>
          <w:u w:val="single"/>
        </w:rPr>
        <w:t>provided</w:t>
      </w:r>
      <w:r w:rsidRPr="00444AF8">
        <w:t xml:space="preserve">, </w:t>
      </w:r>
      <w:r w:rsidRPr="00891AB7">
        <w:rPr>
          <w:u w:val="single"/>
        </w:rPr>
        <w:t>however</w:t>
      </w:r>
      <w:r w:rsidRPr="00444AF8">
        <w:t>, that such prohibited information shall not include financial information</w:t>
      </w:r>
      <w:r>
        <w:t xml:space="preserve"> regarding the performance of the Company</w:t>
      </w:r>
      <w:r w:rsidRPr="00444AF8">
        <w:t xml:space="preserve">, and </w:t>
      </w:r>
      <w:r w:rsidRPr="00891AB7">
        <w:rPr>
          <w:u w:val="single"/>
        </w:rPr>
        <w:t>provided</w:t>
      </w:r>
      <w:r w:rsidRPr="00444AF8">
        <w:t xml:space="preserve"> </w:t>
      </w:r>
      <w:r w:rsidRPr="00891AB7">
        <w:rPr>
          <w:u w:val="single"/>
        </w:rPr>
        <w:t>further</w:t>
      </w:r>
      <w:r w:rsidRPr="00444AF8">
        <w:t xml:space="preserve"> that </w:t>
      </w:r>
      <w:r>
        <w:t xml:space="preserve">Investor </w:t>
      </w:r>
      <w:r w:rsidRPr="00444AF8">
        <w:t>may confer with the Company about such financial information)</w:t>
      </w:r>
      <w:r>
        <w:t>]</w:t>
      </w:r>
      <w:r w:rsidRPr="00444AF8">
        <w:t xml:space="preserve">; and (d) any </w:t>
      </w:r>
      <w:r w:rsidR="009926F7">
        <w:t>“</w:t>
      </w:r>
      <w:r w:rsidRPr="00444AF8">
        <w:t>involvement</w:t>
      </w:r>
      <w:r w:rsidR="009926F7">
        <w:t>”</w:t>
      </w:r>
      <w:r w:rsidRPr="00444AF8">
        <w:t xml:space="preserve"> (other than through voting of shares) in </w:t>
      </w:r>
      <w:r w:rsidR="009926F7">
        <w:t>“</w:t>
      </w:r>
      <w:r w:rsidRPr="00444AF8">
        <w:t>substantive decision</w:t>
      </w:r>
      <w:r>
        <w:t xml:space="preserve"> </w:t>
      </w:r>
      <w:r w:rsidRPr="00444AF8">
        <w:t>making</w:t>
      </w:r>
      <w:r w:rsidR="009926F7">
        <w:t>”</w:t>
      </w:r>
      <w:r w:rsidRPr="00444AF8">
        <w:t xml:space="preserve"> of the Company regarding (i) the use, development, acquisition, safekeeping, or release of </w:t>
      </w:r>
      <w:r w:rsidR="009926F7">
        <w:t>“</w:t>
      </w:r>
      <w:r w:rsidRPr="00444AF8">
        <w:t>sensitive personal data</w:t>
      </w:r>
      <w:r w:rsidR="009926F7">
        <w:t>”</w:t>
      </w:r>
      <w:r w:rsidRPr="00444AF8">
        <w:t xml:space="preserve"> of U.S. citizens maintained or collected by the Company, (ii) the use, development, acquisition, or release of </w:t>
      </w:r>
      <w:r w:rsidR="009926F7">
        <w:t>“</w:t>
      </w:r>
      <w:r w:rsidRPr="00444AF8">
        <w:t>critical technologies,</w:t>
      </w:r>
      <w:r w:rsidR="009926F7">
        <w:t>”</w:t>
      </w:r>
      <w:r w:rsidRPr="00444AF8">
        <w:t xml:space="preserve"> or (iii) the management, operation, manufacture, or supply of </w:t>
      </w:r>
      <w:r w:rsidR="009926F7">
        <w:t>“</w:t>
      </w:r>
      <w:r w:rsidRPr="00444AF8">
        <w:t>covered investment critical infrastructure</w:t>
      </w:r>
      <w:r>
        <w:t>.</w:t>
      </w:r>
      <w:r w:rsidR="009926F7">
        <w:t>”</w:t>
      </w:r>
      <w:r>
        <w:rPr>
          <w:rStyle w:val="FootnoteReference"/>
        </w:rPr>
        <w:footnoteReference w:id="4"/>
      </w:r>
    </w:p>
    <w:p w14:paraId="2BB52672" w14:textId="77777777" w:rsidR="00442E3A" w:rsidRDefault="00442E3A" w:rsidP="00254353">
      <w:pPr>
        <w:pStyle w:val="BodyText"/>
        <w:rPr>
          <w:b/>
          <w:bCs/>
        </w:rPr>
      </w:pPr>
      <w:r>
        <w:t>Investor agrees that any confidential information provided to or learned by it in connection with its rights under this letter shall be subject to the confidentiality provisions set forth in that certain Investors</w:t>
      </w:r>
      <w:r w:rsidR="009926F7">
        <w:t>’</w:t>
      </w:r>
      <w:r>
        <w:t xml:space="preserve"> Rights Agreement of even date herewith by and among the Company, the </w:t>
      </w:r>
      <w:r>
        <w:lastRenderedPageBreak/>
        <w:t>Investor and other investors.</w:t>
      </w:r>
      <w:r>
        <w:rPr>
          <w:rStyle w:val="FootnoteReference"/>
        </w:rPr>
        <w:footnoteReference w:id="5"/>
      </w:r>
      <w:r>
        <w:t xml:space="preserve">  </w:t>
      </w:r>
    </w:p>
    <w:p w14:paraId="5F90A217" w14:textId="2D2F1187" w:rsidR="00442E3A" w:rsidRDefault="00442E3A" w:rsidP="00254353">
      <w:pPr>
        <w:pStyle w:val="BodyText"/>
      </w:pPr>
      <w:r>
        <w:t>The rights described herein shall terminate and be of no further force or effect upon (a) such time as no shares of the Company</w:t>
      </w:r>
      <w:r w:rsidR="009926F7">
        <w:t>’</w:t>
      </w:r>
      <w:r>
        <w:t>s stock are held by the Investor or its affiliates; (b) the consummation of the sale of the Company</w:t>
      </w:r>
      <w:r w:rsidR="009926F7">
        <w:t>’</w:t>
      </w:r>
      <w:r>
        <w:t xml:space="preserve">s securities pursuant to a registration statement filed by the Company under the Securities Act of 1933, as amended, in connection with the firm commitment underwritten offering of its securities to the general public; </w:t>
      </w:r>
      <w:r>
        <w:rPr>
          <w:snapToGrid w:val="0"/>
          <w:color w:val="000000"/>
        </w:rPr>
        <w:t>or (c) the consummation of a merger or consolidation of the Company [(x)] that is effected (i) for independent business reasons unrelated to extinguishing such rights; and (ii) for purposes other than (A) the reincorporation of the Company in a different state; or (B) the formation of a holding company that will be owned exclusively by the Company</w:t>
      </w:r>
      <w:r w:rsidR="009926F7">
        <w:rPr>
          <w:snapToGrid w:val="0"/>
          <w:color w:val="000000"/>
        </w:rPr>
        <w:t>’</w:t>
      </w:r>
      <w:r>
        <w:rPr>
          <w:snapToGrid w:val="0"/>
          <w:color w:val="000000"/>
        </w:rPr>
        <w:t>s stockholders and will hold all of the outstanding shares of capital stock of the Company</w:t>
      </w:r>
      <w:r w:rsidR="009926F7">
        <w:rPr>
          <w:snapToGrid w:val="0"/>
          <w:color w:val="000000"/>
        </w:rPr>
        <w:t>’</w:t>
      </w:r>
      <w:r>
        <w:rPr>
          <w:snapToGrid w:val="0"/>
          <w:color w:val="000000"/>
        </w:rPr>
        <w:t>s successor and [(y) in which the successor entity provides reasonably comparable rights to the Investor or the consideration payable to the Investor in such transaction consists solely of cash or sec</w:t>
      </w:r>
      <w:r w:rsidR="005A5148">
        <w:rPr>
          <w:snapToGrid w:val="0"/>
          <w:color w:val="000000"/>
        </w:rPr>
        <w:t>u</w:t>
      </w:r>
      <w:r>
        <w:rPr>
          <w:snapToGrid w:val="0"/>
          <w:color w:val="000000"/>
        </w:rPr>
        <w:t>rities of a class listed on a national exchange].  The confidentiality obligations referenced herein will survive any such termination</w:t>
      </w:r>
      <w:r>
        <w:t>.</w:t>
      </w:r>
    </w:p>
    <w:p w14:paraId="4AA7372A" w14:textId="77777777" w:rsidR="00442E3A" w:rsidRDefault="00442E3A" w:rsidP="00036AF4">
      <w:pPr>
        <w:spacing w:before="240"/>
        <w:jc w:val="center"/>
      </w:pPr>
      <w:r w:rsidRPr="00666C6B">
        <w:t>[Signature Page Follows]</w:t>
      </w:r>
    </w:p>
    <w:p w14:paraId="0BFC3082" w14:textId="77777777" w:rsidR="00442E3A" w:rsidRDefault="00442E3A" w:rsidP="00254353">
      <w:pPr>
        <w:pStyle w:val="BodyText"/>
      </w:pPr>
    </w:p>
    <w:p w14:paraId="64DDB46E" w14:textId="77777777" w:rsidR="00442E3A" w:rsidRDefault="00442E3A" w:rsidP="00254353">
      <w:pPr>
        <w:tabs>
          <w:tab w:val="left" w:pos="4320"/>
          <w:tab w:val="left" w:pos="5040"/>
          <w:tab w:val="left" w:pos="9360"/>
        </w:tabs>
        <w:spacing w:after="240"/>
        <w:jc w:val="both"/>
        <w:sectPr w:rsidR="00442E3A" w:rsidSect="007A0179">
          <w:footerReference w:type="default" r:id="rId10"/>
          <w:footerReference w:type="first" r:id="rId11"/>
          <w:pgSz w:w="12240" w:h="15840" w:code="1"/>
          <w:pgMar w:top="1440" w:right="1440" w:bottom="1440" w:left="1440" w:header="720" w:footer="720" w:gutter="0"/>
          <w:pgNumType w:start="1"/>
          <w:cols w:space="720"/>
          <w:docGrid w:linePitch="326"/>
        </w:sectPr>
      </w:pPr>
    </w:p>
    <w:p w14:paraId="285FCB8F" w14:textId="77777777" w:rsidR="00442E3A" w:rsidRDefault="00442E3A" w:rsidP="00254353">
      <w:pPr>
        <w:tabs>
          <w:tab w:val="left" w:pos="4320"/>
          <w:tab w:val="left" w:pos="5040"/>
          <w:tab w:val="left" w:pos="9360"/>
        </w:tabs>
        <w:spacing w:after="240"/>
        <w:jc w:val="both"/>
      </w:pPr>
      <w:r>
        <w:lastRenderedPageBreak/>
        <w:t>Very truly yours,</w:t>
      </w:r>
      <w:r>
        <w:tab/>
      </w:r>
      <w:r>
        <w:tab/>
        <w:t>Agreed and Accepted:</w:t>
      </w:r>
    </w:p>
    <w:p w14:paraId="7E11007E" w14:textId="77777777" w:rsidR="00442E3A" w:rsidRDefault="00442E3A" w:rsidP="00254353">
      <w:pPr>
        <w:tabs>
          <w:tab w:val="left" w:pos="4320"/>
          <w:tab w:val="left" w:pos="5040"/>
          <w:tab w:val="left" w:pos="9360"/>
        </w:tabs>
        <w:spacing w:after="480"/>
        <w:jc w:val="both"/>
      </w:pPr>
      <w:r>
        <w:t>[INVESTOR]</w:t>
      </w:r>
      <w:r>
        <w:tab/>
      </w:r>
      <w:r>
        <w:tab/>
        <w:t>[COMPANY]</w:t>
      </w:r>
    </w:p>
    <w:p w14:paraId="6D4CCFEA" w14:textId="77777777" w:rsidR="00442E3A" w:rsidRDefault="00442E3A" w:rsidP="00254353">
      <w:pPr>
        <w:tabs>
          <w:tab w:val="left" w:pos="4320"/>
          <w:tab w:val="left" w:pos="5040"/>
          <w:tab w:val="left" w:pos="9360"/>
        </w:tabs>
        <w:spacing w:after="120"/>
        <w:jc w:val="both"/>
        <w:rPr>
          <w:u w:val="single"/>
        </w:rPr>
      </w:pPr>
      <w:r>
        <w:t>By:</w:t>
      </w:r>
      <w:r>
        <w:rPr>
          <w:u w:val="single"/>
        </w:rPr>
        <w:tab/>
      </w:r>
      <w:r w:rsidRPr="00254353">
        <w:tab/>
      </w:r>
      <w:r>
        <w:t>By:</w:t>
      </w:r>
      <w:r>
        <w:rPr>
          <w:u w:val="single"/>
        </w:rPr>
        <w:tab/>
      </w:r>
    </w:p>
    <w:p w14:paraId="36D144CF" w14:textId="77777777" w:rsidR="00442E3A" w:rsidRDefault="00442E3A" w:rsidP="00254353">
      <w:pPr>
        <w:tabs>
          <w:tab w:val="left" w:pos="4320"/>
          <w:tab w:val="left" w:pos="5040"/>
          <w:tab w:val="left" w:pos="9360"/>
        </w:tabs>
        <w:spacing w:after="120"/>
        <w:jc w:val="both"/>
      </w:pPr>
      <w:r>
        <w:t>Name:</w:t>
      </w:r>
      <w:r>
        <w:rPr>
          <w:u w:val="single"/>
        </w:rPr>
        <w:tab/>
      </w:r>
      <w:r w:rsidRPr="00254353">
        <w:tab/>
      </w:r>
      <w:r>
        <w:t>Name:</w:t>
      </w:r>
      <w:r>
        <w:rPr>
          <w:u w:val="single"/>
        </w:rPr>
        <w:tab/>
      </w:r>
    </w:p>
    <w:p w14:paraId="15499C55" w14:textId="77777777" w:rsidR="00442E3A" w:rsidRDefault="00442E3A" w:rsidP="00254353">
      <w:pPr>
        <w:tabs>
          <w:tab w:val="left" w:pos="4320"/>
          <w:tab w:val="left" w:pos="5040"/>
          <w:tab w:val="left" w:pos="9360"/>
        </w:tabs>
        <w:jc w:val="both"/>
        <w:rPr>
          <w:u w:val="single"/>
        </w:rPr>
      </w:pPr>
      <w:r>
        <w:t>Title:</w:t>
      </w:r>
      <w:r>
        <w:rPr>
          <w:u w:val="single"/>
        </w:rPr>
        <w:tab/>
      </w:r>
      <w:r>
        <w:tab/>
        <w:t>Title:</w:t>
      </w:r>
      <w:r>
        <w:rPr>
          <w:u w:val="single"/>
        </w:rPr>
        <w:tab/>
      </w:r>
    </w:p>
    <w:sectPr w:rsidR="00442E3A" w:rsidSect="007A0179">
      <w:headerReference w:type="default" r:id="rId12"/>
      <w:footerReference w:type="default" r:id="rId1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39C606" w14:textId="77777777" w:rsidR="008B1B2B" w:rsidRDefault="008B1B2B" w:rsidP="00442E3A">
      <w:r>
        <w:separator/>
      </w:r>
    </w:p>
  </w:endnote>
  <w:endnote w:type="continuationSeparator" w:id="0">
    <w:p w14:paraId="6D30D1D5" w14:textId="77777777" w:rsidR="008B1B2B" w:rsidRDefault="008B1B2B" w:rsidP="00442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F09E1" w14:textId="77777777" w:rsidR="00442E3A" w:rsidRDefault="00442E3A" w:rsidP="00740EA0">
    <w:pPr>
      <w:pStyle w:val="Footer"/>
      <w:tabs>
        <w:tab w:val="clear" w:pos="4320"/>
        <w:tab w:val="center" w:pos="4680"/>
        <w:tab w:val="right" w:pos="9360"/>
      </w:tabs>
    </w:pPr>
    <w:r w:rsidRPr="003506B6">
      <w:rPr>
        <w:sz w:val="20"/>
      </w:rPr>
      <w:t>Last Updated July 2020</w:t>
    </w:r>
    <w:r>
      <w:rPr>
        <w:sz w:val="20"/>
      </w:rPr>
      <w:tab/>
    </w:r>
    <w:r w:rsidRPr="00740EA0">
      <w:rPr>
        <w:noProof w:val="0"/>
      </w:rPr>
      <w:fldChar w:fldCharType="begin"/>
    </w:r>
    <w:r w:rsidRPr="00740EA0">
      <w:instrText xml:space="preserve"> PAGE   \* MERGEFORMAT </w:instrText>
    </w:r>
    <w:r w:rsidRPr="00740EA0">
      <w:rPr>
        <w:noProof w:val="0"/>
      </w:rPr>
      <w:fldChar w:fldCharType="separate"/>
    </w:r>
    <w:r w:rsidRPr="00740EA0">
      <w:t>1</w:t>
    </w:r>
    <w:r w:rsidRPr="00740EA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BB473" w14:textId="77777777" w:rsidR="00442E3A" w:rsidRDefault="00442E3A" w:rsidP="00740EA0">
    <w:pPr>
      <w:pStyle w:val="Footer"/>
      <w:tabs>
        <w:tab w:val="right" w:pos="9360"/>
      </w:tabs>
      <w:rPr>
        <w:sz w:val="16"/>
        <w:szCs w:val="16"/>
      </w:rPr>
    </w:pPr>
    <w:r w:rsidRPr="003506B6">
      <w:rPr>
        <w:sz w:val="20"/>
      </w:rPr>
      <w:t>Last Updated July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A33CF" w14:textId="77777777" w:rsidR="00442E3A" w:rsidRPr="00740EA0" w:rsidRDefault="00442E3A" w:rsidP="00740EA0">
    <w:pPr>
      <w:pStyle w:val="Footer"/>
      <w:tabs>
        <w:tab w:val="clear" w:pos="4320"/>
        <w:tab w:val="center" w:pos="4680"/>
      </w:tabs>
    </w:pPr>
    <w:r w:rsidRPr="00D96F2B">
      <w:rPr>
        <w:sz w:val="20"/>
      </w:rPr>
      <w:t>Last Updated July 2020</w:t>
    </w:r>
    <w:r w:rsidRPr="002F7CEB">
      <w:rPr>
        <w:sz w:val="16"/>
      </w:rPr>
      <w:tab/>
    </w:r>
    <w:r w:rsidRPr="00690140">
      <w:rPr>
        <w:rStyle w:val="PageNumber"/>
        <w:szCs w:val="24"/>
      </w:rPr>
      <w:fldChar w:fldCharType="begin"/>
    </w:r>
    <w:r w:rsidRPr="00690140">
      <w:rPr>
        <w:rStyle w:val="PageNumber"/>
        <w:szCs w:val="24"/>
      </w:rPr>
      <w:instrText xml:space="preserve">PAGE  </w:instrText>
    </w:r>
    <w:r w:rsidRPr="00690140">
      <w:rPr>
        <w:rStyle w:val="PageNumber"/>
        <w:szCs w:val="24"/>
      </w:rPr>
      <w:fldChar w:fldCharType="separate"/>
    </w:r>
    <w:r>
      <w:rPr>
        <w:rStyle w:val="PageNumber"/>
      </w:rPr>
      <w:t>40</w:t>
    </w:r>
    <w:r w:rsidRPr="00690140">
      <w:rPr>
        <w:rStyle w:val="PageNumber"/>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3AC18" w14:textId="77777777" w:rsidR="00442E3A" w:rsidRDefault="00442E3A">
    <w:pPr>
      <w:pStyle w:val="Footer"/>
      <w:rPr>
        <w:szCs w:val="18"/>
      </w:rPr>
    </w:pPr>
    <w:r>
      <w:rPr>
        <w:sz w:val="16"/>
      </w:rPr>
      <w:t>Last updated July 2020</w:t>
    </w:r>
    <w:r>
      <w:rPr>
        <w:sz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F4336" w14:textId="77777777" w:rsidR="00036AF4" w:rsidRPr="00036AF4" w:rsidRDefault="00036AF4" w:rsidP="00036AF4">
    <w:pPr>
      <w:pStyle w:val="Footer"/>
      <w:tabs>
        <w:tab w:val="clear" w:pos="4320"/>
        <w:tab w:val="center" w:pos="4680"/>
      </w:tabs>
      <w:spacing w:after="240"/>
      <w:jc w:val="center"/>
      <w:rPr>
        <w:smallCaps/>
        <w:sz w:val="20"/>
      </w:rPr>
    </w:pPr>
    <w:r w:rsidRPr="00036AF4">
      <w:rPr>
        <w:smallCaps/>
        <w:sz w:val="20"/>
      </w:rPr>
      <w:t>Signature Page to Management Rights Letter</w:t>
    </w:r>
  </w:p>
  <w:p w14:paraId="17925C64" w14:textId="77777777" w:rsidR="00036AF4" w:rsidRPr="00740EA0" w:rsidRDefault="00036AF4" w:rsidP="00740EA0">
    <w:pPr>
      <w:pStyle w:val="Footer"/>
      <w:tabs>
        <w:tab w:val="clear" w:pos="4320"/>
        <w:tab w:val="center" w:pos="4680"/>
      </w:tabs>
    </w:pPr>
    <w:r w:rsidRPr="00D96F2B">
      <w:rPr>
        <w:sz w:val="20"/>
      </w:rPr>
      <w:t>Last Updated July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B480A" w14:textId="77777777" w:rsidR="008B1B2B" w:rsidRDefault="008B1B2B" w:rsidP="00442E3A">
      <w:r>
        <w:separator/>
      </w:r>
    </w:p>
  </w:footnote>
  <w:footnote w:type="continuationSeparator" w:id="0">
    <w:p w14:paraId="5D8D7C99" w14:textId="77777777" w:rsidR="008B1B2B" w:rsidRDefault="008B1B2B" w:rsidP="00442E3A">
      <w:r>
        <w:continuationSeparator/>
      </w:r>
    </w:p>
  </w:footnote>
  <w:footnote w:id="1">
    <w:p w14:paraId="365E63D2" w14:textId="77777777" w:rsidR="00442E3A" w:rsidRPr="004B1FBB" w:rsidRDefault="00442E3A" w:rsidP="00254353">
      <w:pPr>
        <w:pStyle w:val="FootnoteText"/>
      </w:pPr>
      <w:r w:rsidRPr="00C3075D">
        <w:rPr>
          <w:rStyle w:val="FootnoteReference"/>
        </w:rPr>
        <w:footnoteRef/>
      </w:r>
      <w:r w:rsidRPr="004B1FBB">
        <w:tab/>
        <w:t xml:space="preserve">For an investor that is a “foreign person” within the meaning of the regulations of the Committee on Foreign Investment in the United States (“CFIUS”), this provision may need to be removed if the parties intend to ensure that the foreign investor has no rights with respect to the Company that would subject their investment to CFIUS jurisdiction.  Examples of such rights include (i) “control” of the Company as that term is broadly defined in the CFIUS regulations, (ii) access to “material nonpublic technical information” in the Company’s possession, or (iii) “involvement” in “substantive decisionmaking” by the Company regarding certain matters as those terms are defined in the CFIUS regulations. </w:t>
      </w:r>
      <w:r>
        <w:t xml:space="preserve"> Note, however, that the more provisions of this agreement that are removed, the less clear it will be that the VCOC exemption will be satisfied by this MRL. </w:t>
      </w:r>
      <w:r w:rsidRPr="004B1FBB">
        <w:t xml:space="preserve"> </w:t>
      </w:r>
      <w:r w:rsidRPr="00891AB7">
        <w:t>See also</w:t>
      </w:r>
      <w:r w:rsidRPr="004B1FBB">
        <w:t xml:space="preserve"> footnote</w:t>
      </w:r>
      <w:r>
        <w:t>s 2-4</w:t>
      </w:r>
      <w:r w:rsidRPr="004B1FBB">
        <w:t xml:space="preserve"> below.</w:t>
      </w:r>
      <w:r>
        <w:t xml:space="preserve"> </w:t>
      </w:r>
    </w:p>
  </w:footnote>
  <w:footnote w:id="2">
    <w:p w14:paraId="5E28515E" w14:textId="77777777" w:rsidR="00442E3A" w:rsidRPr="004B1FBB" w:rsidRDefault="00442E3A" w:rsidP="00254353">
      <w:pPr>
        <w:pStyle w:val="FootnoteText"/>
      </w:pPr>
      <w:r w:rsidRPr="004B1FBB">
        <w:rPr>
          <w:rStyle w:val="FootnoteReference"/>
        </w:rPr>
        <w:footnoteRef/>
      </w:r>
      <w:r w:rsidRPr="004B1FBB">
        <w:tab/>
        <w:t xml:space="preserve">For the same reasons discussed in footnote 1 above, “foreign person” investors and the Company may wish limit this provision </w:t>
      </w:r>
      <w:r>
        <w:t xml:space="preserve">so </w:t>
      </w:r>
      <w:r w:rsidRPr="004B1FBB">
        <w:t xml:space="preserve">that foreign investors </w:t>
      </w:r>
      <w:r>
        <w:t xml:space="preserve">only </w:t>
      </w:r>
      <w:r w:rsidRPr="004B1FBB">
        <w:t>have the right to receive and examin</w:t>
      </w:r>
      <w:r>
        <w:t>e</w:t>
      </w:r>
      <w:r w:rsidRPr="004B1FBB">
        <w:t xml:space="preserve"> records relating to “financial information” </w:t>
      </w:r>
      <w:r>
        <w:t xml:space="preserve">and similar data </w:t>
      </w:r>
      <w:r w:rsidRPr="004B1FBB">
        <w:t xml:space="preserve">regarding the Company’s performance.  Extending the </w:t>
      </w:r>
      <w:r>
        <w:t xml:space="preserve">foreign investor’s </w:t>
      </w:r>
      <w:r w:rsidRPr="004B1FBB">
        <w:t>right</w:t>
      </w:r>
      <w:r>
        <w:t>s</w:t>
      </w:r>
      <w:r w:rsidRPr="004B1FBB">
        <w:t xml:space="preserve"> to include the </w:t>
      </w:r>
      <w:r>
        <w:t xml:space="preserve">more general </w:t>
      </w:r>
      <w:r w:rsidRPr="004B1FBB">
        <w:t>inspection of facilities and other books and records (</w:t>
      </w:r>
      <w:r w:rsidRPr="004B1FBB">
        <w:rPr>
          <w:i/>
        </w:rPr>
        <w:t>e.g.</w:t>
      </w:r>
      <w:r w:rsidRPr="004B1FBB">
        <w:t xml:space="preserve">, operating budgets, business plans, </w:t>
      </w:r>
      <w:r w:rsidRPr="004B1FBB">
        <w:rPr>
          <w:i/>
        </w:rPr>
        <w:t>etc</w:t>
      </w:r>
      <w:r w:rsidRPr="004B1FBB">
        <w:t>.) could implicate information that would trigger CFIUS jurisdiction.  Because such limitations will be unappealig to foreign investors, restricting access to financial information</w:t>
      </w:r>
      <w:r>
        <w:t xml:space="preserve"> alone</w:t>
      </w:r>
      <w:r w:rsidRPr="004B1FBB">
        <w:t xml:space="preserve"> will likely make sense only where a mandatory CFIUS filing </w:t>
      </w:r>
      <w:r>
        <w:t>could potentially</w:t>
      </w:r>
      <w:r w:rsidRPr="004B1FBB">
        <w:t xml:space="preserve"> be triggered if broader access is permitted</w:t>
      </w:r>
      <w:r>
        <w:t xml:space="preserve"> or where the Company wants to take the strongest possible position against any potential CFIUS jurisdiction</w:t>
      </w:r>
      <w:r w:rsidRPr="004B1FBB">
        <w:t xml:space="preserve">.  </w:t>
      </w:r>
    </w:p>
  </w:footnote>
  <w:footnote w:id="3">
    <w:p w14:paraId="4BC67A6F" w14:textId="77777777" w:rsidR="00442E3A" w:rsidRPr="004B1FBB" w:rsidRDefault="00442E3A" w:rsidP="00254353">
      <w:pPr>
        <w:pStyle w:val="FootnoteText"/>
      </w:pPr>
      <w:r w:rsidRPr="004B1FBB">
        <w:rPr>
          <w:rStyle w:val="FootnoteReference"/>
        </w:rPr>
        <w:footnoteRef/>
      </w:r>
      <w:r w:rsidRPr="004B1FBB">
        <w:t xml:space="preserve"> </w:t>
      </w:r>
      <w:r w:rsidRPr="004B1FBB">
        <w:tab/>
        <w:t>For the re</w:t>
      </w:r>
      <w:r>
        <w:t>a</w:t>
      </w:r>
      <w:r w:rsidRPr="004B1FBB">
        <w:t xml:space="preserve">sons discussed in footnotes 1 and 2, this provision may </w:t>
      </w:r>
      <w:r>
        <w:t xml:space="preserve">also </w:t>
      </w:r>
      <w:r w:rsidRPr="004B1FBB">
        <w:t>need to be removed if the parties intend to ensure that a foreign investor has no rights that may subject the investment to CFIUS jurisdiction.</w:t>
      </w:r>
    </w:p>
  </w:footnote>
  <w:footnote w:id="4">
    <w:p w14:paraId="1853D4C2" w14:textId="5168919C" w:rsidR="00442E3A" w:rsidRPr="004B1FBB" w:rsidRDefault="00442E3A" w:rsidP="00254353">
      <w:pPr>
        <w:pStyle w:val="FootnoteText"/>
      </w:pPr>
      <w:r w:rsidRPr="004B1FBB">
        <w:rPr>
          <w:rStyle w:val="FootnoteReference"/>
        </w:rPr>
        <w:footnoteRef/>
      </w:r>
      <w:r w:rsidRPr="004B1FBB">
        <w:t xml:space="preserve"> </w:t>
      </w:r>
      <w:r w:rsidRPr="004B1FBB">
        <w:tab/>
        <w:t>For an investor that is a “foreign person” within the meaning of the CFIUS regulations, this provision should be included to ensure that the parties are excluding the grant of any rights to that investor that may trigger CFIUS jurisdiction.  The bracketed carve-out to this exclusion language clarif</w:t>
      </w:r>
      <w:r w:rsidR="008C15E9">
        <w:t>ies</w:t>
      </w:r>
      <w:r w:rsidRPr="004B1FBB">
        <w:t xml:space="preserve"> that Investor shall not be prohibited from receiving “financial information” regarding the Company’s performance, which is expressly permissible under the CFIUS regulations.  Including the financial information carve-out signals that at least limited management rights will be granted to Investor, though the broad limitations on Investor rights in this provision may create concerns with respect to the availability of the VCOC exemption for certain investment plans subject to ERISA, as discussed in the Preliminary Note, above.</w:t>
      </w:r>
    </w:p>
    <w:p w14:paraId="6315E78C" w14:textId="77777777" w:rsidR="00442E3A" w:rsidRPr="004B1FBB" w:rsidRDefault="00442E3A" w:rsidP="00254353">
      <w:pPr>
        <w:pStyle w:val="FootnoteTextContinued"/>
      </w:pPr>
      <w:r w:rsidRPr="004B1FBB">
        <w:t>Note:  As an alternative to a narrow carve-out regarding “financial information,” the parties could broaden the carve-out to encompass customary information and inspection rights (</w:t>
      </w:r>
      <w:r w:rsidRPr="004B1FBB">
        <w:rPr>
          <w:i/>
        </w:rPr>
        <w:t>e.g.</w:t>
      </w:r>
      <w:r w:rsidRPr="004B1FBB">
        <w:t>, the right to inspect all of the Company’s books, records, and facilities)</w:t>
      </w:r>
      <w:r w:rsidRPr="005A6218">
        <w:t xml:space="preserve"> </w:t>
      </w:r>
      <w:r>
        <w:t>or otherwise to participate</w:t>
      </w:r>
      <w:r w:rsidRPr="004B1FBB">
        <w:t xml:space="preserve"> in management-related activities related solely to reviewing financial information</w:t>
      </w:r>
      <w:r>
        <w:t xml:space="preserve"> or other administrative (</w:t>
      </w:r>
      <w:r w:rsidRPr="00891AB7">
        <w:rPr>
          <w:i/>
        </w:rPr>
        <w:t>e.g.</w:t>
      </w:r>
      <w:r>
        <w:t>, non-technical) questions</w:t>
      </w:r>
      <w:r w:rsidRPr="004B1FBB">
        <w:t>.  This alternative approach will limit the protections against CFIUS jurisdiction granted by the provision as a whole, but may present less of an issue with respect to the availability of the VCOC exemption.  Because of the inherent tension between the CFIUS and ERISA regimes in this context, Foreign funds with known ERISA concerns should consult counsel before deciding what language to include and exclude in this agreement.</w:t>
      </w:r>
    </w:p>
  </w:footnote>
  <w:footnote w:id="5">
    <w:p w14:paraId="5A60D43A" w14:textId="77777777" w:rsidR="00442E3A" w:rsidRPr="004B1FBB" w:rsidRDefault="00442E3A" w:rsidP="00254353">
      <w:pPr>
        <w:pStyle w:val="FootnoteText"/>
      </w:pPr>
      <w:r w:rsidRPr="005A6218">
        <w:rPr>
          <w:rStyle w:val="FootnoteReference"/>
        </w:rPr>
        <w:footnoteRef/>
      </w:r>
      <w:r w:rsidRPr="004B1FBB">
        <w:tab/>
      </w:r>
      <w:r w:rsidRPr="004B1FBB">
        <w:rPr>
          <w:bCs/>
          <w:iCs/>
        </w:rPr>
        <w:t>If for some reason the Investor is not a party to the Investors’ Rights Agreement, you will need to copy the confidentiality provisions from the Investors’ Rights Agreement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251CC" w14:textId="77777777" w:rsidR="00442E3A" w:rsidRDefault="00442E3A" w:rsidP="00F72EE0">
    <w:pPr>
      <w:jc w:val="both"/>
      <w:rPr>
        <w:rFonts w:ascii="Arial" w:hAnsi="Arial" w:cs="Arial"/>
        <w:b/>
        <w:noProof w:val="0"/>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p w14:paraId="3728F9FE" w14:textId="77777777" w:rsidR="00442E3A" w:rsidRDefault="00442E3A">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4B1A17" w14:textId="77777777" w:rsidR="009926F7" w:rsidRDefault="00992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9349D"/>
    <w:multiLevelType w:val="multilevel"/>
    <w:tmpl w:val="562067C8"/>
    <w:lvl w:ilvl="0">
      <w:start w:val="1"/>
      <w:numFmt w:val="decimal"/>
      <w:lvlText w:val="%1."/>
      <w:lvlJc w:val="left"/>
      <w:pPr>
        <w:tabs>
          <w:tab w:val="num" w:pos="1440"/>
        </w:tabs>
        <w:ind w:left="1440" w:hanging="720"/>
      </w:pPr>
      <w:rPr>
        <w:rFonts w:hint="default"/>
        <w:sz w:val="24"/>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 w15:restartNumberingAfterBreak="0">
    <w:nsid w:val="7A5D1892"/>
    <w:multiLevelType w:val="multilevel"/>
    <w:tmpl w:val="45729A98"/>
    <w:name w:val="zzmpTabbed||Tabbed|2|1|1|1|0|1||1|0|1||1|0|1||1|0|1||1|0|1||1|0|1||1|0|1||1|0|1||1|0|1||"/>
    <w:lvl w:ilvl="0">
      <w:start w:val="1"/>
      <w:numFmt w:val="decimal"/>
      <w:pStyle w:val="Heading1"/>
      <w:lvlText w:val="%1."/>
      <w:lvlJc w:val="left"/>
      <w:pPr>
        <w:tabs>
          <w:tab w:val="num" w:pos="1440"/>
        </w:tabs>
        <w:ind w:left="0" w:firstLine="720"/>
      </w:pPr>
      <w:rPr>
        <w:b w:val="0"/>
        <w:i w:val="0"/>
        <w:caps w:val="0"/>
        <w:strike w:val="0"/>
        <w:dstrike w:val="0"/>
        <w:vanish w:val="0"/>
        <w:color w:val="auto"/>
        <w:u w:val="none"/>
        <w:effect w:val="none"/>
        <w:vertAlign w:val="baseline"/>
      </w:rPr>
    </w:lvl>
    <w:lvl w:ilvl="1">
      <w:start w:val="1"/>
      <w:numFmt w:val="lowerLetter"/>
      <w:pStyle w:val="Heading2"/>
      <w:lvlText w:val="(%2)"/>
      <w:lvlJc w:val="left"/>
      <w:pPr>
        <w:tabs>
          <w:tab w:val="num" w:pos="2160"/>
        </w:tabs>
        <w:ind w:left="0" w:firstLine="1440"/>
      </w:pPr>
      <w:rPr>
        <w:b w:val="0"/>
        <w:i w:val="0"/>
        <w:caps w:val="0"/>
        <w:strike w:val="0"/>
        <w:dstrike w:val="0"/>
        <w:vanish w:val="0"/>
        <w:color w:val="auto"/>
        <w:u w:val="none"/>
        <w:effect w:val="none"/>
        <w:vertAlign w:val="baseline"/>
      </w:rPr>
    </w:lvl>
    <w:lvl w:ilvl="2">
      <w:start w:val="1"/>
      <w:numFmt w:val="lowerRoman"/>
      <w:pStyle w:val="Heading3"/>
      <w:lvlText w:val="(%3)"/>
      <w:lvlJc w:val="left"/>
      <w:pPr>
        <w:tabs>
          <w:tab w:val="num" w:pos="2880"/>
        </w:tabs>
        <w:ind w:left="0" w:firstLine="2160"/>
      </w:pPr>
      <w:rPr>
        <w:b/>
        <w:i w:val="0"/>
        <w:caps w:val="0"/>
        <w:strike w:val="0"/>
        <w:dstrike w:val="0"/>
        <w:vanish w:val="0"/>
        <w:color w:val="auto"/>
        <w:u w:val="none"/>
        <w:effect w:val="none"/>
        <w:vertAlign w:val="baseline"/>
      </w:rPr>
    </w:lvl>
    <w:lvl w:ilvl="3">
      <w:start w:val="1"/>
      <w:numFmt w:val="decimal"/>
      <w:pStyle w:val="Heading4"/>
      <w:lvlText w:val="(%4)"/>
      <w:lvlJc w:val="left"/>
      <w:pPr>
        <w:tabs>
          <w:tab w:val="num" w:pos="3600"/>
        </w:tabs>
        <w:ind w:left="0" w:firstLine="2880"/>
      </w:pPr>
      <w:rPr>
        <w:b/>
        <w:i w:val="0"/>
        <w:caps w:val="0"/>
        <w:strike w:val="0"/>
        <w:dstrike w:val="0"/>
        <w:vanish w:val="0"/>
        <w:color w:val="auto"/>
        <w:u w:val="none"/>
        <w:effect w:val="none"/>
        <w:vertAlign w:val="baseline"/>
      </w:rPr>
    </w:lvl>
    <w:lvl w:ilvl="4">
      <w:start w:val="1"/>
      <w:numFmt w:val="lowerLetter"/>
      <w:pStyle w:val="Heading5"/>
      <w:lvlText w:val="%5."/>
      <w:lvlJc w:val="left"/>
      <w:pPr>
        <w:tabs>
          <w:tab w:val="num" w:pos="4320"/>
        </w:tabs>
        <w:ind w:left="0" w:firstLine="3600"/>
      </w:pPr>
      <w:rPr>
        <w:b/>
        <w:i w:val="0"/>
        <w:caps w:val="0"/>
        <w:strike w:val="0"/>
        <w:dstrike w:val="0"/>
        <w:vanish w:val="0"/>
        <w:color w:val="auto"/>
        <w:u w:val="none"/>
        <w:effect w:val="none"/>
        <w:vertAlign w:val="baseline"/>
      </w:rPr>
    </w:lvl>
    <w:lvl w:ilvl="5">
      <w:start w:val="1"/>
      <w:numFmt w:val="lowerRoman"/>
      <w:pStyle w:val="Heading6"/>
      <w:lvlText w:val="%6."/>
      <w:lvlJc w:val="left"/>
      <w:pPr>
        <w:tabs>
          <w:tab w:val="num" w:pos="5040"/>
        </w:tabs>
        <w:ind w:left="0" w:firstLine="4320"/>
      </w:pPr>
      <w:rPr>
        <w:b/>
        <w:i w:val="0"/>
        <w:caps w:val="0"/>
        <w:strike w:val="0"/>
        <w:dstrike w:val="0"/>
        <w:vanish w:val="0"/>
        <w:color w:val="auto"/>
        <w:u w:val="none"/>
        <w:effect w:val="none"/>
        <w:vertAlign w:val="baseline"/>
      </w:rPr>
    </w:lvl>
    <w:lvl w:ilvl="6">
      <w:start w:val="1"/>
      <w:numFmt w:val="decimal"/>
      <w:pStyle w:val="Heading7"/>
      <w:lvlText w:val="%7)"/>
      <w:lvlJc w:val="left"/>
      <w:pPr>
        <w:tabs>
          <w:tab w:val="num" w:pos="5760"/>
        </w:tabs>
        <w:ind w:left="0" w:firstLine="5040"/>
      </w:pPr>
      <w:rPr>
        <w:b/>
        <w:i w:val="0"/>
        <w:caps w:val="0"/>
        <w:strike w:val="0"/>
        <w:dstrike w:val="0"/>
        <w:vanish w:val="0"/>
        <w:color w:val="auto"/>
        <w:u w:val="none"/>
        <w:effect w:val="none"/>
        <w:vertAlign w:val="baseline"/>
      </w:rPr>
    </w:lvl>
    <w:lvl w:ilvl="7">
      <w:start w:val="1"/>
      <w:numFmt w:val="lowerLetter"/>
      <w:pStyle w:val="Heading8"/>
      <w:lvlText w:val="%8)"/>
      <w:lvlJc w:val="left"/>
      <w:pPr>
        <w:tabs>
          <w:tab w:val="num" w:pos="6480"/>
        </w:tabs>
        <w:ind w:left="0" w:firstLine="5760"/>
      </w:pPr>
      <w:rPr>
        <w:b/>
        <w:i w:val="0"/>
        <w:caps w:val="0"/>
        <w:strike w:val="0"/>
        <w:dstrike w:val="0"/>
        <w:vanish w:val="0"/>
        <w:color w:val="auto"/>
        <w:u w:val="none"/>
        <w:effect w:val="none"/>
        <w:vertAlign w:val="baseline"/>
      </w:rPr>
    </w:lvl>
    <w:lvl w:ilvl="8">
      <w:start w:val="1"/>
      <w:numFmt w:val="lowerRoman"/>
      <w:pStyle w:val="Heading9"/>
      <w:lvlText w:val="%9)"/>
      <w:lvlJc w:val="left"/>
      <w:pPr>
        <w:tabs>
          <w:tab w:val="num" w:pos="7200"/>
        </w:tabs>
        <w:ind w:left="0" w:firstLine="6480"/>
      </w:pPr>
      <w:rPr>
        <w:b/>
        <w:i w:val="0"/>
        <w:caps w:val="0"/>
        <w:strike w:val="0"/>
        <w:dstrike w:val="0"/>
        <w:vanish w:val="0"/>
        <w:color w:val="auto"/>
        <w:u w:val="none"/>
        <w:effect w:val="none"/>
        <w:vertAlign w:val="baseline"/>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C2"/>
    <w:rsid w:val="00036AF4"/>
    <w:rsid w:val="00052CE9"/>
    <w:rsid w:val="00094AE4"/>
    <w:rsid w:val="001040EA"/>
    <w:rsid w:val="0012674B"/>
    <w:rsid w:val="00143660"/>
    <w:rsid w:val="00151D04"/>
    <w:rsid w:val="00157CD5"/>
    <w:rsid w:val="001A438A"/>
    <w:rsid w:val="00224295"/>
    <w:rsid w:val="00254353"/>
    <w:rsid w:val="002871DB"/>
    <w:rsid w:val="00301B4D"/>
    <w:rsid w:val="00307D2A"/>
    <w:rsid w:val="00377205"/>
    <w:rsid w:val="00377500"/>
    <w:rsid w:val="003A10D4"/>
    <w:rsid w:val="003A5E15"/>
    <w:rsid w:val="003C2912"/>
    <w:rsid w:val="003D237C"/>
    <w:rsid w:val="00407D39"/>
    <w:rsid w:val="00442E3A"/>
    <w:rsid w:val="00444AF8"/>
    <w:rsid w:val="00463579"/>
    <w:rsid w:val="004B1FBB"/>
    <w:rsid w:val="004C29A3"/>
    <w:rsid w:val="00502F88"/>
    <w:rsid w:val="00517276"/>
    <w:rsid w:val="005443A9"/>
    <w:rsid w:val="00567507"/>
    <w:rsid w:val="00580F9E"/>
    <w:rsid w:val="00595E3D"/>
    <w:rsid w:val="0059663F"/>
    <w:rsid w:val="005A5148"/>
    <w:rsid w:val="005A6218"/>
    <w:rsid w:val="005E6878"/>
    <w:rsid w:val="006019A2"/>
    <w:rsid w:val="006320B3"/>
    <w:rsid w:val="006630FE"/>
    <w:rsid w:val="006936AD"/>
    <w:rsid w:val="006A0483"/>
    <w:rsid w:val="006A64B4"/>
    <w:rsid w:val="006B75A8"/>
    <w:rsid w:val="006C6327"/>
    <w:rsid w:val="006F1DBE"/>
    <w:rsid w:val="00710DD3"/>
    <w:rsid w:val="00716CFB"/>
    <w:rsid w:val="00722D04"/>
    <w:rsid w:val="00726B76"/>
    <w:rsid w:val="007362A8"/>
    <w:rsid w:val="00740945"/>
    <w:rsid w:val="00740EA0"/>
    <w:rsid w:val="007645E5"/>
    <w:rsid w:val="00795FCC"/>
    <w:rsid w:val="007A0179"/>
    <w:rsid w:val="007E121C"/>
    <w:rsid w:val="007F09C3"/>
    <w:rsid w:val="007F3AC2"/>
    <w:rsid w:val="00891AB7"/>
    <w:rsid w:val="008B1B2B"/>
    <w:rsid w:val="008C15E9"/>
    <w:rsid w:val="008E3317"/>
    <w:rsid w:val="009136D3"/>
    <w:rsid w:val="00930BC7"/>
    <w:rsid w:val="00960B22"/>
    <w:rsid w:val="00964EDE"/>
    <w:rsid w:val="009924A9"/>
    <w:rsid w:val="009926F7"/>
    <w:rsid w:val="009F0F33"/>
    <w:rsid w:val="00A36895"/>
    <w:rsid w:val="00A376C6"/>
    <w:rsid w:val="00B0291E"/>
    <w:rsid w:val="00B81DE6"/>
    <w:rsid w:val="00B85034"/>
    <w:rsid w:val="00BB2B36"/>
    <w:rsid w:val="00BC7A23"/>
    <w:rsid w:val="00C14FEB"/>
    <w:rsid w:val="00C3019C"/>
    <w:rsid w:val="00C3075D"/>
    <w:rsid w:val="00C46410"/>
    <w:rsid w:val="00C82DED"/>
    <w:rsid w:val="00D407A7"/>
    <w:rsid w:val="00D72137"/>
    <w:rsid w:val="00DD4318"/>
    <w:rsid w:val="00E23BB4"/>
    <w:rsid w:val="00E471AF"/>
    <w:rsid w:val="00E63EC6"/>
    <w:rsid w:val="00F008FF"/>
    <w:rsid w:val="00F5036D"/>
    <w:rsid w:val="00F72EE0"/>
    <w:rsid w:val="00F75693"/>
    <w:rsid w:val="00F9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0BA9A8"/>
  <w15:chartTrackingRefBased/>
  <w15:docId w15:val="{3D2E1152-1ED0-47AE-85FF-8F43BF59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53"/>
    <w:rPr>
      <w:noProof/>
      <w:sz w:val="24"/>
      <w:szCs w:val="24"/>
    </w:rPr>
  </w:style>
  <w:style w:type="paragraph" w:styleId="Heading1">
    <w:name w:val="heading 1"/>
    <w:basedOn w:val="Normal"/>
    <w:next w:val="Normal"/>
    <w:link w:val="Heading1Char"/>
    <w:uiPriority w:val="9"/>
    <w:qFormat/>
    <w:rsid w:val="006A0483"/>
    <w:pPr>
      <w:numPr>
        <w:numId w:val="2"/>
      </w:numPr>
      <w:spacing w:after="240"/>
      <w:jc w:val="both"/>
      <w:outlineLvl w:val="0"/>
    </w:pPr>
    <w:rPr>
      <w:noProof w:val="0"/>
      <w:szCs w:val="20"/>
    </w:rPr>
  </w:style>
  <w:style w:type="paragraph" w:styleId="Heading2">
    <w:name w:val="heading 2"/>
    <w:basedOn w:val="Heading1"/>
    <w:link w:val="Heading2Char"/>
    <w:uiPriority w:val="9"/>
    <w:semiHidden/>
    <w:unhideWhenUsed/>
    <w:qFormat/>
    <w:rsid w:val="006A0483"/>
    <w:pPr>
      <w:numPr>
        <w:ilvl w:val="1"/>
      </w:numPr>
      <w:outlineLvl w:val="1"/>
    </w:pPr>
  </w:style>
  <w:style w:type="paragraph" w:styleId="Heading3">
    <w:name w:val="heading 3"/>
    <w:basedOn w:val="Heading2"/>
    <w:link w:val="Heading3Char"/>
    <w:uiPriority w:val="9"/>
    <w:semiHidden/>
    <w:unhideWhenUsed/>
    <w:qFormat/>
    <w:rsid w:val="006A0483"/>
    <w:pPr>
      <w:numPr>
        <w:ilvl w:val="2"/>
      </w:numPr>
      <w:outlineLvl w:val="2"/>
    </w:pPr>
  </w:style>
  <w:style w:type="paragraph" w:styleId="Heading4">
    <w:name w:val="heading 4"/>
    <w:basedOn w:val="Heading3"/>
    <w:link w:val="Heading4Char"/>
    <w:uiPriority w:val="9"/>
    <w:semiHidden/>
    <w:unhideWhenUsed/>
    <w:qFormat/>
    <w:rsid w:val="006A0483"/>
    <w:pPr>
      <w:numPr>
        <w:ilvl w:val="3"/>
      </w:numPr>
      <w:outlineLvl w:val="3"/>
    </w:pPr>
  </w:style>
  <w:style w:type="paragraph" w:styleId="Heading5">
    <w:name w:val="heading 5"/>
    <w:basedOn w:val="Heading4"/>
    <w:link w:val="Heading5Char"/>
    <w:uiPriority w:val="9"/>
    <w:semiHidden/>
    <w:unhideWhenUsed/>
    <w:qFormat/>
    <w:rsid w:val="006A0483"/>
    <w:pPr>
      <w:numPr>
        <w:ilvl w:val="4"/>
      </w:numPr>
      <w:outlineLvl w:val="4"/>
    </w:pPr>
  </w:style>
  <w:style w:type="paragraph" w:styleId="Heading6">
    <w:name w:val="heading 6"/>
    <w:basedOn w:val="Heading5"/>
    <w:link w:val="Heading6Char"/>
    <w:uiPriority w:val="9"/>
    <w:semiHidden/>
    <w:unhideWhenUsed/>
    <w:qFormat/>
    <w:rsid w:val="006A0483"/>
    <w:pPr>
      <w:numPr>
        <w:ilvl w:val="5"/>
      </w:numPr>
      <w:outlineLvl w:val="5"/>
    </w:pPr>
  </w:style>
  <w:style w:type="paragraph" w:styleId="Heading7">
    <w:name w:val="heading 7"/>
    <w:basedOn w:val="Heading6"/>
    <w:link w:val="Heading7Char"/>
    <w:uiPriority w:val="9"/>
    <w:semiHidden/>
    <w:unhideWhenUsed/>
    <w:qFormat/>
    <w:rsid w:val="006A0483"/>
    <w:pPr>
      <w:numPr>
        <w:ilvl w:val="6"/>
      </w:numPr>
      <w:outlineLvl w:val="6"/>
    </w:pPr>
  </w:style>
  <w:style w:type="paragraph" w:styleId="Heading8">
    <w:name w:val="heading 8"/>
    <w:basedOn w:val="Heading7"/>
    <w:link w:val="Heading8Char"/>
    <w:uiPriority w:val="9"/>
    <w:semiHidden/>
    <w:unhideWhenUsed/>
    <w:qFormat/>
    <w:rsid w:val="006A0483"/>
    <w:pPr>
      <w:numPr>
        <w:ilvl w:val="7"/>
      </w:numPr>
      <w:outlineLvl w:val="7"/>
    </w:pPr>
  </w:style>
  <w:style w:type="paragraph" w:styleId="Heading9">
    <w:name w:val="heading 9"/>
    <w:basedOn w:val="Heading8"/>
    <w:link w:val="Heading9Char"/>
    <w:uiPriority w:val="9"/>
    <w:semiHidden/>
    <w:unhideWhenUsed/>
    <w:qFormat/>
    <w:rsid w:val="006A048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10440"/>
      </w:tabs>
    </w:pPr>
    <w:rPr>
      <w:szCs w:val="20"/>
    </w:rPr>
  </w:style>
  <w:style w:type="paragraph" w:styleId="BodyText">
    <w:name w:val="Body Text"/>
    <w:basedOn w:val="Normal"/>
    <w:rsid w:val="00254353"/>
    <w:pPr>
      <w:widowControl w:val="0"/>
      <w:spacing w:after="240"/>
      <w:ind w:firstLine="720"/>
      <w:jc w:val="both"/>
    </w:pPr>
    <w:rPr>
      <w:szCs w:val="20"/>
    </w:rPr>
  </w:style>
  <w:style w:type="paragraph" w:styleId="Header">
    <w:name w:val="header"/>
    <w:basedOn w:val="Normal"/>
    <w:semiHidden/>
    <w:pPr>
      <w:tabs>
        <w:tab w:val="center" w:pos="4320"/>
        <w:tab w:val="right" w:pos="8640"/>
      </w:tabs>
    </w:pPr>
    <w:rPr>
      <w:szCs w:val="20"/>
    </w:rPr>
  </w:style>
  <w:style w:type="paragraph" w:styleId="FootnoteText">
    <w:name w:val="footnote text"/>
    <w:basedOn w:val="Normal"/>
    <w:next w:val="FootnoteTextContinued"/>
    <w:rsid w:val="00254353"/>
    <w:pPr>
      <w:tabs>
        <w:tab w:val="left" w:pos="360"/>
      </w:tabs>
      <w:spacing w:after="60"/>
      <w:jc w:val="both"/>
    </w:pPr>
    <w:rPr>
      <w:sz w:val="20"/>
      <w:szCs w:val="20"/>
    </w:rPr>
  </w:style>
  <w:style w:type="character" w:styleId="FootnoteReference">
    <w:name w:val="footnote reference"/>
    <w:rPr>
      <w:vertAlign w:val="superscript"/>
    </w:rPr>
  </w:style>
  <w:style w:type="character" w:customStyle="1" w:styleId="FooterChar">
    <w:name w:val="Footer Char"/>
    <w:link w:val="Footer"/>
    <w:uiPriority w:val="99"/>
    <w:rsid w:val="00254353"/>
    <w:rPr>
      <w:noProof/>
      <w:sz w:val="24"/>
    </w:rPr>
  </w:style>
  <w:style w:type="paragraph" w:styleId="Title">
    <w:name w:val="Title"/>
    <w:basedOn w:val="Normal"/>
    <w:next w:val="Normal"/>
    <w:link w:val="TitleChar"/>
    <w:uiPriority w:val="10"/>
    <w:qFormat/>
    <w:rsid w:val="00254353"/>
    <w:pPr>
      <w:spacing w:after="240"/>
      <w:jc w:val="center"/>
    </w:pPr>
    <w:rPr>
      <w:b/>
      <w:bCs/>
    </w:rPr>
  </w:style>
  <w:style w:type="character" w:customStyle="1" w:styleId="TitleChar">
    <w:name w:val="Title Char"/>
    <w:link w:val="Title"/>
    <w:uiPriority w:val="10"/>
    <w:rsid w:val="00254353"/>
    <w:rPr>
      <w:b/>
      <w:bCs/>
      <w:noProof/>
      <w:sz w:val="24"/>
      <w:szCs w:val="24"/>
    </w:rPr>
  </w:style>
  <w:style w:type="paragraph" w:customStyle="1" w:styleId="FootnoteTextContinued">
    <w:name w:val="Footnote Text Continued"/>
    <w:basedOn w:val="FootnoteText"/>
    <w:rsid w:val="00254353"/>
    <w:pPr>
      <w:ind w:firstLine="360"/>
    </w:pPr>
  </w:style>
  <w:style w:type="paragraph" w:styleId="BalloonText">
    <w:name w:val="Balloon Text"/>
    <w:basedOn w:val="Normal"/>
    <w:link w:val="BalloonTextChar"/>
    <w:uiPriority w:val="99"/>
    <w:semiHidden/>
    <w:unhideWhenUsed/>
    <w:rsid w:val="003A10D4"/>
    <w:rPr>
      <w:rFonts w:ascii="Segoe UI" w:hAnsi="Segoe UI" w:cs="Segoe UI"/>
      <w:sz w:val="18"/>
      <w:szCs w:val="18"/>
    </w:rPr>
  </w:style>
  <w:style w:type="character" w:customStyle="1" w:styleId="BalloonTextChar">
    <w:name w:val="Balloon Text Char"/>
    <w:link w:val="BalloonText"/>
    <w:uiPriority w:val="99"/>
    <w:semiHidden/>
    <w:rsid w:val="003A10D4"/>
    <w:rPr>
      <w:rFonts w:ascii="Segoe UI" w:hAnsi="Segoe UI" w:cs="Segoe UI"/>
      <w:noProof/>
      <w:sz w:val="18"/>
      <w:szCs w:val="18"/>
    </w:rPr>
  </w:style>
  <w:style w:type="character" w:customStyle="1" w:styleId="Heading1Char">
    <w:name w:val="Heading 1 Char"/>
    <w:link w:val="Heading1"/>
    <w:uiPriority w:val="9"/>
    <w:rsid w:val="006A0483"/>
    <w:rPr>
      <w:sz w:val="24"/>
    </w:rPr>
  </w:style>
  <w:style w:type="character" w:customStyle="1" w:styleId="Heading2Char">
    <w:name w:val="Heading 2 Char"/>
    <w:link w:val="Heading2"/>
    <w:uiPriority w:val="9"/>
    <w:semiHidden/>
    <w:rsid w:val="006A0483"/>
    <w:rPr>
      <w:sz w:val="24"/>
    </w:rPr>
  </w:style>
  <w:style w:type="character" w:customStyle="1" w:styleId="Heading3Char">
    <w:name w:val="Heading 3 Char"/>
    <w:link w:val="Heading3"/>
    <w:uiPriority w:val="9"/>
    <w:semiHidden/>
    <w:rsid w:val="006A0483"/>
    <w:rPr>
      <w:sz w:val="24"/>
    </w:rPr>
  </w:style>
  <w:style w:type="character" w:customStyle="1" w:styleId="Heading4Char">
    <w:name w:val="Heading 4 Char"/>
    <w:link w:val="Heading4"/>
    <w:uiPriority w:val="9"/>
    <w:semiHidden/>
    <w:rsid w:val="006A0483"/>
    <w:rPr>
      <w:sz w:val="24"/>
    </w:rPr>
  </w:style>
  <w:style w:type="character" w:customStyle="1" w:styleId="Heading5Char">
    <w:name w:val="Heading 5 Char"/>
    <w:link w:val="Heading5"/>
    <w:uiPriority w:val="9"/>
    <w:semiHidden/>
    <w:rsid w:val="006A0483"/>
    <w:rPr>
      <w:sz w:val="24"/>
    </w:rPr>
  </w:style>
  <w:style w:type="character" w:customStyle="1" w:styleId="Heading6Char">
    <w:name w:val="Heading 6 Char"/>
    <w:link w:val="Heading6"/>
    <w:uiPriority w:val="9"/>
    <w:semiHidden/>
    <w:rsid w:val="006A0483"/>
    <w:rPr>
      <w:sz w:val="24"/>
    </w:rPr>
  </w:style>
  <w:style w:type="character" w:customStyle="1" w:styleId="Heading7Char">
    <w:name w:val="Heading 7 Char"/>
    <w:link w:val="Heading7"/>
    <w:uiPriority w:val="9"/>
    <w:semiHidden/>
    <w:rsid w:val="006A0483"/>
    <w:rPr>
      <w:sz w:val="24"/>
    </w:rPr>
  </w:style>
  <w:style w:type="character" w:customStyle="1" w:styleId="Heading8Char">
    <w:name w:val="Heading 8 Char"/>
    <w:link w:val="Heading8"/>
    <w:uiPriority w:val="9"/>
    <w:semiHidden/>
    <w:rsid w:val="006A0483"/>
    <w:rPr>
      <w:sz w:val="24"/>
    </w:rPr>
  </w:style>
  <w:style w:type="character" w:customStyle="1" w:styleId="Heading9Char">
    <w:name w:val="Heading 9 Char"/>
    <w:link w:val="Heading9"/>
    <w:uiPriority w:val="9"/>
    <w:semiHidden/>
    <w:rsid w:val="006A0483"/>
    <w:rPr>
      <w:sz w:val="24"/>
    </w:rPr>
  </w:style>
  <w:style w:type="character" w:styleId="PageNumber">
    <w:name w:val="page number"/>
    <w:uiPriority w:val="99"/>
    <w:rsid w:val="00740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Miller</dc:creator>
  <cp:lastModifiedBy>Devin Miller</cp:lastModifiedBy>
  <cp:revision>2</cp:revision>
  <cp:lastPrinted>2020-07-29T15:26:00Z</cp:lastPrinted>
  <dcterms:created xsi:type="dcterms:W3CDTF">2020-07-29T20:01:00Z</dcterms:created>
  <dcterms:modified xsi:type="dcterms:W3CDTF">2020-07-29T20:01:00Z</dcterms:modified>
</cp:coreProperties>
</file>