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2754" w:rsidRDefault="000A63FA">
      <w:pPr>
        <w:rPr>
          <w:rFonts w:ascii="Times New Roman" w:hAnsi="Times New Roman" w:cs="Times New Roman"/>
          <w:sz w:val="24"/>
          <w:szCs w:val="24"/>
        </w:rPr>
      </w:pPr>
      <w:r w:rsidRPr="000A63FA">
        <w:rPr>
          <w:rFonts w:ascii="Times New Roman" w:hAnsi="Times New Roman" w:cs="Times New Roman"/>
          <w:b/>
          <w:sz w:val="24"/>
          <w:szCs w:val="24"/>
          <w:u w:val="single"/>
        </w:rPr>
        <w:t>NVCA Sample Diversity</w:t>
      </w:r>
      <w:r w:rsidR="00DB5993">
        <w:rPr>
          <w:rFonts w:ascii="Times New Roman" w:hAnsi="Times New Roman" w:cs="Times New Roman"/>
          <w:b/>
          <w:sz w:val="24"/>
          <w:szCs w:val="24"/>
          <w:u w:val="single"/>
        </w:rPr>
        <w:t xml:space="preserve"> &amp; Inclusion</w:t>
      </w:r>
      <w:r w:rsidRPr="000A63FA">
        <w:rPr>
          <w:rFonts w:ascii="Times New Roman" w:hAnsi="Times New Roman" w:cs="Times New Roman"/>
          <w:b/>
          <w:sz w:val="24"/>
          <w:szCs w:val="24"/>
          <w:u w:val="single"/>
        </w:rPr>
        <w:t xml:space="preserve"> Policies</w:t>
      </w:r>
      <w:r>
        <w:rPr>
          <w:rFonts w:ascii="Times New Roman" w:hAnsi="Times New Roman" w:cs="Times New Roman"/>
          <w:b/>
          <w:sz w:val="24"/>
          <w:szCs w:val="24"/>
          <w:u w:val="single"/>
        </w:rPr>
        <w:t xml:space="preserve"> – </w:t>
      </w:r>
      <w:r w:rsidR="00357589">
        <w:rPr>
          <w:rFonts w:ascii="Times New Roman" w:hAnsi="Times New Roman" w:cs="Times New Roman"/>
          <w:b/>
          <w:sz w:val="24"/>
          <w:szCs w:val="24"/>
          <w:u w:val="single"/>
        </w:rPr>
        <w:t xml:space="preserve">New York Paid Family Leave </w:t>
      </w:r>
      <w:r w:rsidRPr="000A63FA">
        <w:rPr>
          <w:rFonts w:ascii="Times New Roman" w:hAnsi="Times New Roman" w:cs="Times New Roman"/>
          <w:b/>
          <w:sz w:val="24"/>
          <w:szCs w:val="24"/>
          <w:u w:val="single"/>
        </w:rPr>
        <w:t>Policy</w:t>
      </w:r>
    </w:p>
    <w:p w:rsidR="000A63FA" w:rsidRPr="000A63FA" w:rsidRDefault="000A63FA">
      <w:pPr>
        <w:rPr>
          <w:rFonts w:ascii="Times New Roman" w:hAnsi="Times New Roman" w:cs="Times New Roman"/>
          <w:i/>
          <w:sz w:val="24"/>
          <w:szCs w:val="24"/>
        </w:rPr>
      </w:pPr>
      <w:r w:rsidRPr="000A63FA">
        <w:rPr>
          <w:rFonts w:ascii="Times New Roman" w:hAnsi="Times New Roman" w:cs="Times New Roman"/>
          <w:i/>
          <w:sz w:val="24"/>
          <w:szCs w:val="24"/>
        </w:rPr>
        <w:t xml:space="preserve">The details below </w:t>
      </w:r>
      <w:r w:rsidR="00357589">
        <w:rPr>
          <w:rFonts w:ascii="Times New Roman" w:hAnsi="Times New Roman" w:cs="Times New Roman"/>
          <w:i/>
          <w:sz w:val="24"/>
          <w:szCs w:val="24"/>
        </w:rPr>
        <w:t xml:space="preserve">are specific to New York childcare policies and </w:t>
      </w:r>
      <w:r w:rsidRPr="000A63FA">
        <w:rPr>
          <w:rFonts w:ascii="Times New Roman" w:hAnsi="Times New Roman" w:cs="Times New Roman"/>
          <w:i/>
          <w:sz w:val="24"/>
          <w:szCs w:val="24"/>
        </w:rPr>
        <w:t>are intended for inclusion with your firm’</w:t>
      </w:r>
      <w:r>
        <w:rPr>
          <w:rFonts w:ascii="Times New Roman" w:hAnsi="Times New Roman" w:cs="Times New Roman"/>
          <w:i/>
          <w:sz w:val="24"/>
          <w:szCs w:val="24"/>
        </w:rPr>
        <w:t>s Childcare Leave Policy, a</w:t>
      </w:r>
      <w:r w:rsidRPr="000A63FA">
        <w:rPr>
          <w:rFonts w:ascii="Times New Roman" w:hAnsi="Times New Roman" w:cs="Times New Roman"/>
          <w:i/>
          <w:sz w:val="24"/>
          <w:szCs w:val="24"/>
        </w:rPr>
        <w:t xml:space="preserve"> sample of which is provided in the NVCA Sample Diversity </w:t>
      </w:r>
      <w:r w:rsidR="00DB5993">
        <w:rPr>
          <w:rFonts w:ascii="Times New Roman" w:hAnsi="Times New Roman" w:cs="Times New Roman"/>
          <w:i/>
          <w:sz w:val="24"/>
          <w:szCs w:val="24"/>
        </w:rPr>
        <w:t xml:space="preserve">&amp; Inclusion </w:t>
      </w:r>
      <w:r w:rsidRPr="000A63FA">
        <w:rPr>
          <w:rFonts w:ascii="Times New Roman" w:hAnsi="Times New Roman" w:cs="Times New Roman"/>
          <w:i/>
          <w:sz w:val="24"/>
          <w:szCs w:val="24"/>
        </w:rPr>
        <w:t>Policies</w:t>
      </w:r>
      <w:r>
        <w:rPr>
          <w:rFonts w:ascii="Times New Roman" w:hAnsi="Times New Roman" w:cs="Times New Roman"/>
          <w:i/>
          <w:sz w:val="24"/>
          <w:szCs w:val="24"/>
        </w:rPr>
        <w:t xml:space="preserve">, located </w:t>
      </w:r>
      <w:hyperlink r:id="rId8" w:history="1">
        <w:r w:rsidRPr="00FC51BE">
          <w:rPr>
            <w:rStyle w:val="Hyperlink"/>
            <w:rFonts w:ascii="Times New Roman" w:hAnsi="Times New Roman" w:cs="Times New Roman"/>
            <w:i/>
            <w:sz w:val="24"/>
            <w:szCs w:val="24"/>
          </w:rPr>
          <w:t>here</w:t>
        </w:r>
      </w:hyperlink>
      <w:r w:rsidRPr="000A63FA">
        <w:rPr>
          <w:rFonts w:ascii="Times New Roman" w:hAnsi="Times New Roman" w:cs="Times New Roman"/>
          <w:i/>
          <w:sz w:val="24"/>
          <w:szCs w:val="24"/>
        </w:rPr>
        <w:t>.</w:t>
      </w:r>
    </w:p>
    <w:p w:rsidR="000A63FA" w:rsidRPr="00357589" w:rsidRDefault="000A63FA" w:rsidP="000A63FA">
      <w:pPr>
        <w:pStyle w:val="p2"/>
        <w:rPr>
          <w:rFonts w:ascii="Times New Roman" w:hAnsi="Times New Roman"/>
          <w:sz w:val="24"/>
          <w:szCs w:val="24"/>
        </w:rPr>
      </w:pPr>
    </w:p>
    <w:p w:rsidR="00357589" w:rsidRPr="00357589" w:rsidRDefault="00357589" w:rsidP="00357589">
      <w:pPr>
        <w:jc w:val="both"/>
        <w:rPr>
          <w:rFonts w:ascii="Times New Roman" w:hAnsi="Times New Roman" w:cs="Times New Roman"/>
          <w:sz w:val="24"/>
          <w:szCs w:val="24"/>
        </w:rPr>
      </w:pPr>
      <w:r w:rsidRPr="00357589">
        <w:rPr>
          <w:rFonts w:ascii="Times New Roman" w:hAnsi="Times New Roman" w:cs="Times New Roman"/>
          <w:sz w:val="24"/>
          <w:szCs w:val="24"/>
        </w:rPr>
        <w:t>Beginning on January 1, 2018, New York employees may be eligible for partially-paid leave under New York’s Paid Family Leave program (“NYPFL”).  All New York employees who meet the eligibility requirements may take NYPFL leave for any of the following reasons:</w:t>
      </w:r>
    </w:p>
    <w:p w:rsidR="00357589" w:rsidRPr="00357589" w:rsidRDefault="00357589" w:rsidP="00357589">
      <w:pPr>
        <w:numPr>
          <w:ilvl w:val="0"/>
          <w:numId w:val="3"/>
        </w:numPr>
        <w:spacing w:after="0" w:line="240" w:lineRule="auto"/>
        <w:ind w:left="540" w:hanging="540"/>
        <w:contextualSpacing/>
        <w:jc w:val="both"/>
        <w:rPr>
          <w:rFonts w:ascii="Times New Roman" w:hAnsi="Times New Roman" w:cs="Times New Roman"/>
          <w:sz w:val="24"/>
          <w:szCs w:val="24"/>
        </w:rPr>
      </w:pPr>
      <w:r w:rsidRPr="00357589">
        <w:rPr>
          <w:rFonts w:ascii="Times New Roman" w:hAnsi="Times New Roman" w:cs="Times New Roman"/>
          <w:sz w:val="24"/>
          <w:szCs w:val="24"/>
        </w:rPr>
        <w:t>To participate in providing care for a family member with a serious health condition (limited to spouse, domestic partners, children, parents, parents-in-l</w:t>
      </w:r>
      <w:bookmarkStart w:id="0" w:name="_GoBack"/>
      <w:bookmarkEnd w:id="0"/>
      <w:r w:rsidRPr="00357589">
        <w:rPr>
          <w:rFonts w:ascii="Times New Roman" w:hAnsi="Times New Roman" w:cs="Times New Roman"/>
          <w:sz w:val="24"/>
          <w:szCs w:val="24"/>
        </w:rPr>
        <w:t>aw, grandparents and grandchildren);</w:t>
      </w:r>
    </w:p>
    <w:p w:rsidR="00357589" w:rsidRPr="00357589" w:rsidRDefault="00357589" w:rsidP="00357589">
      <w:pPr>
        <w:ind w:left="540" w:hanging="540"/>
        <w:contextualSpacing/>
        <w:jc w:val="both"/>
        <w:rPr>
          <w:rFonts w:ascii="Times New Roman" w:hAnsi="Times New Roman" w:cs="Times New Roman"/>
          <w:sz w:val="24"/>
          <w:szCs w:val="24"/>
        </w:rPr>
      </w:pPr>
    </w:p>
    <w:p w:rsidR="00357589" w:rsidRPr="00357589" w:rsidRDefault="00357589" w:rsidP="00357589">
      <w:pPr>
        <w:numPr>
          <w:ilvl w:val="0"/>
          <w:numId w:val="3"/>
        </w:numPr>
        <w:spacing w:after="0" w:line="240" w:lineRule="auto"/>
        <w:ind w:left="540" w:hanging="540"/>
        <w:contextualSpacing/>
        <w:jc w:val="both"/>
        <w:rPr>
          <w:rFonts w:ascii="Times New Roman" w:hAnsi="Times New Roman" w:cs="Times New Roman"/>
          <w:sz w:val="24"/>
          <w:szCs w:val="24"/>
        </w:rPr>
      </w:pPr>
      <w:r w:rsidRPr="00357589">
        <w:rPr>
          <w:rFonts w:ascii="Times New Roman" w:hAnsi="Times New Roman" w:cs="Times New Roman"/>
          <w:sz w:val="24"/>
          <w:szCs w:val="24"/>
        </w:rPr>
        <w:t>To bond with the employee’s child during the first 12 months after the child’s birth, or the first 12 months after the placement of the child for adoption or foster care with the employee; or</w:t>
      </w:r>
    </w:p>
    <w:p w:rsidR="00357589" w:rsidRPr="00357589" w:rsidRDefault="00357589" w:rsidP="00357589">
      <w:pPr>
        <w:ind w:left="540" w:hanging="540"/>
        <w:contextualSpacing/>
        <w:jc w:val="both"/>
        <w:rPr>
          <w:rFonts w:ascii="Times New Roman" w:hAnsi="Times New Roman" w:cs="Times New Roman"/>
          <w:sz w:val="24"/>
          <w:szCs w:val="24"/>
        </w:rPr>
      </w:pPr>
    </w:p>
    <w:p w:rsidR="00357589" w:rsidRPr="00357589" w:rsidRDefault="00357589" w:rsidP="00357589">
      <w:pPr>
        <w:numPr>
          <w:ilvl w:val="0"/>
          <w:numId w:val="3"/>
        </w:numPr>
        <w:spacing w:after="0" w:line="240" w:lineRule="auto"/>
        <w:ind w:left="540" w:hanging="540"/>
        <w:contextualSpacing/>
        <w:jc w:val="both"/>
        <w:rPr>
          <w:rFonts w:ascii="Times New Roman" w:hAnsi="Times New Roman" w:cs="Times New Roman"/>
          <w:sz w:val="24"/>
          <w:szCs w:val="24"/>
        </w:rPr>
      </w:pPr>
      <w:r w:rsidRPr="00357589">
        <w:rPr>
          <w:rFonts w:ascii="Times New Roman" w:hAnsi="Times New Roman" w:cs="Times New Roman"/>
          <w:sz w:val="24"/>
          <w:szCs w:val="24"/>
        </w:rPr>
        <w:t>Because of a qualifying exigency as defined in the federal Family Medical Leave Act (FMLA) arising out of the fact that the spouse, domestic partner, child, or parent of the employee is on active duty in the armed forces of the United States.</w:t>
      </w:r>
    </w:p>
    <w:p w:rsidR="00357589" w:rsidRPr="00357589" w:rsidRDefault="00357589" w:rsidP="00357589">
      <w:pPr>
        <w:ind w:left="720"/>
        <w:contextualSpacing/>
        <w:jc w:val="both"/>
        <w:rPr>
          <w:rFonts w:ascii="Times New Roman" w:hAnsi="Times New Roman" w:cs="Times New Roman"/>
          <w:sz w:val="24"/>
          <w:szCs w:val="24"/>
        </w:rPr>
      </w:pPr>
    </w:p>
    <w:p w:rsidR="00357589" w:rsidRDefault="00357589" w:rsidP="00357589">
      <w:pPr>
        <w:jc w:val="both"/>
        <w:rPr>
          <w:rFonts w:ascii="Times New Roman" w:hAnsi="Times New Roman" w:cs="Times New Roman"/>
          <w:b/>
          <w:sz w:val="24"/>
          <w:szCs w:val="24"/>
        </w:rPr>
      </w:pPr>
    </w:p>
    <w:p w:rsidR="00357589" w:rsidRPr="00357589" w:rsidRDefault="00357589" w:rsidP="00357589">
      <w:pPr>
        <w:jc w:val="both"/>
        <w:rPr>
          <w:rFonts w:ascii="Times New Roman" w:hAnsi="Times New Roman" w:cs="Times New Roman"/>
          <w:b/>
          <w:sz w:val="24"/>
          <w:szCs w:val="24"/>
        </w:rPr>
      </w:pPr>
      <w:r w:rsidRPr="00357589">
        <w:rPr>
          <w:rFonts w:ascii="Times New Roman" w:hAnsi="Times New Roman" w:cs="Times New Roman"/>
          <w:b/>
          <w:sz w:val="24"/>
          <w:szCs w:val="24"/>
        </w:rPr>
        <w:t>Eligibility</w:t>
      </w:r>
    </w:p>
    <w:p w:rsidR="00357589" w:rsidRPr="00357589" w:rsidRDefault="00357589" w:rsidP="00357589">
      <w:pPr>
        <w:jc w:val="both"/>
        <w:rPr>
          <w:rFonts w:ascii="Times New Roman" w:hAnsi="Times New Roman" w:cs="Times New Roman"/>
          <w:sz w:val="24"/>
          <w:szCs w:val="24"/>
        </w:rPr>
      </w:pPr>
      <w:r w:rsidRPr="00357589">
        <w:rPr>
          <w:rFonts w:ascii="Times New Roman" w:hAnsi="Times New Roman" w:cs="Times New Roman"/>
          <w:sz w:val="24"/>
          <w:szCs w:val="24"/>
        </w:rPr>
        <w:t xml:space="preserve">To be eligible for NYPFL leave, New York employees must have either worked 20 or more hours per week for 26 consecutive weeks leading up to the date of the requested NYPFL leave, or worked on 175 days (regardless of the number of hours worked).  </w:t>
      </w:r>
    </w:p>
    <w:p w:rsidR="00357589" w:rsidRPr="00357589" w:rsidRDefault="00357589" w:rsidP="00357589">
      <w:pPr>
        <w:jc w:val="both"/>
        <w:rPr>
          <w:rFonts w:ascii="Times New Roman" w:hAnsi="Times New Roman" w:cs="Times New Roman"/>
          <w:sz w:val="24"/>
          <w:szCs w:val="24"/>
        </w:rPr>
      </w:pPr>
      <w:r w:rsidRPr="00357589">
        <w:rPr>
          <w:rFonts w:ascii="Times New Roman" w:hAnsi="Times New Roman" w:cs="Times New Roman"/>
          <w:sz w:val="24"/>
          <w:szCs w:val="24"/>
        </w:rPr>
        <w:t xml:space="preserve">Employees who believe they will not meet the eligibility requirements to obtain benefits under the NYPFL may be able to waive coverage, and not pay employee contributions.  Optional waiver forms will be available with Human Resources. </w:t>
      </w:r>
    </w:p>
    <w:p w:rsidR="00357589" w:rsidRPr="00357589" w:rsidRDefault="00357589" w:rsidP="00357589">
      <w:pPr>
        <w:jc w:val="both"/>
        <w:rPr>
          <w:rFonts w:ascii="Times New Roman" w:hAnsi="Times New Roman" w:cs="Times New Roman"/>
          <w:b/>
          <w:sz w:val="24"/>
          <w:szCs w:val="24"/>
        </w:rPr>
      </w:pPr>
      <w:r w:rsidRPr="00357589">
        <w:rPr>
          <w:rFonts w:ascii="Times New Roman" w:hAnsi="Times New Roman" w:cs="Times New Roman"/>
          <w:b/>
          <w:sz w:val="24"/>
          <w:szCs w:val="24"/>
        </w:rPr>
        <w:t>Maximum Benefit</w:t>
      </w:r>
    </w:p>
    <w:p w:rsidR="00357589" w:rsidRPr="00357589" w:rsidRDefault="00357589" w:rsidP="00357589">
      <w:pPr>
        <w:jc w:val="both"/>
        <w:rPr>
          <w:rFonts w:ascii="Times New Roman" w:hAnsi="Times New Roman" w:cs="Times New Roman"/>
          <w:sz w:val="24"/>
          <w:szCs w:val="24"/>
        </w:rPr>
      </w:pPr>
      <w:r w:rsidRPr="00357589">
        <w:rPr>
          <w:rFonts w:ascii="Times New Roman" w:hAnsi="Times New Roman" w:cs="Times New Roman"/>
          <w:sz w:val="24"/>
          <w:szCs w:val="24"/>
        </w:rPr>
        <w:t>The benefit payable to employees will increase incrementally over a number of years, as follows:</w:t>
      </w:r>
    </w:p>
    <w:p w:rsidR="00357589" w:rsidRPr="00357589" w:rsidRDefault="00357589" w:rsidP="00357589">
      <w:pPr>
        <w:tabs>
          <w:tab w:val="left" w:pos="9360"/>
        </w:tabs>
        <w:ind w:left="540"/>
        <w:jc w:val="both"/>
        <w:rPr>
          <w:rFonts w:ascii="Times New Roman" w:hAnsi="Times New Roman" w:cs="Times New Roman"/>
          <w:sz w:val="24"/>
          <w:szCs w:val="24"/>
        </w:rPr>
      </w:pPr>
      <w:r w:rsidRPr="00357589">
        <w:rPr>
          <w:rFonts w:ascii="Times New Roman" w:hAnsi="Times New Roman" w:cs="Times New Roman"/>
          <w:sz w:val="24"/>
          <w:szCs w:val="24"/>
          <w:u w:val="single"/>
        </w:rPr>
        <w:t>Beginning on January 1, 2018</w:t>
      </w:r>
      <w:r w:rsidRPr="00357589">
        <w:rPr>
          <w:rFonts w:ascii="Times New Roman" w:hAnsi="Times New Roman" w:cs="Times New Roman"/>
          <w:sz w:val="24"/>
          <w:szCs w:val="24"/>
        </w:rPr>
        <w:t>:  50% of the employee’s average weekly wage or 50% of state average weekly wage, whichever is lower, for up to 8 weeks in a 52-week calendar period.</w:t>
      </w:r>
    </w:p>
    <w:p w:rsidR="00357589" w:rsidRPr="00357589" w:rsidRDefault="00357589" w:rsidP="00357589">
      <w:pPr>
        <w:tabs>
          <w:tab w:val="left" w:pos="9360"/>
        </w:tabs>
        <w:ind w:left="540"/>
        <w:jc w:val="both"/>
        <w:rPr>
          <w:rFonts w:ascii="Times New Roman" w:hAnsi="Times New Roman" w:cs="Times New Roman"/>
          <w:sz w:val="24"/>
          <w:szCs w:val="24"/>
        </w:rPr>
      </w:pPr>
      <w:r w:rsidRPr="00357589">
        <w:rPr>
          <w:rFonts w:ascii="Times New Roman" w:hAnsi="Times New Roman" w:cs="Times New Roman"/>
          <w:sz w:val="24"/>
          <w:szCs w:val="24"/>
          <w:u w:val="single"/>
        </w:rPr>
        <w:t>Beginning on January 1, 2019</w:t>
      </w:r>
      <w:r w:rsidRPr="00357589">
        <w:rPr>
          <w:rFonts w:ascii="Times New Roman" w:hAnsi="Times New Roman" w:cs="Times New Roman"/>
          <w:sz w:val="24"/>
          <w:szCs w:val="24"/>
        </w:rPr>
        <w:t xml:space="preserve">:  55% of the employee’s average weekly wage or 55% of state average weekly wage, whichever is lower, for up to 10 weeks in a 52-week calendar period. </w:t>
      </w:r>
    </w:p>
    <w:p w:rsidR="00357589" w:rsidRPr="00357589" w:rsidRDefault="00357589" w:rsidP="00357589">
      <w:pPr>
        <w:tabs>
          <w:tab w:val="left" w:pos="9360"/>
        </w:tabs>
        <w:ind w:left="540"/>
        <w:jc w:val="both"/>
        <w:rPr>
          <w:rFonts w:ascii="Times New Roman" w:hAnsi="Times New Roman" w:cs="Times New Roman"/>
          <w:sz w:val="24"/>
          <w:szCs w:val="24"/>
        </w:rPr>
      </w:pPr>
      <w:r w:rsidRPr="00357589">
        <w:rPr>
          <w:rFonts w:ascii="Times New Roman" w:hAnsi="Times New Roman" w:cs="Times New Roman"/>
          <w:sz w:val="24"/>
          <w:szCs w:val="24"/>
          <w:u w:val="single"/>
        </w:rPr>
        <w:t>Beginning on January 1, 2020</w:t>
      </w:r>
      <w:r w:rsidRPr="00357589">
        <w:rPr>
          <w:rFonts w:ascii="Times New Roman" w:hAnsi="Times New Roman" w:cs="Times New Roman"/>
          <w:sz w:val="24"/>
          <w:szCs w:val="24"/>
        </w:rPr>
        <w:t xml:space="preserve">:  60% of the employee’s average weekly wage or 60% of state average weekly wage, whichever is lower, for up to 10 weeks in a 52-week calendar period. </w:t>
      </w:r>
    </w:p>
    <w:p w:rsidR="00357589" w:rsidRPr="00357589" w:rsidRDefault="00357589" w:rsidP="00357589">
      <w:pPr>
        <w:tabs>
          <w:tab w:val="left" w:pos="9360"/>
        </w:tabs>
        <w:ind w:left="540"/>
        <w:jc w:val="both"/>
        <w:rPr>
          <w:rFonts w:ascii="Times New Roman" w:hAnsi="Times New Roman" w:cs="Times New Roman"/>
          <w:sz w:val="24"/>
          <w:szCs w:val="24"/>
        </w:rPr>
      </w:pPr>
    </w:p>
    <w:p w:rsidR="00357589" w:rsidRPr="00357589" w:rsidRDefault="00357589" w:rsidP="00357589">
      <w:pPr>
        <w:tabs>
          <w:tab w:val="left" w:pos="9360"/>
        </w:tabs>
        <w:ind w:left="540"/>
        <w:jc w:val="both"/>
        <w:rPr>
          <w:rFonts w:ascii="Times New Roman" w:hAnsi="Times New Roman" w:cs="Times New Roman"/>
          <w:sz w:val="24"/>
          <w:szCs w:val="24"/>
        </w:rPr>
      </w:pPr>
      <w:r w:rsidRPr="00357589">
        <w:rPr>
          <w:rFonts w:ascii="Times New Roman" w:hAnsi="Times New Roman" w:cs="Times New Roman"/>
          <w:sz w:val="24"/>
          <w:szCs w:val="24"/>
          <w:u w:val="single"/>
        </w:rPr>
        <w:lastRenderedPageBreak/>
        <w:t>Beginning on January 1, 2021</w:t>
      </w:r>
      <w:r w:rsidRPr="00357589">
        <w:rPr>
          <w:rFonts w:ascii="Times New Roman" w:hAnsi="Times New Roman" w:cs="Times New Roman"/>
          <w:sz w:val="24"/>
          <w:szCs w:val="24"/>
        </w:rPr>
        <w:t xml:space="preserve">:  67% of the employee’s average weekly wage or 67% of state average weekly wage, whichever is lower, for up to 12 weeks in a 52-week calendar period.  </w:t>
      </w:r>
    </w:p>
    <w:p w:rsidR="00357589" w:rsidRDefault="00357589" w:rsidP="00357589">
      <w:pPr>
        <w:jc w:val="both"/>
        <w:rPr>
          <w:rFonts w:ascii="Times New Roman" w:hAnsi="Times New Roman" w:cs="Times New Roman"/>
          <w:sz w:val="24"/>
          <w:szCs w:val="24"/>
        </w:rPr>
      </w:pPr>
      <w:r w:rsidRPr="00357589">
        <w:rPr>
          <w:rFonts w:ascii="Times New Roman" w:hAnsi="Times New Roman" w:cs="Times New Roman"/>
          <w:sz w:val="24"/>
          <w:szCs w:val="24"/>
        </w:rPr>
        <w:t>Employees who request, and are granted, intermittent leave under the NYPFL may be required to provide notice to the Company before each day of intermittent leave.</w:t>
      </w:r>
    </w:p>
    <w:p w:rsidR="00357589" w:rsidRPr="00357589" w:rsidRDefault="00357589" w:rsidP="00357589">
      <w:pPr>
        <w:jc w:val="both"/>
        <w:rPr>
          <w:rFonts w:ascii="Times New Roman" w:hAnsi="Times New Roman" w:cs="Times New Roman"/>
          <w:sz w:val="24"/>
          <w:szCs w:val="24"/>
        </w:rPr>
      </w:pPr>
    </w:p>
    <w:p w:rsidR="00357589" w:rsidRPr="00357589" w:rsidRDefault="00357589" w:rsidP="00357589">
      <w:pPr>
        <w:jc w:val="both"/>
        <w:rPr>
          <w:rFonts w:ascii="Times New Roman" w:hAnsi="Times New Roman" w:cs="Times New Roman"/>
          <w:b/>
          <w:sz w:val="24"/>
          <w:szCs w:val="24"/>
        </w:rPr>
      </w:pPr>
      <w:r w:rsidRPr="00357589">
        <w:rPr>
          <w:rFonts w:ascii="Times New Roman" w:hAnsi="Times New Roman" w:cs="Times New Roman"/>
          <w:b/>
          <w:sz w:val="24"/>
          <w:szCs w:val="24"/>
        </w:rPr>
        <w:t>Notice Requirement</w:t>
      </w:r>
    </w:p>
    <w:p w:rsidR="00357589" w:rsidRDefault="00357589" w:rsidP="00357589">
      <w:pPr>
        <w:jc w:val="both"/>
        <w:rPr>
          <w:rFonts w:ascii="Times New Roman" w:hAnsi="Times New Roman" w:cs="Times New Roman"/>
          <w:sz w:val="24"/>
          <w:szCs w:val="24"/>
        </w:rPr>
      </w:pPr>
      <w:r w:rsidRPr="00357589">
        <w:rPr>
          <w:rFonts w:ascii="Times New Roman" w:hAnsi="Times New Roman" w:cs="Times New Roman"/>
          <w:sz w:val="24"/>
          <w:szCs w:val="24"/>
        </w:rPr>
        <w:t xml:space="preserve">If the basis for NYPFL leave is foreseeable, employees must provide the Company with at least 30 days’ advance notice before leave is to begin.  Foreseeable events include an expected birth, placement for adoption or foster care, planned medical treatment for a serious health condition of a family member or covered service member, or other known military exigency.  If 30 days’ advance notice is not practicable, notice must be given as soon as practicable.  In addition, the employee must advise the Company as soon as practicable if dates of scheduled leave change or are extended.   </w:t>
      </w:r>
    </w:p>
    <w:p w:rsidR="00357589" w:rsidRPr="00357589" w:rsidRDefault="00357589" w:rsidP="00357589">
      <w:pPr>
        <w:jc w:val="both"/>
        <w:rPr>
          <w:rFonts w:ascii="Times New Roman" w:hAnsi="Times New Roman" w:cs="Times New Roman"/>
          <w:sz w:val="24"/>
          <w:szCs w:val="24"/>
        </w:rPr>
      </w:pPr>
    </w:p>
    <w:p w:rsidR="00357589" w:rsidRPr="00357589" w:rsidRDefault="00357589" w:rsidP="00357589">
      <w:pPr>
        <w:jc w:val="both"/>
        <w:rPr>
          <w:rFonts w:ascii="Times New Roman" w:hAnsi="Times New Roman" w:cs="Times New Roman"/>
          <w:b/>
          <w:sz w:val="24"/>
          <w:szCs w:val="24"/>
        </w:rPr>
      </w:pPr>
      <w:r w:rsidRPr="00357589">
        <w:rPr>
          <w:rFonts w:ascii="Times New Roman" w:hAnsi="Times New Roman" w:cs="Times New Roman"/>
          <w:b/>
          <w:sz w:val="24"/>
          <w:szCs w:val="24"/>
        </w:rPr>
        <w:t>Interaction with Other Leave Provisions</w:t>
      </w:r>
    </w:p>
    <w:p w:rsidR="00357589" w:rsidRPr="00357589" w:rsidRDefault="00357589" w:rsidP="00357589">
      <w:pPr>
        <w:jc w:val="both"/>
        <w:rPr>
          <w:rFonts w:ascii="Times New Roman" w:hAnsi="Times New Roman" w:cs="Times New Roman"/>
          <w:sz w:val="24"/>
          <w:szCs w:val="24"/>
        </w:rPr>
      </w:pPr>
      <w:r w:rsidRPr="00357589">
        <w:rPr>
          <w:rFonts w:ascii="Times New Roman" w:hAnsi="Times New Roman" w:cs="Times New Roman"/>
          <w:sz w:val="24"/>
          <w:szCs w:val="24"/>
        </w:rPr>
        <w:t xml:space="preserve">NYPFL leave shall run concurrently with all other family leave provisions for which the employee may be eligible, including FMLA leave.  Employees eligible for both NYPFL and FMLA leaves of absence may not receive more than 12 weeks of protected family leave per 52-week period.  </w:t>
      </w:r>
    </w:p>
    <w:p w:rsidR="00357589" w:rsidRPr="00357589" w:rsidRDefault="00357589" w:rsidP="00357589">
      <w:pPr>
        <w:jc w:val="both"/>
        <w:rPr>
          <w:rFonts w:ascii="Times New Roman" w:hAnsi="Times New Roman" w:cs="Times New Roman"/>
          <w:sz w:val="24"/>
          <w:szCs w:val="24"/>
        </w:rPr>
      </w:pPr>
      <w:r w:rsidRPr="00357589">
        <w:rPr>
          <w:rFonts w:ascii="Times New Roman" w:hAnsi="Times New Roman" w:cs="Times New Roman"/>
          <w:sz w:val="24"/>
          <w:szCs w:val="24"/>
        </w:rPr>
        <w:t xml:space="preserve">Employees are permitted, but not required, to use their vacation, sick and personal days during their NYPFL leave so as to receive their full salary during NYPFL leave.  </w:t>
      </w:r>
    </w:p>
    <w:p w:rsidR="00357589" w:rsidRDefault="00357589" w:rsidP="00357589">
      <w:pPr>
        <w:jc w:val="both"/>
        <w:rPr>
          <w:rFonts w:ascii="Times New Roman" w:hAnsi="Times New Roman" w:cs="Times New Roman"/>
          <w:sz w:val="24"/>
          <w:szCs w:val="24"/>
        </w:rPr>
      </w:pPr>
      <w:r w:rsidRPr="00357589">
        <w:rPr>
          <w:rFonts w:ascii="Times New Roman" w:hAnsi="Times New Roman" w:cs="Times New Roman"/>
          <w:sz w:val="24"/>
          <w:szCs w:val="24"/>
        </w:rPr>
        <w:t>Employees may not receive disability benefits while on NYPFL leave.</w:t>
      </w:r>
    </w:p>
    <w:p w:rsidR="00357589" w:rsidRPr="00357589" w:rsidRDefault="00357589" w:rsidP="00357589">
      <w:pPr>
        <w:jc w:val="both"/>
        <w:rPr>
          <w:rFonts w:ascii="Times New Roman" w:hAnsi="Times New Roman" w:cs="Times New Roman"/>
          <w:sz w:val="24"/>
          <w:szCs w:val="24"/>
        </w:rPr>
      </w:pPr>
    </w:p>
    <w:p w:rsidR="00357589" w:rsidRPr="00357589" w:rsidRDefault="00357589" w:rsidP="00357589">
      <w:pPr>
        <w:jc w:val="both"/>
        <w:rPr>
          <w:rFonts w:ascii="Times New Roman" w:hAnsi="Times New Roman" w:cs="Times New Roman"/>
          <w:b/>
          <w:sz w:val="24"/>
          <w:szCs w:val="24"/>
        </w:rPr>
      </w:pPr>
      <w:r w:rsidRPr="00357589">
        <w:rPr>
          <w:rFonts w:ascii="Times New Roman" w:hAnsi="Times New Roman" w:cs="Times New Roman"/>
          <w:b/>
          <w:sz w:val="24"/>
          <w:szCs w:val="24"/>
        </w:rPr>
        <w:t>Additional Details</w:t>
      </w:r>
    </w:p>
    <w:p w:rsidR="00357589" w:rsidRPr="00357589" w:rsidRDefault="00357589" w:rsidP="00357589">
      <w:pPr>
        <w:jc w:val="both"/>
        <w:rPr>
          <w:rFonts w:ascii="Times New Roman" w:hAnsi="Times New Roman" w:cs="Times New Roman"/>
          <w:sz w:val="24"/>
          <w:szCs w:val="24"/>
        </w:rPr>
      </w:pPr>
      <w:r w:rsidRPr="00357589">
        <w:rPr>
          <w:rFonts w:ascii="Times New Roman" w:hAnsi="Times New Roman" w:cs="Times New Roman"/>
          <w:sz w:val="24"/>
          <w:szCs w:val="24"/>
        </w:rPr>
        <w:t xml:space="preserve">NYPFL benefits are funded by employee contributions.  Employee contributions to the NYPFL insurance policy maintained by the Company will be noted on an employee’s pay stub.  </w:t>
      </w:r>
    </w:p>
    <w:p w:rsidR="00357589" w:rsidRPr="00357589" w:rsidRDefault="00357589" w:rsidP="00357589">
      <w:pPr>
        <w:jc w:val="both"/>
        <w:rPr>
          <w:rFonts w:ascii="Times New Roman" w:hAnsi="Times New Roman" w:cs="Times New Roman"/>
          <w:sz w:val="24"/>
          <w:szCs w:val="24"/>
        </w:rPr>
      </w:pPr>
      <w:r w:rsidRPr="00357589">
        <w:rPr>
          <w:rFonts w:ascii="Times New Roman" w:hAnsi="Times New Roman" w:cs="Times New Roman"/>
          <w:sz w:val="24"/>
          <w:szCs w:val="24"/>
        </w:rPr>
        <w:t xml:space="preserve">While on NYPFL leave, employees will continue to receive health insurance benefits under the Company’s group plan, as long as they continue to pay their share of the premium.  If an employee was required to make contributions to coverage before an NYPFL leave, then the employee is obligated to continue to do so during the leave.  Failure to pay premiums may result in a loss of health insurance coverage. </w:t>
      </w:r>
    </w:p>
    <w:p w:rsidR="00357589" w:rsidRPr="00357589" w:rsidRDefault="00357589" w:rsidP="00357589">
      <w:pPr>
        <w:jc w:val="both"/>
        <w:rPr>
          <w:rFonts w:ascii="Times New Roman" w:hAnsi="Times New Roman" w:cs="Times New Roman"/>
          <w:sz w:val="24"/>
          <w:szCs w:val="24"/>
        </w:rPr>
      </w:pPr>
      <w:r w:rsidRPr="00357589">
        <w:rPr>
          <w:rFonts w:ascii="Times New Roman" w:hAnsi="Times New Roman" w:cs="Times New Roman"/>
          <w:sz w:val="24"/>
          <w:szCs w:val="24"/>
        </w:rPr>
        <w:t>NYPFL is job-protected leave; therefore, the Company will make every effort to return employees to their same position or a comparable position after their NYPFL leave ends.</w:t>
      </w:r>
    </w:p>
    <w:p w:rsidR="000A63FA" w:rsidRPr="00357589" w:rsidRDefault="00357589" w:rsidP="00357589">
      <w:pPr>
        <w:rPr>
          <w:rFonts w:ascii="Times New Roman" w:hAnsi="Times New Roman" w:cs="Times New Roman"/>
          <w:sz w:val="24"/>
          <w:szCs w:val="24"/>
        </w:rPr>
      </w:pPr>
      <w:r w:rsidRPr="00357589">
        <w:rPr>
          <w:rFonts w:ascii="Times New Roman" w:hAnsi="Times New Roman" w:cs="Times New Roman"/>
          <w:sz w:val="24"/>
          <w:szCs w:val="24"/>
        </w:rPr>
        <w:t>Employees with questions regarding NYPFL leave, including whether they are eligible, should contact Human Resources.</w:t>
      </w:r>
    </w:p>
    <w:sectPr w:rsidR="000A63FA" w:rsidRPr="0035758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2EB4" w:rsidRDefault="008F2EB4" w:rsidP="000A63FA">
      <w:pPr>
        <w:spacing w:after="0" w:line="240" w:lineRule="auto"/>
      </w:pPr>
      <w:r>
        <w:separator/>
      </w:r>
    </w:p>
  </w:endnote>
  <w:endnote w:type="continuationSeparator" w:id="0">
    <w:p w:rsidR="008F2EB4" w:rsidRDefault="008F2EB4" w:rsidP="000A63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50402020203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2EB4" w:rsidRDefault="008F2EB4" w:rsidP="000A63FA">
      <w:pPr>
        <w:spacing w:after="0" w:line="240" w:lineRule="auto"/>
      </w:pPr>
      <w:r>
        <w:separator/>
      </w:r>
    </w:p>
  </w:footnote>
  <w:footnote w:type="continuationSeparator" w:id="0">
    <w:p w:rsidR="008F2EB4" w:rsidRDefault="008F2EB4" w:rsidP="000A63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A671DF"/>
    <w:multiLevelType w:val="hybridMultilevel"/>
    <w:tmpl w:val="46FE09C0"/>
    <w:lvl w:ilvl="0" w:tplc="852699A8">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585FC5"/>
    <w:multiLevelType w:val="hybridMultilevel"/>
    <w:tmpl w:val="0FF0D49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20CA20A9"/>
    <w:multiLevelType w:val="hybridMultilevel"/>
    <w:tmpl w:val="7048121C"/>
    <w:lvl w:ilvl="0" w:tplc="852699A8">
      <w:numFmt w:val="bullet"/>
      <w:lvlText w:val=""/>
      <w:lvlJc w:val="left"/>
      <w:pPr>
        <w:ind w:left="2160" w:hanging="360"/>
      </w:pPr>
      <w:rPr>
        <w:rFonts w:ascii="Symbol" w:eastAsiaTheme="minorHAnsi" w:hAnsi="Symbol"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63FA"/>
    <w:rsid w:val="000A63FA"/>
    <w:rsid w:val="001B2923"/>
    <w:rsid w:val="002A2754"/>
    <w:rsid w:val="00357589"/>
    <w:rsid w:val="00785F3E"/>
    <w:rsid w:val="007B0C7D"/>
    <w:rsid w:val="008F2EB4"/>
    <w:rsid w:val="00A57727"/>
    <w:rsid w:val="00D736F1"/>
    <w:rsid w:val="00DB5993"/>
    <w:rsid w:val="00FC51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0A3806-FD1D-43A9-823E-A172F8100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A63FA"/>
  </w:style>
  <w:style w:type="paragraph" w:customStyle="1" w:styleId="p2">
    <w:name w:val="p2"/>
    <w:basedOn w:val="Normal"/>
    <w:rsid w:val="000A63FA"/>
    <w:pPr>
      <w:spacing w:after="0" w:line="240" w:lineRule="auto"/>
    </w:pPr>
    <w:rPr>
      <w:rFonts w:ascii="Helvetica" w:hAnsi="Helvetica" w:cs="Times New Roman"/>
      <w:sz w:val="15"/>
      <w:szCs w:val="15"/>
    </w:rPr>
  </w:style>
  <w:style w:type="paragraph" w:styleId="FootnoteText">
    <w:name w:val="footnote text"/>
    <w:basedOn w:val="Normal"/>
    <w:link w:val="FootnoteTextChar"/>
    <w:uiPriority w:val="99"/>
    <w:semiHidden/>
    <w:unhideWhenUsed/>
    <w:rsid w:val="000A63F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A63FA"/>
    <w:rPr>
      <w:sz w:val="20"/>
      <w:szCs w:val="20"/>
    </w:rPr>
  </w:style>
  <w:style w:type="character" w:styleId="FootnoteReference">
    <w:name w:val="footnote reference"/>
    <w:basedOn w:val="DefaultParagraphFont"/>
    <w:uiPriority w:val="99"/>
    <w:semiHidden/>
    <w:unhideWhenUsed/>
    <w:rsid w:val="000A63FA"/>
    <w:rPr>
      <w:vertAlign w:val="superscript"/>
    </w:rPr>
  </w:style>
  <w:style w:type="character" w:styleId="Hyperlink">
    <w:name w:val="Hyperlink"/>
    <w:basedOn w:val="DefaultParagraphFont"/>
    <w:uiPriority w:val="99"/>
    <w:unhideWhenUsed/>
    <w:rsid w:val="00FC51B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vca.org/download/60947/"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18CF73-9D98-429F-9A94-2016F43A92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717</Words>
  <Characters>4088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NVCA Membership</dc:creator>
  <cp:keywords/>
  <dc:description/>
  <cp:lastModifiedBy>Ben Veghte</cp:lastModifiedBy>
  <cp:revision>6</cp:revision>
  <dcterms:created xsi:type="dcterms:W3CDTF">2018-02-08T06:08:00Z</dcterms:created>
  <dcterms:modified xsi:type="dcterms:W3CDTF">2018-02-21T18:02:00Z</dcterms:modified>
</cp:coreProperties>
</file>