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Employment Offer Letter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First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This is an offer of employment. The terms are those of the Square One Standard Employment Terms, First Edition (https://squareoneforms.com/employment/1e),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</w:r>
            <w:r>
              <w:rPr>
                <w:rFonts w:ascii="Times New Roman" w:hAnsi="Times New Roman"/>
              </w:rPr>
              <w:t>Signature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</w:r>
            <w:r>
              <w:rPr>
                <w:rFonts w:ascii="Times New Roman" w:hAnsi="Times New Roman"/>
              </w:rPr>
              <w:t>Signature</w:t>
            </w:r>
            <w:r>
              <w:rPr>
                <w:rFonts w:ascii="Times New Roman" w:hAnsi="Times New Roman"/>
              </w:rPr>
              <w:t>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181</Words>
  <Characters>1036</Characters>
  <CharactersWithSpaces>1194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2020-10-22T15:36:00Z</dcterms:modified>
  <cp:revision>6</cp:revision>
  <dc:subject/>
  <dc:title/>
</cp:coreProperties>
</file>