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Edition, Second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eastAsia="Noto Serif CJK SC" w:cs="FreeSans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Second Edition, Second Update</w:t>
      </w:r>
      <w:r>
        <w:rPr>
          <w:rFonts w:ascii="Times New Roman" w:hAnsi="Times New Roman"/>
        </w:rPr>
        <w:t xml:space="preserve"> (https://squareoneforms.com/contractor/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2e2u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proofread and format the company’s annual marketing report for presentation to the company’s board of directors for up to eight hours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$134.50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monthly, in arrears, in fairly rounder quarter-hour increments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1</Pages>
  <Words>96</Words>
  <Characters>605</Characters>
  <CharactersWithSpaces>682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2022-03-17T21:34:27Z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