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Square One Standard Statement of Work</w:t>
      </w:r>
    </w:p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{{Edition Spelled}}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We agree to these terms, along with the Square One Standard Contractor Terms, </w:t>
      </w:r>
      <w:r>
        <w:rPr>
          <w:rFonts w:ascii="Times New Roman" w:hAnsi="Times New Roman"/>
        </w:rPr>
        <w:t>{{Edition Spelled}}</w:t>
      </w:r>
      <w:r>
        <w:rPr>
          <w:rFonts w:ascii="Times New Roman" w:hAnsi="Times New Roman"/>
        </w:rPr>
        <w:t xml:space="preserve"> (https://squareoneforms.com/contractor/</w:t>
      </w:r>
      <w:r>
        <w:rPr>
          <w:rFonts w:ascii="Times New Roman" w:hAnsi="Times New Roman"/>
        </w:rPr>
        <w:t>{{Edition Code}}</w:t>
      </w:r>
      <w:r>
        <w:rPr>
          <w:rFonts w:ascii="Times New Roman" w:hAnsi="Times New Roman"/>
        </w:rPr>
        <w:t>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{Describe the work, work standards, methods of delivery, and deadlines.}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{Describe what the contractor will charge.}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{Describe when and how the contractor will bill the client.}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{Describe how the client will pay the contractor.}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{ContractorCo,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1</Pages>
  <Words>97</Words>
  <Characters>630</Characters>
  <CharactersWithSpaces>709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2021-04-01T23:45:05Z</dcterms:modified>
  <cp:revision>9</cp:revision>
  <dc:subject/>
  <dc:title/>
</cp:coreProperties>
</file>