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Square One Statement of Work</w:t>
      </w:r>
    </w:p>
    <w:p>
      <w:pPr>
        <w:pStyle w:val="TextBody"/>
      </w:pPr>
      <w:r>
        <w:rPr>
          <w:bCs/>
          <w:b/>
        </w:rPr>
        <w:t xml:space="preserve">Version 3.0.0</w:t>
      </w:r>
    </w:p>
    <w:p>
      <w:pPr>
        <w:pStyle w:val="TextBody"/>
      </w:pPr>
      <w:r>
        <w:t xml:space="preserve">We agree to these terms, along with the Square One Contractor Terms Version 3.0.0 (https://squareoneforms.com/contractor/3.0.0).</w:t>
      </w:r>
    </w:p>
    <w:p>
      <w:pPr>
        <w:pStyle w:val="TextBody"/>
      </w:pPr>
      <w:r>
        <w:rPr>
          <w:iCs/>
          <w:i/>
        </w:rPr>
        <w:t xml:space="preserve">Work to Be Done</w:t>
      </w:r>
      <w:r>
        <w:t xml:space="preserve">: {proofread and format the company’s annual marketing report for presentation to the company’s board of directors for up to eight hours}</w:t>
      </w:r>
    </w:p>
    <w:p>
      <w:pPr>
        <w:pStyle w:val="TextBody"/>
      </w:pPr>
      <w:r>
        <w:rPr>
          <w:iCs/>
          <w:i/>
        </w:rPr>
        <w:t xml:space="preserve">Fees</w:t>
      </w:r>
      <w:r>
        <w:t xml:space="preserve">: {$134.50 per hour}</w:t>
      </w:r>
    </w:p>
    <w:p>
      <w:pPr>
        <w:pStyle w:val="TextBody"/>
      </w:pPr>
      <w:r>
        <w:rPr>
          <w:iCs/>
          <w:i/>
        </w:rPr>
        <w:t xml:space="preserve">Billing</w:t>
      </w:r>
      <w:r>
        <w:t xml:space="preserve">: {monthly, in arrears, in fairly rounded quarter-hour increments}</w:t>
      </w:r>
    </w:p>
    <w:p>
      <w:pPr>
        <w:pStyle w:val="TextBody"/>
      </w:pPr>
      <w:r>
        <w:rPr>
          <w:iCs/>
          <w:i/>
        </w:rPr>
        <w:t xml:space="preserve">Payment Method</w:t>
      </w:r>
      <w:r>
        <w:t xml:space="preserve">: {ACH}</w:t>
      </w:r>
    </w:p>
    <w:p>
      <w:pPr>
        <w:pStyle w:val="TextBody"/>
      </w:pPr>
      <w:r>
        <w:rPr>
          <w:iCs/>
          <w:i/>
        </w:rPr>
        <w:t xml:space="preserve">Personnel</w:t>
      </w:r>
      <w:r>
        <w:t xml:space="preserve">: contractor {“may” or “may not”} use employees and subcontractors to do work under this statement of work</w:t>
      </w:r>
    </w:p>
    <w:p>
      <w:pPr>
        <w:pStyle w:val="TextBody"/>
      </w:pPr>
      <w:r>
        <w:rPr>
          <w:iCs/>
          <w:i/>
        </w:rPr>
        <w:t xml:space="preserve">Start Date</w:t>
      </w:r>
      <w:r>
        <w:t xml:space="preserve">: {February 1, 2020}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Contractor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{ClientCo, Inc.},</w:t>
            </w:r>
            <w:r>
              <w:br/>
            </w:r>
            <w:r>
              <w:t xml:space="preserve">{a Delaware corporation}</w:t>
            </w:r>
            <w:r>
              <w:br/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Signature: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Signature: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Name: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Name: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Title:</w:t>
            </w:r>
            <w:r>
              <w:br/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Address:</w:t>
            </w:r>
          </w:p>
        </w:tc>
      </w:tr>
    </w:tbl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/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2023-08-11T00:58:16Z</dcterms:created>
  <dcterms:modified xsi:type="dcterms:W3CDTF">2023-08-11T00:58:16Z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