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88" w:before="0" w:after="0"/>
        <w:jc w:val="center"/>
        <w:rPr>
          <w:b/>
          <w:b/>
          <w:bCs/>
          <w:rFonts w:ascii="Times New Roman" w:hAnsi="Times New Roman"/>
        </w:rPr>
      </w:pPr>
      <w:r>
        <w:rPr>
          <w:rFonts w:ascii="Times New Roman" w:hAnsi="Times New Roman"/>
          <w:b/>
          <w:bCs/>
        </w:rPr>
        <w:t>Rule 506 Excerpt</w:t>
      </w:r>
      <w:r/>
    </w:p>
    <w:p>
      <w:pPr>
        <w:pStyle w:val="TextBody"/>
        <w:spacing w:lineRule="auto" w:line="288" w:before="0" w:after="0"/>
        <w:jc w:val="center"/>
        <w:rPr>
          <w:b/>
          <w:b/>
          <w:bCs/>
          <w:rFonts w:ascii="Times New Roman" w:hAnsi="Times New Roman"/>
        </w:rPr>
      </w:pPr>
      <w:r>
        <w:rPr>
          <w:rFonts w:ascii="Times New Roman" w:hAnsi="Times New Roman"/>
          <w:b/>
          <w:bCs/>
        </w:rPr>
      </w:r>
      <w:r/>
    </w:p>
    <w:p>
      <w:pPr>
        <w:pStyle w:val="TextBody"/>
        <w:spacing w:lineRule="auto" w:line="288" w:before="0" w:after="0"/>
        <w:jc w:val="center"/>
        <w:rPr>
          <w:rFonts w:ascii="Times New Roman" w:hAnsi="Times New Roman"/>
        </w:rPr>
      </w:pPr>
      <w:r>
        <w:rPr>
          <w:rFonts w:ascii="Times New Roman" w:hAnsi="Times New Roman"/>
        </w:rPr>
        <w:t>Rule 506(d)(1)(i) to (viii) under the Securities Act of 1933, as amended</w:t>
      </w:r>
      <w:r/>
    </w:p>
    <w:p>
      <w:pPr>
        <w:pStyle w:val="TextBody"/>
        <w:spacing w:lineRule="auto" w:line="288" w:before="0" w:after="0"/>
        <w:jc w:val="center"/>
        <w:rPr>
          <w:rFonts w:ascii="Times New Roman" w:hAnsi="Times New Roman"/>
        </w:rPr>
      </w:pPr>
      <w:r>
        <w:rPr>
          <w:rFonts w:ascii="Times New Roman" w:hAnsi="Times New Roman"/>
        </w:rPr>
      </w:r>
      <w:r/>
    </w:p>
    <w:p>
      <w:pPr>
        <w:pStyle w:val="TextBody"/>
        <w:spacing w:lineRule="auto" w:line="288" w:before="0" w:after="0"/>
        <w:ind w:left="720" w:right="0" w:hanging="720"/>
        <w:jc w:val="both"/>
      </w:pPr>
      <w:r>
        <w:rPr>
          <w:rFonts w:ascii="Times New Roman" w:hAnsi="Times New Roman"/>
        </w:rPr>
        <w:t>(i</w:t>
      </w:r>
      <w:r>
        <w:rPr>
          <w:rFonts w:ascii="Times New Roman" w:hAnsi="Times New Roman"/>
        </w:rPr>
        <w:t>)</w:t>
        <w:tab/>
      </w:r>
      <w:r>
        <w:rPr>
          <w:rFonts w:ascii="Times New Roman" w:hAnsi="Times New Roman"/>
        </w:rPr>
        <w:t>Has been convicted, within ten years before such sale (or five years, in the case of issuers, their predecessors and affiliated issuers), of any felony or misdemeanor:</w:t>
      </w:r>
      <w:r/>
    </w:p>
    <w:p>
      <w:pPr>
        <w:pStyle w:val="TextBody"/>
        <w:spacing w:lineRule="auto" w:line="288" w:before="0" w:after="0"/>
        <w:ind w:left="1440" w:right="0" w:hanging="720"/>
        <w:jc w:val="both"/>
        <w:rPr>
          <w:rFonts w:ascii="Times New Roman" w:hAnsi="Times New Roman"/>
        </w:rPr>
      </w:pPr>
      <w:r>
        <w:rPr>
          <w:rFonts w:ascii="Times New Roman" w:hAnsi="Times New Roman"/>
        </w:rPr>
        <w:t>(A)</w:t>
        <w:tab/>
        <w:t>In connection with the purchase or sale of any security;</w:t>
      </w:r>
      <w:r/>
    </w:p>
    <w:p>
      <w:pPr>
        <w:pStyle w:val="TextBody"/>
        <w:spacing w:lineRule="auto" w:line="288" w:before="0" w:after="0"/>
        <w:ind w:left="1440" w:right="0" w:hanging="720"/>
        <w:jc w:val="both"/>
        <w:rPr>
          <w:rFonts w:ascii="Times New Roman" w:hAnsi="Times New Roman"/>
        </w:rPr>
      </w:pPr>
      <w:r>
        <w:rPr>
          <w:rFonts w:ascii="Times New Roman" w:hAnsi="Times New Roman"/>
        </w:rPr>
        <w:t xml:space="preserve">(B) </w:t>
        <w:tab/>
        <w:t>nvolving the making of any false filing with the Commission; or</w:t>
      </w:r>
      <w:r/>
    </w:p>
    <w:p>
      <w:pPr>
        <w:pStyle w:val="TextBody"/>
        <w:spacing w:lineRule="auto" w:line="288" w:before="0" w:after="0"/>
        <w:ind w:left="1440" w:right="0" w:hanging="720"/>
        <w:jc w:val="both"/>
        <w:rPr>
          <w:rFonts w:ascii="Times New Roman" w:hAnsi="Times New Roman"/>
        </w:rPr>
      </w:pPr>
      <w:r>
        <w:rPr>
          <w:rFonts w:ascii="Times New Roman" w:hAnsi="Times New Roman"/>
        </w:rPr>
        <w:t>(C)</w:t>
        <w:tab/>
        <w:t>Arising out of the conduct of the business of an underwriter, broker, dealer, municipal securities dealer, investment adviser or paid solicitor of purchasers of securities;</w:t>
      </w:r>
      <w:r/>
    </w:p>
    <w:p>
      <w:pPr>
        <w:pStyle w:val="TextBody"/>
        <w:spacing w:lineRule="auto" w:line="288" w:before="0" w:after="0"/>
        <w:ind w:left="720" w:right="0" w:hanging="720"/>
        <w:jc w:val="both"/>
        <w:rPr>
          <w:rFonts w:ascii="Times New Roman" w:hAnsi="Times New Roman"/>
        </w:rPr>
      </w:pPr>
      <w:r>
        <w:rPr>
          <w:rFonts w:ascii="Times New Roman" w:hAnsi="Times New Roman"/>
        </w:rPr>
        <w:t>(ii)</w:t>
        <w:tab/>
        <w:t>Is subject to any order, judgment or decree of any court of competent jurisdiction, entered within five years before such sale, that, at the time of such sale, restrains or enjoins such person from engaging or continuing to engage in any conduct or practice:</w:t>
      </w:r>
      <w:r/>
    </w:p>
    <w:p>
      <w:pPr>
        <w:pStyle w:val="TextBody"/>
        <w:spacing w:lineRule="auto" w:line="288" w:before="0" w:after="0"/>
        <w:ind w:left="1440" w:right="0" w:hanging="720"/>
        <w:jc w:val="both"/>
        <w:rPr>
          <w:rFonts w:ascii="Times New Roman" w:hAnsi="Times New Roman"/>
        </w:rPr>
      </w:pPr>
      <w:r>
        <w:rPr>
          <w:rFonts w:ascii="Times New Roman" w:hAnsi="Times New Roman"/>
        </w:rPr>
        <w:t>(A)</w:t>
        <w:tab/>
        <w:t>In connection with the purchase or sale of any security;</w:t>
      </w:r>
      <w:r/>
    </w:p>
    <w:p>
      <w:pPr>
        <w:pStyle w:val="TextBody"/>
        <w:spacing w:lineRule="auto" w:line="288" w:before="0" w:after="0"/>
        <w:ind w:left="1440" w:right="0" w:hanging="720"/>
        <w:jc w:val="both"/>
        <w:rPr>
          <w:rFonts w:ascii="Times New Roman" w:hAnsi="Times New Roman"/>
        </w:rPr>
      </w:pPr>
      <w:r>
        <w:rPr>
          <w:rFonts w:ascii="Times New Roman" w:hAnsi="Times New Roman"/>
        </w:rPr>
        <w:t>(B)</w:t>
        <w:tab/>
        <w:t xml:space="preserve">Involving the making of any false filing with the Commission; or </w:t>
      </w:r>
      <w:r/>
    </w:p>
    <w:p>
      <w:pPr>
        <w:pStyle w:val="TextBody"/>
        <w:spacing w:lineRule="auto" w:line="288" w:before="0" w:after="0"/>
        <w:ind w:left="1440" w:right="0" w:hanging="720"/>
        <w:jc w:val="both"/>
        <w:rPr>
          <w:rFonts w:ascii="Times New Roman" w:hAnsi="Times New Roman"/>
        </w:rPr>
      </w:pPr>
      <w:r>
        <w:rPr>
          <w:rFonts w:ascii="Times New Roman" w:hAnsi="Times New Roman"/>
        </w:rPr>
        <w:t>(C)</w:t>
        <w:tab/>
        <w:t>Arising out of the conduct of the business of an underwriter, broker, dealer, municipal securities dealer, investment adviser or paid solicitor of purchasers of securities;</w:t>
      </w:r>
      <w:r/>
    </w:p>
    <w:p>
      <w:pPr>
        <w:pStyle w:val="TextBody"/>
        <w:spacing w:lineRule="auto" w:line="288" w:before="0" w:after="0"/>
        <w:ind w:left="720" w:right="0" w:hanging="720"/>
        <w:jc w:val="both"/>
        <w:rPr>
          <w:rFonts w:ascii="Times New Roman" w:hAnsi="Times New Roman"/>
        </w:rPr>
      </w:pPr>
      <w:r>
        <w:rPr>
          <w:rFonts w:ascii="Times New Roman" w:hAnsi="Times New Roman"/>
        </w:rPr>
        <w:t>(iii)</w:t>
        <w:tab/>
        <w:t>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r>
      <w:r/>
    </w:p>
    <w:p>
      <w:pPr>
        <w:pStyle w:val="TextBody"/>
        <w:spacing w:lineRule="auto" w:line="288" w:before="0" w:after="0"/>
        <w:ind w:left="1440" w:right="0" w:hanging="720"/>
        <w:jc w:val="both"/>
        <w:rPr>
          <w:rFonts w:ascii="Times New Roman" w:hAnsi="Times New Roman"/>
        </w:rPr>
      </w:pPr>
      <w:r>
        <w:rPr>
          <w:rFonts w:ascii="Times New Roman" w:hAnsi="Times New Roman"/>
        </w:rPr>
        <w:t>(A)</w:t>
        <w:tab/>
        <w:t>At the time of such sale, bars the person from:</w:t>
      </w:r>
      <w:r/>
    </w:p>
    <w:p>
      <w:pPr>
        <w:pStyle w:val="TextBody"/>
        <w:spacing w:lineRule="auto" w:line="288" w:before="0" w:after="0"/>
        <w:ind w:left="2160" w:right="0" w:hanging="720"/>
        <w:jc w:val="both"/>
        <w:rPr>
          <w:rFonts w:ascii="Times New Roman" w:hAnsi="Times New Roman"/>
        </w:rPr>
      </w:pPr>
      <w:r>
        <w:rPr>
          <w:rFonts w:ascii="Times New Roman" w:hAnsi="Times New Roman"/>
        </w:rPr>
        <w:t>(1)</w:t>
        <w:tab/>
        <w:t>Association with an entity regulated by such commission, authority, agency, or officer;</w:t>
      </w:r>
      <w:r/>
    </w:p>
    <w:p>
      <w:pPr>
        <w:pStyle w:val="TextBody"/>
        <w:spacing w:lineRule="auto" w:line="288" w:before="0" w:after="0"/>
        <w:ind w:left="2160" w:right="0" w:hanging="720"/>
        <w:jc w:val="both"/>
        <w:rPr>
          <w:rFonts w:ascii="Times New Roman" w:hAnsi="Times New Roman"/>
        </w:rPr>
      </w:pPr>
      <w:r>
        <w:rPr>
          <w:rFonts w:ascii="Times New Roman" w:hAnsi="Times New Roman"/>
        </w:rPr>
        <w:t>(2)</w:t>
        <w:tab/>
        <w:t>Engaging in the business of securities, insurance or banking; or</w:t>
      </w:r>
      <w:r/>
    </w:p>
    <w:p>
      <w:pPr>
        <w:pStyle w:val="TextBody"/>
        <w:spacing w:lineRule="auto" w:line="288" w:before="0" w:after="0"/>
        <w:ind w:left="2160" w:right="0" w:hanging="720"/>
        <w:jc w:val="both"/>
        <w:rPr>
          <w:rFonts w:ascii="Times New Roman" w:hAnsi="Times New Roman"/>
        </w:rPr>
      </w:pPr>
      <w:r>
        <w:rPr>
          <w:rFonts w:ascii="Times New Roman" w:hAnsi="Times New Roman"/>
        </w:rPr>
        <w:t>(3)</w:t>
        <w:tab/>
        <w:t>Engaging in savings association or credit union activities; or</w:t>
      </w:r>
      <w:r/>
    </w:p>
    <w:p>
      <w:pPr>
        <w:pStyle w:val="TextBody"/>
        <w:spacing w:lineRule="auto" w:line="288" w:before="0" w:after="0"/>
        <w:ind w:left="1440" w:right="0" w:hanging="720"/>
        <w:jc w:val="both"/>
        <w:rPr>
          <w:rFonts w:ascii="Times New Roman" w:hAnsi="Times New Roman"/>
        </w:rPr>
      </w:pPr>
      <w:r>
        <w:rPr>
          <w:rFonts w:ascii="Times New Roman" w:hAnsi="Times New Roman"/>
        </w:rPr>
        <w:t>(B)</w:t>
        <w:tab/>
        <w:t>Constitutes a final order based on a violation of any law or regulation that prohibits fraudulent, manipulative, or deceptive conduct entered within ten years before such sale;</w:t>
      </w:r>
      <w:r/>
    </w:p>
    <w:p>
      <w:pPr>
        <w:pStyle w:val="TextBody"/>
        <w:spacing w:lineRule="auto" w:line="288" w:before="0" w:after="0"/>
        <w:ind w:left="720" w:right="0" w:hanging="720"/>
        <w:jc w:val="both"/>
        <w:rPr>
          <w:rFonts w:ascii="Times New Roman" w:hAnsi="Times New Roman"/>
        </w:rPr>
      </w:pPr>
      <w:r>
        <w:rPr>
          <w:rFonts w:ascii="Times New Roman" w:hAnsi="Times New Roman"/>
        </w:rPr>
        <w:t>(iv)</w:t>
        <w:tab/>
        <w:t>Is subject to an order of the Commission entered pursuant to section 15(b) or 15B(c) of the Securities Exchange Act of 1934 (15 U.S.C. 78o(b) or 78o-4(c)) or section 203(e) or (f) of the Investment Advisers Act of 1940 (15 U.S.C. 80b-3(e) or (f)) that, at the time of such sale:</w:t>
      </w:r>
      <w:r/>
    </w:p>
    <w:p>
      <w:pPr>
        <w:pStyle w:val="TextBody"/>
        <w:spacing w:lineRule="auto" w:line="288" w:before="0" w:after="0"/>
        <w:ind w:left="1440" w:right="0" w:hanging="720"/>
        <w:jc w:val="both"/>
        <w:rPr>
          <w:rFonts w:ascii="Times New Roman" w:hAnsi="Times New Roman"/>
        </w:rPr>
      </w:pPr>
      <w:r>
        <w:rPr>
          <w:rFonts w:ascii="Times New Roman" w:hAnsi="Times New Roman"/>
        </w:rPr>
        <w:t>(A)</w:t>
        <w:tab/>
        <w:t xml:space="preserve">Suspends or revokes such person’s registration as a broker, dealer, municipal securities dealer or investment adviser; </w:t>
      </w:r>
      <w:r/>
    </w:p>
    <w:p>
      <w:pPr>
        <w:pStyle w:val="TextBody"/>
        <w:spacing w:lineRule="auto" w:line="288" w:before="0" w:after="0"/>
        <w:ind w:left="1440" w:right="0" w:hanging="720"/>
        <w:jc w:val="both"/>
        <w:rPr>
          <w:rFonts w:ascii="Times New Roman" w:hAnsi="Times New Roman"/>
        </w:rPr>
      </w:pPr>
      <w:r>
        <w:rPr>
          <w:rFonts w:ascii="Times New Roman" w:hAnsi="Times New Roman"/>
        </w:rPr>
        <w:t>(B)</w:t>
        <w:tab/>
        <w:t>Places limitations on the activities, functions or operations of such person; or</w:t>
      </w:r>
      <w:r/>
    </w:p>
    <w:p>
      <w:pPr>
        <w:pStyle w:val="TextBody"/>
        <w:spacing w:lineRule="auto" w:line="288" w:before="0" w:after="0"/>
        <w:ind w:left="1440" w:right="0" w:hanging="720"/>
        <w:jc w:val="both"/>
        <w:rPr>
          <w:rFonts w:ascii="Times New Roman" w:hAnsi="Times New Roman"/>
        </w:rPr>
      </w:pPr>
      <w:r>
        <w:rPr>
          <w:rFonts w:ascii="Times New Roman" w:hAnsi="Times New Roman"/>
        </w:rPr>
        <w:t>(C)</w:t>
        <w:tab/>
        <w:t>Bars such person from being associated with any entity or from participating in the offering of any penny stock;</w:t>
      </w:r>
      <w:r/>
    </w:p>
    <w:p>
      <w:pPr>
        <w:pStyle w:val="TextBody"/>
        <w:spacing w:lineRule="auto" w:line="288" w:before="0" w:after="0"/>
        <w:ind w:left="720" w:right="0" w:hanging="720"/>
        <w:jc w:val="both"/>
        <w:rPr>
          <w:rFonts w:ascii="Times New Roman" w:hAnsi="Times New Roman"/>
        </w:rPr>
      </w:pPr>
      <w:r>
        <w:rPr>
          <w:rFonts w:ascii="Times New Roman" w:hAnsi="Times New Roman"/>
        </w:rPr>
        <w:t>(v)</w:t>
        <w:tab/>
        <w:t>Is subject to any order of the Commission entered within five years before such sale that, at the time of such sale, orders the person to cease and desist from committing or causing a violation or future violation of:</w:t>
      </w:r>
      <w:r/>
    </w:p>
    <w:p>
      <w:pPr>
        <w:pStyle w:val="TextBody"/>
        <w:spacing w:lineRule="auto" w:line="288" w:before="0" w:after="0"/>
        <w:ind w:left="1440" w:right="0" w:hanging="720"/>
        <w:jc w:val="both"/>
        <w:rPr>
          <w:rFonts w:ascii="Times New Roman" w:hAnsi="Times New Roman"/>
        </w:rPr>
      </w:pPr>
      <w:r>
        <w:rPr>
          <w:rFonts w:ascii="Times New Roman" w:hAnsi="Times New Roman"/>
        </w:rPr>
        <w:t>(A)</w:t>
        <w:tab/>
        <w:t>Any scienter-based anti-fraud provision of the federal securities laws, including without limitation section 17(a)(1) of the Securities Act of 1933 (15 U.S.C. 77q(a)(1)), section 10(b) of the Securities Exchange Act of 1934 (15 U.S.C. 78j(b)) and 17 CFR 240.10b-5, section 15(c)(1) of the Securities Exchange Act of 1934 (15 U.S.C. 78o(c)(1)) and section 206(1) of the Investment Advisers Act of 1940 (15 U.S.C. 80b-6(1)), or any other rule or regulation thereunder; or</w:t>
      </w:r>
      <w:r/>
    </w:p>
    <w:p>
      <w:pPr>
        <w:pStyle w:val="TextBody"/>
        <w:spacing w:lineRule="auto" w:line="288" w:before="0" w:after="0"/>
        <w:ind w:left="1440" w:right="0" w:hanging="720"/>
        <w:jc w:val="both"/>
        <w:rPr>
          <w:rFonts w:ascii="Times New Roman" w:hAnsi="Times New Roman"/>
        </w:rPr>
      </w:pPr>
      <w:r>
        <w:rPr>
          <w:rFonts w:ascii="Times New Roman" w:hAnsi="Times New Roman"/>
        </w:rPr>
        <w:t>(B)</w:t>
        <w:tab/>
        <w:t>Section 5 of the Securities Act of 1933 (15 U.S.C. 77e).</w:t>
      </w:r>
      <w:r/>
    </w:p>
    <w:p>
      <w:pPr>
        <w:pStyle w:val="TextBody"/>
        <w:spacing w:lineRule="auto" w:line="288" w:before="0" w:after="0"/>
        <w:ind w:left="720" w:right="0" w:hanging="720"/>
        <w:jc w:val="both"/>
        <w:rPr>
          <w:rFonts w:ascii="Times New Roman" w:hAnsi="Times New Roman"/>
        </w:rPr>
      </w:pPr>
      <w:r>
        <w:rPr>
          <w:rFonts w:ascii="Times New Roman" w:hAnsi="Times New Roman"/>
        </w:rPr>
        <w:t>(vi)</w:t>
        <w:tab/>
        <w:t>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r/>
    </w:p>
    <w:p>
      <w:pPr>
        <w:pStyle w:val="TextBody"/>
        <w:spacing w:lineRule="auto" w:line="288" w:before="0" w:after="0"/>
        <w:ind w:left="720" w:right="0" w:hanging="720"/>
        <w:jc w:val="both"/>
        <w:rPr>
          <w:rFonts w:ascii="Times New Roman" w:hAnsi="Times New Roman"/>
        </w:rPr>
      </w:pPr>
      <w:r>
        <w:rPr>
          <w:rFonts w:ascii="Times New Roman" w:hAnsi="Times New Roman"/>
        </w:rPr>
        <w:t>(vii)</w:t>
        <w:tab/>
        <w:t>Has filed (as a registrant or issuer), or was or was named as an underwriter in, any registration statement or Regulation A offering statement filed with the Commission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r>
      <w:r/>
    </w:p>
    <w:p>
      <w:pPr>
        <w:pStyle w:val="TextBody"/>
        <w:spacing w:lineRule="auto" w:line="288" w:before="0" w:after="0"/>
        <w:ind w:left="720" w:right="0" w:hanging="720"/>
        <w:jc w:val="both"/>
        <w:rPr>
          <w:rFonts w:ascii="Times New Roman" w:hAnsi="Times New Roman"/>
        </w:rPr>
      </w:pPr>
      <w:r>
        <w:rPr>
          <w:rFonts w:ascii="Times New Roman" w:hAnsi="Times New Roman"/>
        </w:rPr>
        <w:t>(viii)</w:t>
        <w:tab/>
        <w:t>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vertAlign w:val="baseline"/>
        <w:position w:val="0"/>
        <w:sz w:val="24"/>
        <w:sz w:val="24"/>
        <w:sz w:val="24"/>
        <w:szCs w:val="24"/>
        <w:color w:val="000000"/>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rPr/>
    </w:pPr>
    <w:r>
      <w:rPr/>
      <w:t xml:space="preserve"> </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ZzmpTrailerItem">
    <w:name w:val="zzmpTrailerItem"/>
    <w:rPr>
      <w:color w:val="000000"/>
      <w:sz w:val="16"/>
      <w:szCs w:val="16"/>
      <w:vertAlign w:val="sub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TITLECENTEREDB">
    <w:name w:val="O-TITLE CENTERED (B)"/>
    <w:next w:val="Normal"/>
    <w:pPr>
      <w:keepNext/>
      <w:keepLines/>
      <w:widowControl w:val="false"/>
      <w:suppressAutoHyphens w:val="true"/>
      <w:autoSpaceDE w:val="false"/>
      <w:spacing w:before="0" w:after="240"/>
      <w:jc w:val="center"/>
    </w:pPr>
    <w:rPr>
      <w:rFonts w:ascii="Times New Roman" w:hAnsi="Times New Roman" w:eastAsia="Times New Roman" w:cs="Times New Roman"/>
      <w:b/>
      <w:bCs/>
      <w:caps/>
      <w:color w:val="auto"/>
      <w:sz w:val="24"/>
      <w:szCs w:val="24"/>
      <w:lang w:val="en-US" w:bidi="ar-SA" w:eastAsia="zh-C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211</TotalTime>
  <Application>LibreOffice/4.3.3.2$Linux_X86_64 LibreOffice_project/430m0$Build-2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2015-10-19T19:49:02Z</dcterms:created>
  <dc:language>en-US</dc:language>
  <dcterms:modified xsi:type="dcterms:W3CDTF">2015-10-19T19:52:35Z</dcterms:modified>
  <cp:revision>4</cp:revision>
</cp:coreProperties>
</file>